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81E72C">
      <w:pPr>
        <w:pStyle w:val="4"/>
        <w:jc w:val="center"/>
        <w:rPr>
          <w:rStyle w:val="8"/>
          <w:rFonts w:ascii="宋体" w:hAnsi="宋体" w:eastAsia="宋体" w:cs="宋体"/>
          <w:color w:val="000000" w:themeColor="text1"/>
          <w:sz w:val="36"/>
          <w:szCs w:val="36"/>
          <w14:textFill>
            <w14:solidFill>
              <w14:schemeClr w14:val="tx1"/>
            </w14:solidFill>
          </w14:textFill>
        </w:rPr>
      </w:pPr>
      <w:r>
        <w:rPr>
          <w:rStyle w:val="8"/>
          <w:rFonts w:hint="eastAsia" w:ascii="宋体" w:hAnsi="宋体" w:eastAsia="宋体" w:cs="宋体"/>
          <w:color w:val="000000" w:themeColor="text1"/>
          <w:sz w:val="36"/>
          <w:szCs w:val="36"/>
          <w14:textFill>
            <w14:solidFill>
              <w14:schemeClr w14:val="tx1"/>
            </w14:solidFill>
          </w14:textFill>
        </w:rPr>
        <w:t>合同草案条款</w:t>
      </w:r>
    </w:p>
    <w:p w14:paraId="7F8E63DD">
      <w:pPr>
        <w:spacing w:line="360" w:lineRule="auto"/>
        <w:jc w:val="left"/>
        <w:rPr>
          <w:b/>
          <w:lang w:val="zh-CN"/>
        </w:rPr>
      </w:pPr>
    </w:p>
    <w:p w14:paraId="149A102C">
      <w:pPr>
        <w:spacing w:line="360" w:lineRule="auto"/>
        <w:ind w:firstLine="422" w:firstLineChars="200"/>
        <w:jc w:val="left"/>
        <w:rPr>
          <w:b/>
          <w:u w:val="single"/>
          <w:lang w:val="zh-CN"/>
        </w:rPr>
      </w:pPr>
      <w:r>
        <w:rPr>
          <w:rFonts w:hint="eastAsia"/>
          <w:b/>
          <w:lang w:val="zh-CN"/>
        </w:rPr>
        <w:t>甲方：</w:t>
      </w:r>
      <w:r>
        <w:rPr>
          <w:rFonts w:hint="eastAsia"/>
          <w:u w:val="single"/>
          <w:lang w:val="zh-CN"/>
        </w:rPr>
        <w:t xml:space="preserve">（前款所称采购人）       </w:t>
      </w:r>
      <w:r>
        <w:rPr>
          <w:rFonts w:hint="eastAsia"/>
          <w:lang w:val="zh-CN"/>
        </w:rPr>
        <w:t xml:space="preserve">  住所：</w:t>
      </w:r>
      <w:r>
        <w:rPr>
          <w:rFonts w:hint="eastAsia"/>
          <w:u w:val="single"/>
          <w:lang w:val="zh-CN"/>
        </w:rPr>
        <w:t xml:space="preserve"> </w:t>
      </w:r>
      <w:r>
        <w:rPr>
          <w:u w:val="single"/>
          <w:lang w:val="zh-CN"/>
        </w:rPr>
        <w:t xml:space="preserve">                         </w:t>
      </w:r>
    </w:p>
    <w:p w14:paraId="756B1743">
      <w:pPr>
        <w:spacing w:line="360" w:lineRule="auto"/>
        <w:ind w:firstLine="422" w:firstLineChars="200"/>
        <w:jc w:val="left"/>
        <w:rPr>
          <w:u w:val="single"/>
          <w:lang w:val="zh-CN"/>
        </w:rPr>
      </w:pPr>
      <w:r>
        <w:rPr>
          <w:rFonts w:hint="eastAsia"/>
          <w:b/>
          <w:lang w:val="zh-CN"/>
        </w:rPr>
        <w:t>乙方：</w:t>
      </w:r>
      <w:r>
        <w:rPr>
          <w:rFonts w:hint="eastAsia"/>
          <w:u w:val="single"/>
          <w:lang w:val="zh-CN"/>
        </w:rPr>
        <w:t xml:space="preserve">（前款所称成交供应商）   </w:t>
      </w:r>
      <w:r>
        <w:rPr>
          <w:rFonts w:hint="eastAsia"/>
          <w:lang w:val="zh-CN"/>
        </w:rPr>
        <w:t xml:space="preserve">  住所：</w:t>
      </w:r>
      <w:r>
        <w:rPr>
          <w:rFonts w:hint="eastAsia"/>
          <w:u w:val="single"/>
          <w:lang w:val="zh-CN"/>
        </w:rPr>
        <w:t xml:space="preserve"> </w:t>
      </w:r>
      <w:r>
        <w:rPr>
          <w:u w:val="single"/>
          <w:lang w:val="zh-CN"/>
        </w:rPr>
        <w:t xml:space="preserve">                         </w:t>
      </w:r>
    </w:p>
    <w:p w14:paraId="286856C8">
      <w:pPr>
        <w:spacing w:line="360" w:lineRule="auto"/>
        <w:ind w:firstLine="420" w:firstLineChars="200"/>
        <w:jc w:val="left"/>
        <w:rPr>
          <w:lang w:val="zh-CN"/>
        </w:rPr>
      </w:pPr>
      <w:r>
        <w:rPr>
          <w:rFonts w:hint="eastAsia"/>
          <w:lang w:val="zh-CN"/>
        </w:rPr>
        <w:t>为提高曲江楼观生态文化旅游度假区楼观新镇整体市容环境卫生，营造良好的人文环境并按照曲江新区管委会市容管理标准和经验，本着互利合作的原则，根据《中华人民共和国民法典》，经甲、乙双方友好协商，就乙方承包甲方辖区已建成的市政道路及人行道清扫保洁事宜签订合同如下。</w:t>
      </w:r>
    </w:p>
    <w:p w14:paraId="45D610CC">
      <w:pPr>
        <w:pStyle w:val="9"/>
        <w:numPr>
          <w:ilvl w:val="0"/>
          <w:numId w:val="1"/>
        </w:numPr>
        <w:spacing w:line="360" w:lineRule="auto"/>
        <w:ind w:firstLineChars="0"/>
        <w:jc w:val="left"/>
        <w:rPr>
          <w:lang w:val="zh-CN"/>
        </w:rPr>
      </w:pPr>
      <w:r>
        <w:rPr>
          <w:rFonts w:hint="eastAsia"/>
          <w:lang w:val="zh-CN"/>
        </w:rPr>
        <w:t>承包范围与内容</w:t>
      </w:r>
    </w:p>
    <w:p w14:paraId="404F294B">
      <w:pPr>
        <w:spacing w:line="360" w:lineRule="auto"/>
        <w:ind w:firstLine="420" w:firstLineChars="200"/>
        <w:jc w:val="left"/>
        <w:rPr>
          <w:lang w:val="zh-CN"/>
        </w:rPr>
      </w:pPr>
      <w:r>
        <w:rPr>
          <w:rFonts w:hint="eastAsia"/>
          <w:lang w:val="zh-CN"/>
        </w:rPr>
        <w:t>1、承包范围：西安曲江楼观生态文化旅游度假区已建成的楼观新镇安置区区域内的市政道路面积26155.00 ㎡，人行道面积41925.95㎡，共计：68080.95㎡。具体以本合同附件1为准。</w:t>
      </w:r>
    </w:p>
    <w:p w14:paraId="37EFEB27">
      <w:pPr>
        <w:spacing w:line="360" w:lineRule="auto"/>
        <w:ind w:firstLine="420" w:firstLineChars="200"/>
        <w:jc w:val="left"/>
        <w:rPr>
          <w:lang w:val="zh-CN"/>
        </w:rPr>
      </w:pPr>
      <w:r>
        <w:rPr>
          <w:rFonts w:hint="eastAsia"/>
          <w:lang w:val="zh-CN"/>
        </w:rPr>
        <w:t>2、本合同区域内市政道路（含人行道、快慢行车道）的保洁工作。</w:t>
      </w:r>
    </w:p>
    <w:p w14:paraId="0A1D06E5">
      <w:pPr>
        <w:spacing w:line="360" w:lineRule="auto"/>
        <w:ind w:firstLine="420" w:firstLineChars="200"/>
        <w:jc w:val="left"/>
        <w:rPr>
          <w:lang w:val="zh-CN"/>
        </w:rPr>
      </w:pPr>
      <w:r>
        <w:rPr>
          <w:rFonts w:hint="eastAsia"/>
          <w:lang w:val="zh-CN"/>
        </w:rPr>
        <w:t>3、本合同区域内道路市政设施保洁，野广告清除等工作。</w:t>
      </w:r>
    </w:p>
    <w:p w14:paraId="169E3CDC">
      <w:pPr>
        <w:spacing w:line="360" w:lineRule="auto"/>
        <w:ind w:firstLine="420" w:firstLineChars="200"/>
        <w:jc w:val="left"/>
        <w:rPr>
          <w:lang w:val="zh-CN"/>
        </w:rPr>
      </w:pPr>
      <w:r>
        <w:rPr>
          <w:rFonts w:hint="eastAsia"/>
          <w:lang w:val="zh-CN"/>
        </w:rPr>
        <w:t>4、果皮箱内的垃圾清理及果皮箱外部清洁。</w:t>
      </w:r>
    </w:p>
    <w:p w14:paraId="4F918A34">
      <w:pPr>
        <w:spacing w:line="360" w:lineRule="auto"/>
        <w:ind w:firstLine="420" w:firstLineChars="200"/>
        <w:jc w:val="left"/>
        <w:rPr>
          <w:lang w:val="zh-CN"/>
        </w:rPr>
      </w:pPr>
      <w:r>
        <w:rPr>
          <w:rFonts w:hint="eastAsia"/>
          <w:lang w:val="zh-CN"/>
        </w:rPr>
        <w:t>5、度假区垃圾处转运、垃圾处置、防汛应急保障及环境卫生大整治保障。</w:t>
      </w:r>
    </w:p>
    <w:p w14:paraId="1D6FD545">
      <w:pPr>
        <w:spacing w:line="360" w:lineRule="auto"/>
        <w:ind w:firstLine="420" w:firstLineChars="200"/>
        <w:jc w:val="left"/>
        <w:rPr>
          <w:lang w:val="zh-CN"/>
        </w:rPr>
      </w:pPr>
      <w:r>
        <w:rPr>
          <w:lang w:val="zh-CN"/>
        </w:rPr>
        <w:t>6</w:t>
      </w:r>
      <w:r>
        <w:rPr>
          <w:rFonts w:hint="eastAsia"/>
          <w:lang w:val="zh-CN"/>
        </w:rPr>
        <w:t>、冬季清除积雪积冰等工作。</w:t>
      </w:r>
    </w:p>
    <w:p w14:paraId="66556C84">
      <w:pPr>
        <w:spacing w:line="360" w:lineRule="auto"/>
        <w:ind w:firstLine="420" w:firstLineChars="200"/>
        <w:jc w:val="left"/>
        <w:rPr>
          <w:lang w:val="zh-CN"/>
        </w:rPr>
      </w:pPr>
      <w:r>
        <w:rPr>
          <w:lang w:val="zh-CN"/>
        </w:rPr>
        <w:t>7</w:t>
      </w:r>
      <w:r>
        <w:rPr>
          <w:rFonts w:hint="eastAsia"/>
          <w:lang w:val="zh-CN"/>
        </w:rPr>
        <w:t>、甲方安排的其他相关工作。</w:t>
      </w:r>
    </w:p>
    <w:p w14:paraId="7630E37C">
      <w:pPr>
        <w:widowControl w:val="0"/>
        <w:spacing w:line="360" w:lineRule="auto"/>
        <w:ind w:firstLine="420" w:firstLineChars="200"/>
        <w:jc w:val="left"/>
      </w:pPr>
      <w:r>
        <w:rPr>
          <w:rFonts w:hint="eastAsia"/>
        </w:rPr>
        <w:t>二、合同价款</w:t>
      </w:r>
    </w:p>
    <w:p w14:paraId="4C93FC97">
      <w:pPr>
        <w:widowControl w:val="0"/>
        <w:spacing w:line="360" w:lineRule="auto"/>
        <w:ind w:firstLine="420" w:firstLineChars="200"/>
        <w:jc w:val="left"/>
      </w:pPr>
      <w:r>
        <w:rPr>
          <w:rFonts w:hint="eastAsia"/>
        </w:rPr>
        <w:t>1、合同总价为人民币</w:t>
      </w:r>
      <w:r>
        <w:rPr>
          <w:rFonts w:hint="eastAsia"/>
          <w:u w:val="single"/>
        </w:rPr>
        <w:t xml:space="preserve">        </w:t>
      </w:r>
      <w:r>
        <w:rPr>
          <w:rFonts w:hint="eastAsia"/>
        </w:rPr>
        <w:t>元。包括完成合同内容所需的人员工资、福利、社保</w:t>
      </w:r>
      <w:r>
        <w:rPr>
          <w:rFonts w:hint="eastAsia"/>
          <w:lang w:eastAsia="zh-CN"/>
        </w:rPr>
        <w:t>（</w:t>
      </w:r>
      <w:r>
        <w:rPr>
          <w:rFonts w:hint="eastAsia"/>
        </w:rPr>
        <w:t>养老、医疗、工伤等保险</w:t>
      </w:r>
      <w:r>
        <w:rPr>
          <w:rFonts w:hint="eastAsia"/>
          <w:lang w:eastAsia="zh-CN"/>
        </w:rPr>
        <w:t>）</w:t>
      </w:r>
      <w:r>
        <w:rPr>
          <w:rFonts w:hint="eastAsia"/>
        </w:rPr>
        <w:t>、劳保用品、工具、机械及其维修、工具房租用、迎检加班和突发处置费用、应急物资等作业成本以及适当的管理费用、利润、税金、风险金</w:t>
      </w:r>
      <w:r>
        <w:rPr>
          <w:rFonts w:hint="eastAsia"/>
          <w:lang w:eastAsia="zh-CN"/>
        </w:rPr>
        <w:t>（</w:t>
      </w:r>
      <w:r>
        <w:rPr>
          <w:rFonts w:hint="eastAsia"/>
        </w:rPr>
        <w:t>保险、处理一切意外伤亡事故等费用</w:t>
      </w:r>
      <w:r>
        <w:rPr>
          <w:rFonts w:hint="eastAsia"/>
          <w:lang w:eastAsia="zh-CN"/>
        </w:rPr>
        <w:t>）</w:t>
      </w:r>
      <w:r>
        <w:rPr>
          <w:rFonts w:hint="eastAsia"/>
        </w:rPr>
        <w:t>办公用房的租赁等其他一切费用。</w:t>
      </w:r>
    </w:p>
    <w:p w14:paraId="40285687">
      <w:pPr>
        <w:widowControl w:val="0"/>
        <w:spacing w:line="360" w:lineRule="auto"/>
        <w:ind w:firstLine="420" w:firstLineChars="200"/>
        <w:jc w:val="left"/>
      </w:pPr>
      <w:r>
        <w:t>2</w:t>
      </w:r>
      <w:r>
        <w:rPr>
          <w:rFonts w:hint="eastAsia"/>
        </w:rPr>
        <w:t>、日常保洁外，由甲方安排的其他劳务工作，根据实际工作量及甲方确认的费用进行结算。</w:t>
      </w:r>
    </w:p>
    <w:p w14:paraId="6257E01A">
      <w:pPr>
        <w:widowControl w:val="0"/>
        <w:spacing w:line="360" w:lineRule="auto"/>
        <w:ind w:firstLine="420" w:firstLineChars="200"/>
        <w:jc w:val="left"/>
      </w:pPr>
      <w:r>
        <w:rPr>
          <w:rFonts w:hint="eastAsia"/>
        </w:rPr>
        <w:t>三、合同结算</w:t>
      </w:r>
    </w:p>
    <w:p w14:paraId="332E96D9">
      <w:pPr>
        <w:widowControl w:val="0"/>
        <w:spacing w:line="360" w:lineRule="auto"/>
        <w:ind w:firstLine="420" w:firstLineChars="200"/>
        <w:jc w:val="left"/>
      </w:pPr>
      <w:r>
        <w:rPr>
          <w:rFonts w:hint="eastAsia"/>
        </w:rPr>
        <w:t>1、乙方据实申报上月保洁工程量，甲方审查核定后确认费用。</w:t>
      </w:r>
    </w:p>
    <w:p w14:paraId="1D5DCDD6">
      <w:pPr>
        <w:widowControl w:val="0"/>
        <w:spacing w:line="360" w:lineRule="auto"/>
        <w:ind w:firstLine="420" w:firstLineChars="200"/>
        <w:jc w:val="left"/>
      </w:pPr>
      <w:r>
        <w:rPr>
          <w:rFonts w:hint="eastAsia"/>
        </w:rPr>
        <w:t>2、本合同不预付保洁经费，保洁经费由乙方先行垫付，甲方根据合同约定及考核结果，在收到乙方正式发票后三十日内支付上月费用。</w:t>
      </w:r>
    </w:p>
    <w:p w14:paraId="32AE5DC4">
      <w:pPr>
        <w:widowControl w:val="0"/>
        <w:spacing w:line="360" w:lineRule="auto"/>
        <w:ind w:firstLine="420" w:firstLineChars="200"/>
        <w:jc w:val="left"/>
      </w:pPr>
      <w:r>
        <w:rPr>
          <w:rFonts w:hint="eastAsia"/>
        </w:rPr>
        <w:t>3、甲方暂扣乙方一个月保洁费用作为市容保洁工作保证金，合同期满后无违约时一次付清。</w:t>
      </w:r>
    </w:p>
    <w:p w14:paraId="244AAC22">
      <w:pPr>
        <w:widowControl w:val="0"/>
        <w:spacing w:line="360" w:lineRule="auto"/>
        <w:ind w:firstLine="420" w:firstLineChars="200"/>
        <w:jc w:val="left"/>
      </w:pPr>
      <w:r>
        <w:rPr>
          <w:rFonts w:hint="eastAsia"/>
        </w:rPr>
        <w:t>4、支付方式：银行转账，甲方每次付款前，乙方需提供甲方认可的等额增值税发票及收款收据，否则，甲方有权延迟付款且不视为违约。</w:t>
      </w:r>
    </w:p>
    <w:p w14:paraId="5FBA4893">
      <w:pPr>
        <w:widowControl w:val="0"/>
        <w:spacing w:line="360" w:lineRule="auto"/>
        <w:ind w:firstLine="420" w:firstLineChars="200"/>
        <w:jc w:val="left"/>
      </w:pPr>
      <w:r>
        <w:rPr>
          <w:rFonts w:hint="eastAsia"/>
        </w:rPr>
        <w:t>四、履行期限、地点及方式:</w:t>
      </w:r>
    </w:p>
    <w:p w14:paraId="087F2066">
      <w:pPr>
        <w:widowControl w:val="0"/>
        <w:spacing w:line="360" w:lineRule="auto"/>
        <w:ind w:firstLine="420" w:firstLineChars="200"/>
        <w:jc w:val="left"/>
      </w:pPr>
      <w:r>
        <w:rPr>
          <w:rFonts w:hint="eastAsia"/>
        </w:rPr>
        <w:t>1、履行期限：</w:t>
      </w:r>
      <w:r>
        <w:t xml:space="preserve"> </w:t>
      </w:r>
      <w:r>
        <w:rPr>
          <w:u w:val="single"/>
        </w:rPr>
        <w:t xml:space="preserve">   </w:t>
      </w:r>
      <w:r>
        <w:rPr>
          <w:rFonts w:hint="eastAsia"/>
        </w:rPr>
        <w:t>年</w:t>
      </w:r>
      <w:r>
        <w:rPr>
          <w:u w:val="single"/>
        </w:rPr>
        <w:t xml:space="preserve">  </w:t>
      </w:r>
      <w:r>
        <w:rPr>
          <w:rFonts w:hint="eastAsia"/>
        </w:rPr>
        <w:t>月</w:t>
      </w:r>
      <w:r>
        <w:t xml:space="preserve"> </w:t>
      </w:r>
      <w:r>
        <w:rPr>
          <w:u w:val="single"/>
        </w:rPr>
        <w:t xml:space="preserve">  </w:t>
      </w:r>
      <w:r>
        <w:rPr>
          <w:rFonts w:hint="eastAsia"/>
        </w:rPr>
        <w:t>日至</w:t>
      </w:r>
      <w:r>
        <w:rPr>
          <w:u w:val="single"/>
        </w:rPr>
        <w:t xml:space="preserve">   </w:t>
      </w:r>
      <w:r>
        <w:rPr>
          <w:rFonts w:hint="eastAsia"/>
        </w:rPr>
        <w:t>年</w:t>
      </w:r>
      <w:r>
        <w:rPr>
          <w:u w:val="single"/>
        </w:rPr>
        <w:t xml:space="preserve">  </w:t>
      </w:r>
      <w:r>
        <w:rPr>
          <w:rFonts w:hint="eastAsia"/>
        </w:rPr>
        <w:t>月</w:t>
      </w:r>
      <w:r>
        <w:t xml:space="preserve"> </w:t>
      </w:r>
      <w:r>
        <w:rPr>
          <w:u w:val="single"/>
        </w:rPr>
        <w:t xml:space="preserve">  </w:t>
      </w:r>
      <w:r>
        <w:rPr>
          <w:rFonts w:hint="eastAsia"/>
        </w:rPr>
        <w:t>日，共计12个月。</w:t>
      </w:r>
    </w:p>
    <w:p w14:paraId="100A993D">
      <w:pPr>
        <w:widowControl w:val="0"/>
        <w:spacing w:line="360" w:lineRule="auto"/>
        <w:ind w:firstLine="420" w:firstLineChars="200"/>
        <w:jc w:val="left"/>
      </w:pPr>
      <w:r>
        <w:rPr>
          <w:rFonts w:hint="eastAsia"/>
        </w:rPr>
        <w:t>2、地点：详见附件1</w:t>
      </w:r>
    </w:p>
    <w:p w14:paraId="01A564C6">
      <w:pPr>
        <w:widowControl w:val="0"/>
        <w:spacing w:line="360" w:lineRule="auto"/>
        <w:ind w:firstLine="420" w:firstLineChars="200"/>
        <w:jc w:val="left"/>
      </w:pPr>
      <w:r>
        <w:rPr>
          <w:rFonts w:hint="eastAsia"/>
        </w:rPr>
        <w:t>3、方式：包工包料</w:t>
      </w:r>
    </w:p>
    <w:p w14:paraId="4117A877">
      <w:pPr>
        <w:widowControl w:val="0"/>
        <w:spacing w:line="360" w:lineRule="auto"/>
        <w:ind w:firstLine="420" w:firstLineChars="200"/>
        <w:jc w:val="left"/>
      </w:pPr>
      <w:r>
        <w:rPr>
          <w:rFonts w:hint="eastAsia"/>
        </w:rPr>
        <w:t>五、保洁质量标准</w:t>
      </w:r>
    </w:p>
    <w:p w14:paraId="43A6C156">
      <w:pPr>
        <w:widowControl w:val="0"/>
        <w:spacing w:line="360" w:lineRule="auto"/>
        <w:ind w:firstLine="420" w:firstLineChars="200"/>
        <w:jc w:val="left"/>
      </w:pPr>
      <w:r>
        <w:rPr>
          <w:rFonts w:hint="eastAsia"/>
        </w:rPr>
        <w:t>乙方必须按照《曲江楼观生态文化旅游度假区管理办公室市容保洁安全操作规范》作业，保洁质量必须达到《曲江新区市容环境卫生工作标准》以及西安市城市管理局的行业要求。</w:t>
      </w:r>
    </w:p>
    <w:p w14:paraId="6F53D8F4">
      <w:pPr>
        <w:widowControl w:val="0"/>
        <w:spacing w:line="360" w:lineRule="auto"/>
        <w:ind w:firstLine="420" w:firstLineChars="200"/>
        <w:jc w:val="left"/>
      </w:pPr>
      <w:r>
        <w:rPr>
          <w:rFonts w:hint="eastAsia"/>
        </w:rPr>
        <w:t>六、甲方权利、义务</w:t>
      </w:r>
    </w:p>
    <w:p w14:paraId="1D6C6E90">
      <w:pPr>
        <w:widowControl w:val="0"/>
        <w:spacing w:line="360" w:lineRule="auto"/>
        <w:ind w:firstLine="420" w:firstLineChars="200"/>
        <w:jc w:val="left"/>
      </w:pPr>
      <w:r>
        <w:rPr>
          <w:rFonts w:hint="eastAsia"/>
        </w:rPr>
        <w:t>1、甲方应指导乙方做好保洁工作，为乙方提供必要的工作便利。</w:t>
      </w:r>
    </w:p>
    <w:p w14:paraId="50285B09">
      <w:pPr>
        <w:widowControl w:val="0"/>
        <w:spacing w:line="360" w:lineRule="auto"/>
        <w:ind w:firstLine="420" w:firstLineChars="200"/>
        <w:jc w:val="left"/>
      </w:pPr>
      <w:r>
        <w:rPr>
          <w:rFonts w:hint="eastAsia"/>
        </w:rPr>
        <w:t>2、甲方对保洁质量进行监督检查，并按照《曲江楼观生态文化旅游度假区市容环境卫生工作标准》、《曲江楼观生态文化旅游度假区市容保洁工作考核办法》对乙方进行考核。</w:t>
      </w:r>
    </w:p>
    <w:p w14:paraId="37394807">
      <w:pPr>
        <w:widowControl w:val="0"/>
        <w:spacing w:line="360" w:lineRule="auto"/>
        <w:ind w:firstLine="420" w:firstLineChars="200"/>
        <w:jc w:val="left"/>
      </w:pPr>
      <w:r>
        <w:rPr>
          <w:rFonts w:hint="eastAsia"/>
        </w:rPr>
        <w:t>3、甲方应按约定付款，以保证乙方清扫、保洁工作的正常进行。</w:t>
      </w:r>
    </w:p>
    <w:p w14:paraId="10847812">
      <w:pPr>
        <w:widowControl w:val="0"/>
        <w:spacing w:line="360" w:lineRule="auto"/>
        <w:ind w:firstLine="420" w:firstLineChars="200"/>
        <w:jc w:val="left"/>
      </w:pPr>
      <w:r>
        <w:rPr>
          <w:rFonts w:hint="eastAsia"/>
        </w:rPr>
        <w:t>4、甲方有权对保洁员工资、福利、保险、工器具的发放和配备进行监督检查。</w:t>
      </w:r>
    </w:p>
    <w:p w14:paraId="44FF14F1">
      <w:pPr>
        <w:widowControl w:val="0"/>
        <w:spacing w:line="360" w:lineRule="auto"/>
        <w:ind w:firstLine="420" w:firstLineChars="200"/>
        <w:jc w:val="left"/>
      </w:pPr>
      <w:r>
        <w:rPr>
          <w:rFonts w:hint="eastAsia"/>
        </w:rPr>
        <w:t xml:space="preserve"> 七、乙方权利、义务</w:t>
      </w:r>
    </w:p>
    <w:p w14:paraId="08D3498E">
      <w:pPr>
        <w:widowControl w:val="0"/>
        <w:spacing w:line="360" w:lineRule="auto"/>
        <w:ind w:firstLine="420" w:firstLineChars="200"/>
        <w:jc w:val="left"/>
      </w:pPr>
      <w:r>
        <w:rPr>
          <w:rFonts w:hint="eastAsia"/>
        </w:rPr>
        <w:t>1、乙方应保证在签订本协议时，已获得履行本协议的相关资质及行政许可手续。</w:t>
      </w:r>
    </w:p>
    <w:p w14:paraId="2CB9848F">
      <w:pPr>
        <w:widowControl w:val="0"/>
        <w:spacing w:line="360" w:lineRule="auto"/>
        <w:ind w:firstLine="420" w:firstLineChars="200"/>
        <w:jc w:val="left"/>
      </w:pPr>
      <w:r>
        <w:rPr>
          <w:rFonts w:hint="eastAsia"/>
        </w:rPr>
        <w:t>2、乙方应服从甲方的监督、管理，切实采取有效措施保证清扫、保洁质量。</w:t>
      </w:r>
    </w:p>
    <w:p w14:paraId="641F2FB9">
      <w:pPr>
        <w:widowControl w:val="0"/>
        <w:spacing w:line="360" w:lineRule="auto"/>
        <w:ind w:firstLine="420" w:firstLineChars="200"/>
        <w:jc w:val="left"/>
      </w:pPr>
      <w:r>
        <w:rPr>
          <w:rFonts w:hint="eastAsia"/>
        </w:rPr>
        <w:t>3、乙方必须足额安排保洁人员上岗。</w:t>
      </w:r>
    </w:p>
    <w:p w14:paraId="1B76BAE1">
      <w:pPr>
        <w:widowControl w:val="0"/>
        <w:spacing w:line="360" w:lineRule="auto"/>
        <w:ind w:firstLine="420" w:firstLineChars="200"/>
        <w:jc w:val="left"/>
      </w:pPr>
      <w:r>
        <w:rPr>
          <w:rFonts w:hint="eastAsia"/>
        </w:rPr>
        <w:t>4、乙方必须为每条道路配备足够的垃圾回收车(三轮车)，三轮车都要有统一的标志，以方便工作和检查。</w:t>
      </w:r>
    </w:p>
    <w:p w14:paraId="34EC0814">
      <w:pPr>
        <w:widowControl w:val="0"/>
        <w:spacing w:line="360" w:lineRule="auto"/>
        <w:ind w:firstLine="420" w:firstLineChars="200"/>
        <w:jc w:val="left"/>
      </w:pPr>
      <w:r>
        <w:rPr>
          <w:rFonts w:hint="eastAsia"/>
        </w:rPr>
        <w:t>5、乙方应遵循安全作业和文明作业的规定，在履行本合同的过程中，采取严格的安全防范措施。对于清扫、保洁过程中发生的一切人身伤亡事故及其他损害，由乙方自行承担所有责任。若甲方因此而承担有关法律责任，甲方有权向乙方追偿，并赔偿甲方因此造成的一切损失。</w:t>
      </w:r>
    </w:p>
    <w:p w14:paraId="5DFEC5E6">
      <w:pPr>
        <w:widowControl w:val="0"/>
        <w:spacing w:line="360" w:lineRule="auto"/>
        <w:ind w:firstLine="420" w:firstLineChars="200"/>
        <w:jc w:val="left"/>
      </w:pPr>
      <w:r>
        <w:rPr>
          <w:rFonts w:hint="eastAsia"/>
        </w:rPr>
        <w:t>6、乙方使用的工作人员必须身体健康、仪容端正、品德良好、无违法犯罪记录，否则，出现的有关责任由乙方自负。</w:t>
      </w:r>
    </w:p>
    <w:p w14:paraId="11FAF235">
      <w:pPr>
        <w:widowControl w:val="0"/>
        <w:spacing w:line="360" w:lineRule="auto"/>
        <w:ind w:firstLine="420" w:firstLineChars="200"/>
        <w:jc w:val="left"/>
      </w:pPr>
      <w:r>
        <w:rPr>
          <w:rFonts w:hint="eastAsia"/>
        </w:rPr>
        <w:t>7、乙方保证保洁员的工资薪酬不低于周至当地的最低工资水平或者国家及地方的相关文件。</w:t>
      </w:r>
    </w:p>
    <w:p w14:paraId="632A9313">
      <w:pPr>
        <w:widowControl w:val="0"/>
        <w:spacing w:line="360" w:lineRule="auto"/>
        <w:ind w:firstLine="420" w:firstLineChars="200"/>
        <w:jc w:val="left"/>
      </w:pPr>
      <w:r>
        <w:rPr>
          <w:rFonts w:hint="eastAsia"/>
        </w:rPr>
        <w:t>8、乙方保证对保洁人员进行相应的职业培训，并取得相应的从业资格，工作人员必须统一着装上岗。</w:t>
      </w:r>
    </w:p>
    <w:p w14:paraId="7359261A">
      <w:pPr>
        <w:widowControl w:val="0"/>
        <w:spacing w:line="360" w:lineRule="auto"/>
        <w:ind w:firstLine="420" w:firstLineChars="200"/>
        <w:jc w:val="left"/>
      </w:pPr>
      <w:r>
        <w:rPr>
          <w:rFonts w:hint="eastAsia"/>
        </w:rPr>
        <w:t>9、乙方用工应符合《劳动法》相关规定，并按规定足额发放月工资及劳保用品，及时配备工器具。并在此基础上给所有工作人员购买最高赔付金额不低于30万的人身意外保险。</w:t>
      </w:r>
    </w:p>
    <w:p w14:paraId="3E17AA5B">
      <w:pPr>
        <w:widowControl w:val="0"/>
        <w:spacing w:line="360" w:lineRule="auto"/>
        <w:ind w:firstLine="420" w:firstLineChars="200"/>
        <w:jc w:val="left"/>
      </w:pPr>
      <w:r>
        <w:rPr>
          <w:rFonts w:hint="eastAsia"/>
        </w:rPr>
        <w:t>10、乙方应确保市容保洁工器具完备，及时维护更换，不得以次充好，影响保洁工作。</w:t>
      </w:r>
    </w:p>
    <w:p w14:paraId="2CEF4917">
      <w:pPr>
        <w:widowControl w:val="0"/>
        <w:spacing w:line="360" w:lineRule="auto"/>
        <w:ind w:firstLine="420" w:firstLineChars="200"/>
        <w:jc w:val="left"/>
      </w:pPr>
      <w:r>
        <w:rPr>
          <w:rFonts w:hint="eastAsia"/>
        </w:rPr>
        <w:t>11、乙方每天定期或不定期指派管理人员对保洁工作进行检查，对存在的问题及时处理。</w:t>
      </w:r>
    </w:p>
    <w:p w14:paraId="72D3BDA3">
      <w:pPr>
        <w:widowControl w:val="0"/>
        <w:spacing w:line="360" w:lineRule="auto"/>
        <w:ind w:firstLine="420" w:firstLineChars="200"/>
        <w:jc w:val="left"/>
      </w:pPr>
      <w:r>
        <w:rPr>
          <w:rFonts w:hint="eastAsia"/>
        </w:rPr>
        <w:t>12、乙方必须具备垫付保洁人员两个月工资经费的能力。</w:t>
      </w:r>
    </w:p>
    <w:p w14:paraId="401EFE97">
      <w:pPr>
        <w:widowControl w:val="0"/>
        <w:spacing w:line="360" w:lineRule="auto"/>
        <w:ind w:firstLine="420" w:firstLineChars="200"/>
        <w:jc w:val="left"/>
      </w:pPr>
      <w:r>
        <w:rPr>
          <w:rFonts w:hint="eastAsia"/>
        </w:rPr>
        <w:t>13、乙方必须定期对保洁员进行工作技能和安全生产教育。</w:t>
      </w:r>
    </w:p>
    <w:p w14:paraId="0019C1BF">
      <w:pPr>
        <w:widowControl w:val="0"/>
        <w:spacing w:line="360" w:lineRule="auto"/>
        <w:ind w:firstLine="420" w:firstLineChars="200"/>
        <w:jc w:val="left"/>
      </w:pPr>
      <w:r>
        <w:rPr>
          <w:rFonts w:hint="eastAsia"/>
        </w:rPr>
        <w:t>14、乙方为甲方提供保洁员花名册和人员分布图，遇有人员变化时应及时变更，并向甲方提供。</w:t>
      </w:r>
    </w:p>
    <w:p w14:paraId="772A7C86">
      <w:pPr>
        <w:widowControl w:val="0"/>
        <w:spacing w:line="360" w:lineRule="auto"/>
        <w:ind w:firstLine="420" w:firstLineChars="200"/>
        <w:jc w:val="left"/>
      </w:pPr>
      <w:r>
        <w:rPr>
          <w:rFonts w:hint="eastAsia"/>
        </w:rPr>
        <w:t>15、乙方应加强对保洁员的管理，如因管理不善导致的任何问题由乙方负全部责任。</w:t>
      </w:r>
    </w:p>
    <w:p w14:paraId="33F80D1A">
      <w:pPr>
        <w:widowControl w:val="0"/>
        <w:spacing w:line="360" w:lineRule="auto"/>
        <w:ind w:firstLine="420" w:firstLineChars="200"/>
        <w:jc w:val="left"/>
      </w:pPr>
      <w:r>
        <w:rPr>
          <w:rFonts w:hint="eastAsia"/>
        </w:rPr>
        <w:t>八、验收要求</w:t>
      </w:r>
    </w:p>
    <w:p w14:paraId="4E1B7FA0">
      <w:pPr>
        <w:widowControl w:val="0"/>
        <w:spacing w:line="360" w:lineRule="auto"/>
        <w:ind w:firstLine="420" w:firstLineChars="200"/>
        <w:jc w:val="left"/>
      </w:pPr>
      <w:r>
        <w:rPr>
          <w:rFonts w:hint="eastAsia"/>
        </w:rPr>
        <w:t>验收依据：</w:t>
      </w:r>
    </w:p>
    <w:p w14:paraId="0FFC0D85">
      <w:pPr>
        <w:widowControl w:val="0"/>
        <w:spacing w:line="360" w:lineRule="auto"/>
        <w:ind w:firstLine="420" w:firstLineChars="200"/>
        <w:jc w:val="left"/>
      </w:pPr>
      <w:r>
        <w:rPr>
          <w:rFonts w:hint="eastAsia"/>
        </w:rPr>
        <w:t>1、合同文本、合同附件、竞争性磋商文件、磋商响应文件。</w:t>
      </w:r>
    </w:p>
    <w:p w14:paraId="539F6C79">
      <w:pPr>
        <w:widowControl w:val="0"/>
        <w:spacing w:line="360" w:lineRule="auto"/>
        <w:ind w:firstLine="420" w:firstLineChars="200"/>
        <w:jc w:val="left"/>
      </w:pPr>
      <w:r>
        <w:rPr>
          <w:rFonts w:hint="eastAsia"/>
        </w:rPr>
        <w:t>2、国内相应的标准、规范。</w:t>
      </w:r>
    </w:p>
    <w:p w14:paraId="261150E6">
      <w:pPr>
        <w:widowControl w:val="0"/>
        <w:spacing w:line="360" w:lineRule="auto"/>
        <w:ind w:firstLine="420" w:firstLineChars="200"/>
        <w:jc w:val="left"/>
      </w:pPr>
      <w:r>
        <w:rPr>
          <w:rFonts w:hint="eastAsia"/>
        </w:rPr>
        <w:t>九、违约责任</w:t>
      </w:r>
    </w:p>
    <w:p w14:paraId="01595376">
      <w:pPr>
        <w:widowControl w:val="0"/>
        <w:spacing w:line="360" w:lineRule="auto"/>
        <w:ind w:firstLine="420" w:firstLineChars="200"/>
        <w:jc w:val="left"/>
      </w:pPr>
      <w:r>
        <w:rPr>
          <w:rFonts w:hint="eastAsia"/>
        </w:rPr>
        <w:t>1、乙方开荒结束并由甲方验收合格后方可进行正常保洁程序，否则甲方有权延长乙方开荒时限，直至甲方验收合格为止。在甲方延长时限内还不能完成开荒任务，达不到验收标准的，甲方有权解除合同。</w:t>
      </w:r>
    </w:p>
    <w:p w14:paraId="5AE3896B">
      <w:pPr>
        <w:widowControl w:val="0"/>
        <w:spacing w:line="360" w:lineRule="auto"/>
        <w:ind w:firstLine="420" w:firstLineChars="200"/>
        <w:jc w:val="left"/>
      </w:pPr>
      <w:r>
        <w:rPr>
          <w:rFonts w:hint="eastAsia"/>
        </w:rPr>
        <w:t>2、乙方不能足额安排保洁员或有意克扣保洁员工资福利时，视为违约，缺一人从管理费中扣除1000元作为违约金，克扣工资福利时从管理费中扣除相等金额作为违约金，同时乙方应在三日内补足，若不按期补足，甲方有权单方解除合同。</w:t>
      </w:r>
    </w:p>
    <w:p w14:paraId="661BA683">
      <w:pPr>
        <w:widowControl w:val="0"/>
        <w:spacing w:line="360" w:lineRule="auto"/>
        <w:ind w:firstLine="420" w:firstLineChars="200"/>
        <w:jc w:val="left"/>
      </w:pPr>
      <w:r>
        <w:rPr>
          <w:rFonts w:hint="eastAsia"/>
        </w:rPr>
        <w:t>3、若乙方所承包的保洁区域因乙方管理原因受到上级部门批评或造成负面影响时，视为乙方违约，甲方根据情况，从当月审定的管理费中扣除1.5%-10%作为违约金，造成严重影响时，甲方有权单方解除合同。</w:t>
      </w:r>
    </w:p>
    <w:p w14:paraId="4DCFD052">
      <w:pPr>
        <w:widowControl w:val="0"/>
        <w:spacing w:line="360" w:lineRule="auto"/>
        <w:ind w:firstLine="420" w:firstLineChars="200"/>
        <w:jc w:val="left"/>
      </w:pPr>
      <w:r>
        <w:rPr>
          <w:rFonts w:hint="eastAsia"/>
        </w:rPr>
        <w:t>4、乙方垃圾回收车</w:t>
      </w:r>
      <w:r>
        <w:rPr>
          <w:rFonts w:hint="eastAsia"/>
          <w:lang w:eastAsia="zh-CN"/>
        </w:rPr>
        <w:t>（</w:t>
      </w:r>
      <w:r>
        <w:rPr>
          <w:rFonts w:hint="eastAsia"/>
        </w:rPr>
        <w:t>三轮车</w:t>
      </w:r>
      <w:r>
        <w:rPr>
          <w:rFonts w:hint="eastAsia"/>
          <w:lang w:eastAsia="zh-CN"/>
        </w:rPr>
        <w:t>）</w:t>
      </w:r>
      <w:r>
        <w:rPr>
          <w:rFonts w:hint="eastAsia"/>
        </w:rPr>
        <w:t>不能正常工作时，视为乙方违约，甲方酌情扣除相应保洁费作为违约金。</w:t>
      </w:r>
    </w:p>
    <w:p w14:paraId="3877C6BC">
      <w:pPr>
        <w:widowControl w:val="0"/>
        <w:spacing w:line="360" w:lineRule="auto"/>
        <w:ind w:firstLine="420" w:firstLineChars="200"/>
        <w:jc w:val="left"/>
      </w:pPr>
      <w:r>
        <w:rPr>
          <w:rFonts w:hint="eastAsia"/>
        </w:rPr>
        <w:t>5、出现乙方保洁员上访现象时，甲方有权单方解除合同。</w:t>
      </w:r>
    </w:p>
    <w:p w14:paraId="660FF82E">
      <w:pPr>
        <w:widowControl w:val="0"/>
        <w:spacing w:line="360" w:lineRule="auto"/>
        <w:ind w:firstLine="420" w:firstLineChars="200"/>
        <w:jc w:val="left"/>
      </w:pPr>
      <w:r>
        <w:rPr>
          <w:rFonts w:hint="eastAsia"/>
        </w:rPr>
        <w:t>6、保洁员因不按安全操作规范作业而发生人身伤亡事故及其他损伤时，视为乙方违约，甲方有权单方解除合同。</w:t>
      </w:r>
    </w:p>
    <w:p w14:paraId="0DB0ED68">
      <w:pPr>
        <w:widowControl w:val="0"/>
        <w:spacing w:line="360" w:lineRule="auto"/>
        <w:ind w:firstLine="420" w:firstLineChars="200"/>
        <w:jc w:val="left"/>
      </w:pPr>
      <w:r>
        <w:rPr>
          <w:rFonts w:hint="eastAsia"/>
        </w:rPr>
        <w:t>7、乙方对甲方提出的问题应及时整改，如有拖延或不服管理，甲方可要求乙方承担相应违约责任，情况严重时甲方可单方解除合同。</w:t>
      </w:r>
    </w:p>
    <w:p w14:paraId="57906973">
      <w:pPr>
        <w:widowControl w:val="0"/>
        <w:spacing w:line="360" w:lineRule="auto"/>
        <w:ind w:firstLine="420" w:firstLineChars="200"/>
        <w:jc w:val="left"/>
      </w:pPr>
      <w:r>
        <w:rPr>
          <w:rFonts w:hint="eastAsia"/>
        </w:rPr>
        <w:t>8、乙方工作不能按照《曲江楼观生态文化旅游度假区市容保洁工作操作规范》作业，或达不到《曲江楼观生态文化旅游度假区市容环境卫生工作标准》，视为乙方违约，甲方有权按照《曲江楼观生态文化旅游度假区市容保洁工作考核办法》扣除相关费用，作为违约金。</w:t>
      </w:r>
    </w:p>
    <w:p w14:paraId="5A2A433B">
      <w:pPr>
        <w:widowControl w:val="0"/>
        <w:spacing w:line="360" w:lineRule="auto"/>
        <w:ind w:firstLine="420" w:firstLineChars="200"/>
        <w:jc w:val="left"/>
      </w:pPr>
      <w:r>
        <w:rPr>
          <w:rFonts w:hint="eastAsia"/>
        </w:rPr>
        <w:t>9、保洁公司如有虚报保洁费用的，扣除当月管理费用50%作为违约金。</w:t>
      </w:r>
    </w:p>
    <w:p w14:paraId="22622233">
      <w:pPr>
        <w:widowControl w:val="0"/>
        <w:spacing w:line="360" w:lineRule="auto"/>
        <w:ind w:firstLine="420" w:firstLineChars="200"/>
        <w:jc w:val="left"/>
      </w:pPr>
      <w:r>
        <w:rPr>
          <w:rFonts w:hint="eastAsia"/>
        </w:rPr>
        <w:t>十、争议解决方式</w:t>
      </w:r>
    </w:p>
    <w:p w14:paraId="29C6CA5B">
      <w:pPr>
        <w:widowControl w:val="0"/>
        <w:spacing w:line="360" w:lineRule="auto"/>
        <w:ind w:firstLine="420" w:firstLineChars="200"/>
        <w:jc w:val="left"/>
      </w:pPr>
      <w:r>
        <w:rPr>
          <w:rFonts w:hint="eastAsia"/>
        </w:rPr>
        <w:t>对合同履行中发生的争议，双方应协商解决，协商不成时，同意向甲方所在地有管辖权的人民法院起诉。</w:t>
      </w:r>
    </w:p>
    <w:p w14:paraId="4A4DD801">
      <w:pPr>
        <w:widowControl w:val="0"/>
        <w:spacing w:line="360" w:lineRule="auto"/>
        <w:ind w:firstLine="420" w:firstLineChars="200"/>
        <w:jc w:val="left"/>
      </w:pPr>
      <w:r>
        <w:rPr>
          <w:rFonts w:hint="eastAsia"/>
        </w:rPr>
        <w:t>十一、合同组成</w:t>
      </w:r>
    </w:p>
    <w:p w14:paraId="27647B20">
      <w:pPr>
        <w:widowControl w:val="0"/>
        <w:spacing w:line="360" w:lineRule="auto"/>
        <w:ind w:firstLine="420" w:firstLineChars="200"/>
        <w:jc w:val="left"/>
      </w:pPr>
      <w:r>
        <w:rPr>
          <w:rFonts w:hint="eastAsia"/>
        </w:rPr>
        <w:t>1、成交通知书</w:t>
      </w:r>
    </w:p>
    <w:p w14:paraId="54D44F85">
      <w:pPr>
        <w:widowControl w:val="0"/>
        <w:spacing w:line="360" w:lineRule="auto"/>
        <w:ind w:firstLine="420" w:firstLineChars="200"/>
        <w:jc w:val="left"/>
      </w:pPr>
      <w:r>
        <w:rPr>
          <w:rFonts w:hint="eastAsia"/>
        </w:rPr>
        <w:t>2、合同文件</w:t>
      </w:r>
    </w:p>
    <w:p w14:paraId="6FFB736F">
      <w:pPr>
        <w:widowControl w:val="0"/>
        <w:spacing w:line="360" w:lineRule="auto"/>
        <w:ind w:firstLine="420" w:firstLineChars="200"/>
        <w:jc w:val="left"/>
      </w:pPr>
      <w:r>
        <w:rPr>
          <w:rFonts w:hint="eastAsia"/>
        </w:rPr>
        <w:t>3、国家相关规范及标准</w:t>
      </w:r>
    </w:p>
    <w:p w14:paraId="1C886C87">
      <w:pPr>
        <w:widowControl w:val="0"/>
        <w:spacing w:line="360" w:lineRule="auto"/>
        <w:ind w:firstLine="420" w:firstLineChars="200"/>
        <w:jc w:val="left"/>
      </w:pPr>
      <w:r>
        <w:rPr>
          <w:rFonts w:hint="eastAsia"/>
        </w:rPr>
        <w:t>4、竞争性磋商文件</w:t>
      </w:r>
    </w:p>
    <w:p w14:paraId="38B82C9E">
      <w:pPr>
        <w:widowControl w:val="0"/>
        <w:spacing w:line="360" w:lineRule="auto"/>
        <w:ind w:firstLine="420" w:firstLineChars="200"/>
        <w:jc w:val="left"/>
      </w:pPr>
      <w:r>
        <w:rPr>
          <w:rFonts w:hint="eastAsia"/>
        </w:rPr>
        <w:t>5、磋商响应文件</w:t>
      </w:r>
    </w:p>
    <w:p w14:paraId="0C947E5F">
      <w:pPr>
        <w:widowControl w:val="0"/>
        <w:spacing w:line="360" w:lineRule="auto"/>
        <w:ind w:firstLine="420" w:firstLineChars="200"/>
        <w:jc w:val="left"/>
      </w:pPr>
      <w:r>
        <w:rPr>
          <w:rFonts w:hint="eastAsia"/>
        </w:rPr>
        <w:t>十二、合同附件</w:t>
      </w:r>
    </w:p>
    <w:p w14:paraId="160411E4">
      <w:pPr>
        <w:widowControl w:val="0"/>
        <w:spacing w:line="360" w:lineRule="auto"/>
        <w:ind w:firstLine="420" w:firstLineChars="200"/>
        <w:jc w:val="left"/>
      </w:pPr>
      <w:r>
        <w:rPr>
          <w:rFonts w:hint="eastAsia"/>
        </w:rPr>
        <w:t>1、《西安楼观生态文化旅游度假区楼观市政道路及人行道面积统计表》</w:t>
      </w:r>
    </w:p>
    <w:p w14:paraId="352F2215">
      <w:pPr>
        <w:widowControl w:val="0"/>
        <w:spacing w:line="360" w:lineRule="auto"/>
        <w:ind w:firstLine="420" w:firstLineChars="200"/>
        <w:jc w:val="left"/>
      </w:pPr>
      <w:r>
        <w:rPr>
          <w:rFonts w:hint="eastAsia"/>
        </w:rPr>
        <w:t>2、《西安曲江楼观生态文化旅游度假区城市市容和环境卫生工作标准》(暂行)</w:t>
      </w:r>
    </w:p>
    <w:p w14:paraId="6C3B59B1">
      <w:pPr>
        <w:widowControl w:val="0"/>
        <w:spacing w:line="360" w:lineRule="auto"/>
        <w:ind w:firstLine="420" w:firstLineChars="200"/>
        <w:jc w:val="left"/>
      </w:pPr>
      <w:r>
        <w:rPr>
          <w:rFonts w:hint="eastAsia"/>
        </w:rPr>
        <w:t>3、《西安曲江楼观生态文化旅游度假区市容环境卫生工作操作规范及安全作业管理制度》(暂行)</w:t>
      </w:r>
    </w:p>
    <w:p w14:paraId="76F5BDDF">
      <w:pPr>
        <w:widowControl w:val="0"/>
        <w:spacing w:line="360" w:lineRule="auto"/>
        <w:ind w:firstLine="420" w:firstLineChars="200"/>
        <w:jc w:val="left"/>
      </w:pPr>
      <w:r>
        <w:rPr>
          <w:rFonts w:hint="eastAsia"/>
        </w:rPr>
        <w:t>4、《西安曲江楼观生态文化旅游度假区市容环境卫生工作考核办法》(暂行)</w:t>
      </w:r>
    </w:p>
    <w:p w14:paraId="4C82169C">
      <w:pPr>
        <w:widowControl w:val="0"/>
        <w:spacing w:line="360" w:lineRule="auto"/>
        <w:ind w:firstLine="420" w:firstLineChars="200"/>
        <w:jc w:val="left"/>
      </w:pPr>
      <w:r>
        <w:rPr>
          <w:rFonts w:hint="eastAsia"/>
        </w:rPr>
        <w:t>十三、合同生效及其它</w:t>
      </w:r>
    </w:p>
    <w:p w14:paraId="35AA4F97">
      <w:pPr>
        <w:spacing w:line="360" w:lineRule="auto"/>
        <w:ind w:firstLine="420" w:firstLineChars="200"/>
        <w:jc w:val="left"/>
        <w:rPr>
          <w:b/>
        </w:rPr>
      </w:pPr>
      <w:r>
        <w:rPr>
          <w:rFonts w:hint="eastAsia"/>
        </w:rPr>
        <w:t>1、合同未尽事宜、由甲、乙双方协商，作为合同补充，与原合同具有同等法律效力。</w:t>
      </w:r>
    </w:p>
    <w:p w14:paraId="61BC236D">
      <w:pPr>
        <w:spacing w:line="360" w:lineRule="auto"/>
        <w:ind w:firstLine="420" w:firstLineChars="200"/>
        <w:jc w:val="left"/>
        <w:rPr>
          <w:b/>
        </w:rPr>
      </w:pPr>
      <w:r>
        <w:rPr>
          <w:rFonts w:hint="eastAsia"/>
        </w:rPr>
        <w:t>2、 本合同一式</w:t>
      </w:r>
      <w:r>
        <w:rPr>
          <w:rFonts w:hint="eastAsia"/>
          <w:u w:val="single"/>
        </w:rPr>
        <w:t xml:space="preserve">  </w:t>
      </w:r>
      <w:r>
        <w:rPr>
          <w:rFonts w:hint="eastAsia"/>
        </w:rPr>
        <w:t>份，甲方、乙方双方分别执</w:t>
      </w:r>
      <w:r>
        <w:rPr>
          <w:rFonts w:hint="eastAsia"/>
          <w:u w:val="single"/>
        </w:rPr>
        <w:t xml:space="preserve">  </w:t>
      </w:r>
      <w:r>
        <w:rPr>
          <w:rFonts w:hint="eastAsia"/>
        </w:rPr>
        <w:t>份，</w:t>
      </w:r>
      <w:r>
        <w:rPr>
          <w:rFonts w:hint="eastAsia"/>
          <w:u w:val="single"/>
        </w:rPr>
        <w:t xml:space="preserve">   </w:t>
      </w:r>
      <w:r>
        <w:rPr>
          <w:rFonts w:hint="eastAsia"/>
        </w:rPr>
        <w:t>备案</w:t>
      </w:r>
      <w:r>
        <w:rPr>
          <w:rFonts w:hint="eastAsia"/>
          <w:u w:val="single"/>
        </w:rPr>
        <w:t xml:space="preserve">  </w:t>
      </w:r>
      <w:r>
        <w:rPr>
          <w:rFonts w:hint="eastAsia"/>
        </w:rPr>
        <w:t>份。</w:t>
      </w:r>
    </w:p>
    <w:p w14:paraId="09A8090F">
      <w:pPr>
        <w:spacing w:line="360" w:lineRule="auto"/>
        <w:ind w:firstLine="420" w:firstLineChars="200"/>
        <w:jc w:val="left"/>
      </w:pPr>
      <w:r>
        <w:rPr>
          <w:rFonts w:hint="eastAsia"/>
        </w:rPr>
        <w:t>3、合同经甲乙双方盖章、签字后生效，合同签订地点为</w:t>
      </w:r>
      <w:r>
        <w:rPr>
          <w:rFonts w:hint="eastAsia"/>
          <w:u w:val="single"/>
        </w:rPr>
        <w:t xml:space="preserve">   </w:t>
      </w:r>
      <w:r>
        <w:rPr>
          <w:rFonts w:hint="eastAsia"/>
        </w:rPr>
        <w:t>。</w:t>
      </w:r>
    </w:p>
    <w:p w14:paraId="0E702C9D">
      <w:pPr>
        <w:spacing w:line="360" w:lineRule="auto"/>
        <w:ind w:firstLine="420" w:firstLineChars="200"/>
        <w:jc w:val="left"/>
      </w:pPr>
      <w:r>
        <w:rPr>
          <w:rFonts w:hint="eastAsia"/>
        </w:rPr>
        <w:t>4、生效时间：</w:t>
      </w:r>
      <w:r>
        <w:rPr>
          <w:rFonts w:hint="eastAsia"/>
          <w:u w:val="single"/>
        </w:rPr>
        <w:t xml:space="preserve">   </w:t>
      </w:r>
      <w:r>
        <w:rPr>
          <w:rFonts w:hint="eastAsia"/>
        </w:rPr>
        <w:t xml:space="preserve">年 </w:t>
      </w:r>
      <w:r>
        <w:rPr>
          <w:rFonts w:hint="eastAsia"/>
          <w:u w:val="single"/>
        </w:rPr>
        <w:t xml:space="preserve">   </w:t>
      </w:r>
      <w:r>
        <w:rPr>
          <w:rFonts w:hint="eastAsia"/>
        </w:rPr>
        <w:t>月</w:t>
      </w:r>
      <w:r>
        <w:rPr>
          <w:rFonts w:hint="eastAsia"/>
          <w:u w:val="single"/>
        </w:rPr>
        <w:t xml:space="preserve">   </w:t>
      </w:r>
      <w:r>
        <w:rPr>
          <w:rFonts w:hint="eastAsia"/>
        </w:rPr>
        <w:t>日</w:t>
      </w:r>
    </w:p>
    <w:p w14:paraId="006C444D">
      <w:pPr>
        <w:jc w:val="left"/>
      </w:pPr>
    </w:p>
    <w:p w14:paraId="5F117018">
      <w:pPr>
        <w:rPr>
          <w:rFonts w:hint="eastAsia"/>
        </w:rPr>
      </w:pPr>
      <w:r>
        <w:rPr>
          <w:rFonts w:hint="eastAsia"/>
        </w:rPr>
        <w:br w:type="page"/>
      </w:r>
    </w:p>
    <w:p w14:paraId="5484F977">
      <w:pPr>
        <w:spacing w:line="360" w:lineRule="auto"/>
        <w:ind w:firstLine="420" w:firstLineChars="200"/>
        <w:jc w:val="left"/>
      </w:pPr>
      <w:r>
        <w:rPr>
          <w:rFonts w:hint="eastAsia"/>
        </w:rPr>
        <w:t xml:space="preserve">附件: </w:t>
      </w:r>
    </w:p>
    <w:p w14:paraId="0C632C9E">
      <w:pPr>
        <w:spacing w:line="360" w:lineRule="auto"/>
        <w:ind w:firstLine="420" w:firstLineChars="200"/>
        <w:jc w:val="left"/>
      </w:pPr>
      <w:r>
        <w:rPr>
          <w:rFonts w:hint="eastAsia"/>
        </w:rPr>
        <w:t>1、《西安楼观生态文化旅游度假区楼观市政道路及人行道面积统计表》</w:t>
      </w:r>
    </w:p>
    <w:p w14:paraId="53B354EE">
      <w:pPr>
        <w:spacing w:line="360" w:lineRule="auto"/>
        <w:ind w:firstLine="420" w:firstLineChars="200"/>
        <w:jc w:val="left"/>
      </w:pPr>
      <w:r>
        <w:rPr>
          <w:rFonts w:hint="eastAsia"/>
        </w:rPr>
        <w:t>2、《西安曲江楼观生态文化旅游度假区城市市容和环境卫生工作标准》(暂行)</w:t>
      </w:r>
    </w:p>
    <w:p w14:paraId="21CE1CC2">
      <w:pPr>
        <w:spacing w:line="360" w:lineRule="auto"/>
        <w:ind w:firstLine="420" w:firstLineChars="200"/>
        <w:jc w:val="left"/>
      </w:pPr>
      <w:r>
        <w:rPr>
          <w:rFonts w:hint="eastAsia"/>
        </w:rPr>
        <w:t>3、《西安曲江楼观生态文化旅游度假区市容环境卫生工作操作规范及安全作业管理制度》(暂行)</w:t>
      </w:r>
    </w:p>
    <w:p w14:paraId="7B320056">
      <w:pPr>
        <w:spacing w:line="360" w:lineRule="auto"/>
        <w:ind w:firstLine="420" w:firstLineChars="200"/>
        <w:jc w:val="left"/>
      </w:pPr>
      <w:r>
        <w:rPr>
          <w:rFonts w:hint="eastAsia"/>
        </w:rPr>
        <w:t>4、《西安曲江楼观生态文化旅游度假区市容环境卫生工作考核办法》(暂行)</w:t>
      </w:r>
    </w:p>
    <w:p w14:paraId="4843D67B">
      <w:pPr>
        <w:spacing w:line="360" w:lineRule="auto"/>
        <w:ind w:firstLine="420" w:firstLineChars="200"/>
        <w:jc w:val="left"/>
      </w:pPr>
    </w:p>
    <w:tbl>
      <w:tblPr>
        <w:tblStyle w:val="6"/>
        <w:tblW w:w="0" w:type="auto"/>
        <w:jc w:val="center"/>
        <w:tblLayout w:type="fixed"/>
        <w:tblCellMar>
          <w:top w:w="0" w:type="dxa"/>
          <w:left w:w="108" w:type="dxa"/>
          <w:bottom w:w="0" w:type="dxa"/>
          <w:right w:w="108" w:type="dxa"/>
        </w:tblCellMar>
      </w:tblPr>
      <w:tblGrid>
        <w:gridCol w:w="4643"/>
        <w:gridCol w:w="4643"/>
      </w:tblGrid>
      <w:tr w14:paraId="16DB1E59">
        <w:trPr>
          <w:jc w:val="center"/>
        </w:trPr>
        <w:tc>
          <w:tcPr>
            <w:tcW w:w="4643" w:type="dxa"/>
          </w:tcPr>
          <w:p w14:paraId="6D88149B">
            <w:pPr>
              <w:widowControl w:val="0"/>
              <w:spacing w:line="360" w:lineRule="auto"/>
              <w:jc w:val="left"/>
            </w:pPr>
            <w:r>
              <w:rPr>
                <w:rFonts w:hint="eastAsia"/>
              </w:rPr>
              <w:t>甲方名称</w:t>
            </w:r>
            <w:r>
              <w:rPr>
                <w:rFonts w:hint="eastAsia"/>
                <w:spacing w:val="-20"/>
              </w:rPr>
              <w:t>（盖章）</w:t>
            </w:r>
            <w:r>
              <w:rPr>
                <w:rFonts w:hint="eastAsia"/>
              </w:rPr>
              <w:t>：</w:t>
            </w:r>
          </w:p>
          <w:p w14:paraId="188B7C0A">
            <w:pPr>
              <w:widowControl w:val="0"/>
              <w:spacing w:line="360" w:lineRule="auto"/>
              <w:jc w:val="left"/>
            </w:pPr>
            <w:r>
              <w:rPr>
                <w:rFonts w:hint="eastAsia"/>
              </w:rPr>
              <w:t>地址：</w:t>
            </w:r>
          </w:p>
          <w:p w14:paraId="3A225DAE">
            <w:pPr>
              <w:widowControl w:val="0"/>
              <w:spacing w:line="360" w:lineRule="auto"/>
              <w:jc w:val="left"/>
            </w:pPr>
            <w:r>
              <w:rPr>
                <w:rFonts w:hint="eastAsia"/>
              </w:rPr>
              <w:t>代表人（签字）：</w:t>
            </w:r>
          </w:p>
          <w:p w14:paraId="5370B214">
            <w:pPr>
              <w:widowControl w:val="0"/>
              <w:spacing w:line="360" w:lineRule="auto"/>
              <w:jc w:val="left"/>
            </w:pPr>
            <w:r>
              <w:rPr>
                <w:rFonts w:hint="eastAsia"/>
              </w:rPr>
              <w:t>电话：</w:t>
            </w:r>
          </w:p>
          <w:p w14:paraId="256C8940">
            <w:pPr>
              <w:widowControl w:val="0"/>
              <w:spacing w:line="360" w:lineRule="auto"/>
              <w:jc w:val="left"/>
            </w:pPr>
            <w:r>
              <w:rPr>
                <w:rFonts w:hint="eastAsia"/>
              </w:rPr>
              <w:t>开户银行：</w:t>
            </w:r>
          </w:p>
          <w:p w14:paraId="4FDA29E0">
            <w:pPr>
              <w:widowControl w:val="0"/>
              <w:spacing w:line="360" w:lineRule="auto"/>
              <w:jc w:val="left"/>
            </w:pPr>
            <w:r>
              <w:rPr>
                <w:rFonts w:hint="eastAsia"/>
                <w:lang w:val="en-US" w:eastAsia="zh-CN"/>
              </w:rPr>
              <w:t>账号</w:t>
            </w:r>
            <w:r>
              <w:rPr>
                <w:rFonts w:hint="eastAsia"/>
              </w:rPr>
              <w:t>：</w:t>
            </w:r>
          </w:p>
        </w:tc>
        <w:tc>
          <w:tcPr>
            <w:tcW w:w="4643" w:type="dxa"/>
          </w:tcPr>
          <w:p w14:paraId="7F85571B">
            <w:pPr>
              <w:widowControl w:val="0"/>
              <w:spacing w:line="360" w:lineRule="auto"/>
              <w:jc w:val="left"/>
            </w:pPr>
            <w:r>
              <w:rPr>
                <w:rFonts w:hint="eastAsia"/>
              </w:rPr>
              <w:t>乙方名称</w:t>
            </w:r>
            <w:r>
              <w:rPr>
                <w:rFonts w:hint="eastAsia"/>
                <w:spacing w:val="-20"/>
              </w:rPr>
              <w:t>（盖章）</w:t>
            </w:r>
            <w:r>
              <w:rPr>
                <w:rFonts w:hint="eastAsia"/>
              </w:rPr>
              <w:t>:</w:t>
            </w:r>
          </w:p>
          <w:p w14:paraId="396B93C1">
            <w:pPr>
              <w:widowControl w:val="0"/>
              <w:spacing w:line="360" w:lineRule="auto"/>
              <w:jc w:val="left"/>
            </w:pPr>
            <w:r>
              <w:rPr>
                <w:rFonts w:hint="eastAsia"/>
              </w:rPr>
              <w:t>地址：</w:t>
            </w:r>
          </w:p>
          <w:p w14:paraId="6F103125">
            <w:pPr>
              <w:widowControl w:val="0"/>
              <w:spacing w:line="360" w:lineRule="auto"/>
              <w:jc w:val="left"/>
            </w:pPr>
            <w:r>
              <w:rPr>
                <w:rFonts w:hint="eastAsia"/>
              </w:rPr>
              <w:t>代表人（签字）：</w:t>
            </w:r>
          </w:p>
          <w:p w14:paraId="5B3A5712">
            <w:pPr>
              <w:widowControl w:val="0"/>
              <w:spacing w:line="360" w:lineRule="auto"/>
              <w:jc w:val="left"/>
            </w:pPr>
            <w:r>
              <w:rPr>
                <w:rFonts w:hint="eastAsia"/>
              </w:rPr>
              <w:t>电话：</w:t>
            </w:r>
          </w:p>
          <w:p w14:paraId="682B267A">
            <w:pPr>
              <w:widowControl w:val="0"/>
              <w:spacing w:line="360" w:lineRule="auto"/>
              <w:jc w:val="left"/>
            </w:pPr>
            <w:r>
              <w:rPr>
                <w:rFonts w:hint="eastAsia"/>
              </w:rPr>
              <w:t>开户银行：</w:t>
            </w:r>
          </w:p>
          <w:p w14:paraId="5A700776">
            <w:pPr>
              <w:widowControl w:val="0"/>
              <w:spacing w:line="360" w:lineRule="auto"/>
              <w:jc w:val="left"/>
            </w:pPr>
            <w:r>
              <w:rPr>
                <w:rFonts w:hint="eastAsia"/>
                <w:lang w:val="en-US" w:eastAsia="zh-CN"/>
              </w:rPr>
              <w:t>账号</w:t>
            </w:r>
            <w:r>
              <w:rPr>
                <w:rFonts w:hint="eastAsia"/>
              </w:rPr>
              <w:t>：</w:t>
            </w:r>
          </w:p>
        </w:tc>
      </w:tr>
    </w:tbl>
    <w:p w14:paraId="390B8B6C">
      <w:pPr>
        <w:widowControl w:val="0"/>
        <w:spacing w:line="360" w:lineRule="auto"/>
        <w:jc w:val="left"/>
        <w:rPr>
          <w:snapToGrid w:val="0"/>
        </w:rPr>
      </w:pPr>
    </w:p>
    <w:p w14:paraId="4A110205">
      <w:pPr>
        <w:pStyle w:val="5"/>
        <w:ind w:firstLine="640"/>
        <w:rPr>
          <w:snapToGrid w:val="0"/>
        </w:rPr>
      </w:pPr>
      <w:r>
        <w:rPr>
          <w:snapToGrid w:val="0"/>
        </w:rPr>
        <w:br w:type="page"/>
      </w:r>
    </w:p>
    <w:p w14:paraId="6F28060F">
      <w:pPr>
        <w:widowControl w:val="0"/>
        <w:spacing w:line="360" w:lineRule="auto"/>
        <w:jc w:val="left"/>
        <w:rPr>
          <w:snapToGrid w:val="0"/>
        </w:rPr>
      </w:pPr>
      <w:r>
        <w:rPr>
          <w:rFonts w:hint="eastAsia"/>
          <w:snapToGrid w:val="0"/>
        </w:rPr>
        <w:t>附件1：</w:t>
      </w:r>
    </w:p>
    <w:p w14:paraId="743AA6E7">
      <w:pPr>
        <w:widowControl w:val="0"/>
        <w:snapToGrid w:val="0"/>
        <w:spacing w:line="360" w:lineRule="auto"/>
        <w:rPr>
          <w:b/>
          <w:bCs/>
          <w:snapToGrid w:val="0"/>
        </w:rPr>
      </w:pPr>
      <w:r>
        <w:rPr>
          <w:rFonts w:hint="eastAsia"/>
          <w:b/>
          <w:bCs/>
          <w:snapToGrid w:val="0"/>
        </w:rPr>
        <w:t>西安楼观生态文化旅游度假区楼观新镇市政道路及人行道面积统计表</w:t>
      </w:r>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1"/>
        <w:gridCol w:w="757"/>
        <w:gridCol w:w="637"/>
        <w:gridCol w:w="740"/>
        <w:gridCol w:w="919"/>
        <w:gridCol w:w="1016"/>
        <w:gridCol w:w="648"/>
        <w:gridCol w:w="648"/>
        <w:gridCol w:w="740"/>
        <w:gridCol w:w="1048"/>
        <w:gridCol w:w="938"/>
      </w:tblGrid>
      <w:tr w14:paraId="3AC54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73F1C1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465550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道 路</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6BE19D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起止点</w:t>
            </w:r>
          </w:p>
        </w:tc>
        <w:tc>
          <w:tcPr>
            <w:tcW w:w="0" w:type="auto"/>
            <w:gridSpan w:val="3"/>
            <w:tcBorders>
              <w:top w:val="single" w:color="000000" w:sz="4" w:space="0"/>
              <w:left w:val="single" w:color="000000" w:sz="4" w:space="0"/>
              <w:bottom w:val="single" w:color="000000" w:sz="4" w:space="0"/>
              <w:right w:val="single" w:color="000000" w:sz="4" w:space="0"/>
            </w:tcBorders>
            <w:noWrap w:val="0"/>
            <w:vAlign w:val="center"/>
          </w:tcPr>
          <w:p w14:paraId="0C5B65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人行道</w:t>
            </w:r>
          </w:p>
        </w:tc>
        <w:tc>
          <w:tcPr>
            <w:tcW w:w="0" w:type="auto"/>
            <w:gridSpan w:val="3"/>
            <w:tcBorders>
              <w:top w:val="single" w:color="000000" w:sz="4" w:space="0"/>
              <w:left w:val="single" w:color="000000" w:sz="4" w:space="0"/>
              <w:bottom w:val="single" w:color="000000" w:sz="4" w:space="0"/>
              <w:right w:val="single" w:color="000000" w:sz="4" w:space="0"/>
            </w:tcBorders>
            <w:noWrap w:val="0"/>
            <w:vAlign w:val="center"/>
          </w:tcPr>
          <w:p w14:paraId="379859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车道</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58900F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面积小计(㎡)</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54367D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14:paraId="582ED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2B458D01">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4D96FA49">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4DBAA380">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021B2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长度(m）</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70066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宽度(m）</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24B36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面积(㎡)</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9C41B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长度(m）</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FE1E6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宽度(m）</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6A7C8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面积(㎡)</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56A4610D">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6C8A9551">
            <w:pPr>
              <w:jc w:val="center"/>
              <w:rPr>
                <w:rFonts w:hint="eastAsia" w:ascii="宋体" w:hAnsi="宋体" w:eastAsia="宋体" w:cs="宋体"/>
                <w:i w:val="0"/>
                <w:iCs w:val="0"/>
                <w:color w:val="000000"/>
                <w:sz w:val="20"/>
                <w:szCs w:val="20"/>
                <w:u w:val="none"/>
              </w:rPr>
            </w:pPr>
          </w:p>
        </w:tc>
      </w:tr>
      <w:tr w14:paraId="515F9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8"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78F300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78463AD">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楼观路（新镇小学段段）</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A103F8D">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文教路北侧至学院路南侧</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76497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55FC9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路西3.1  路东13.75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3B12C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10952.50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E78F7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6DFEC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75972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13650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E6EAF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24602.50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49BE2066">
            <w:pPr>
              <w:jc w:val="center"/>
              <w:rPr>
                <w:rFonts w:hint="eastAsia" w:ascii="宋体" w:hAnsi="宋体" w:eastAsia="宋体" w:cs="宋体"/>
                <w:i w:val="0"/>
                <w:iCs w:val="0"/>
                <w:color w:val="000000"/>
                <w:sz w:val="20"/>
                <w:szCs w:val="20"/>
                <w:u w:val="none"/>
              </w:rPr>
            </w:pPr>
          </w:p>
        </w:tc>
      </w:tr>
      <w:tr w14:paraId="5C3D9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6"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681EE9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C4378A1">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新镇南北路</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744660B">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文教路至八一村路界</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094BE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81037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路东6.8  路西13.7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53F46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10824.00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9D335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89AE0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CFA25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43E3C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15576.00 </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AF4D465">
            <w:pPr>
              <w:jc w:val="center"/>
              <w:rPr>
                <w:rFonts w:hint="eastAsia" w:ascii="宋体" w:hAnsi="宋体" w:eastAsia="宋体" w:cs="宋体"/>
                <w:i w:val="0"/>
                <w:iCs w:val="0"/>
                <w:color w:val="000000"/>
                <w:sz w:val="20"/>
                <w:szCs w:val="20"/>
                <w:u w:val="none"/>
              </w:rPr>
            </w:pPr>
          </w:p>
        </w:tc>
      </w:tr>
      <w:tr w14:paraId="368D5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063E74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D41F478">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新镇东路</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819CC61">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新镇路十字口向东至新镇小区围墙</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235F2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312A8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路南14.1 路北13.75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6E9E7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11891.95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867E0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DAD2B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2A81A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3843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36912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15734.95 </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51AB6EA6">
            <w:pPr>
              <w:jc w:val="center"/>
              <w:rPr>
                <w:rFonts w:hint="eastAsia" w:ascii="宋体" w:hAnsi="宋体" w:eastAsia="宋体" w:cs="宋体"/>
                <w:i w:val="0"/>
                <w:iCs w:val="0"/>
                <w:color w:val="000000"/>
                <w:sz w:val="20"/>
                <w:szCs w:val="20"/>
                <w:u w:val="none"/>
              </w:rPr>
            </w:pPr>
          </w:p>
        </w:tc>
      </w:tr>
      <w:tr w14:paraId="011E0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0" w:type="auto"/>
            <w:tcBorders>
              <w:top w:val="single" w:color="000000" w:sz="4" w:space="0"/>
              <w:left w:val="single" w:color="000000" w:sz="4" w:space="0"/>
              <w:bottom w:val="single" w:color="000000" w:sz="4" w:space="0"/>
              <w:right w:val="single" w:color="000000" w:sz="4" w:space="0"/>
            </w:tcBorders>
            <w:noWrap w:val="0"/>
            <w:vAlign w:val="center"/>
          </w:tcPr>
          <w:p w14:paraId="6B7D15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DB6F10A">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新镇西路</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2DCB2BC">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新镇路十字口至楼观路</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7BA7D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B345A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路南14.1 路北13.75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8790B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4734.50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D7317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AE518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36EEF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69E91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6264.50 </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2A09FDD">
            <w:pPr>
              <w:jc w:val="center"/>
              <w:rPr>
                <w:rFonts w:hint="eastAsia" w:ascii="宋体" w:hAnsi="宋体" w:eastAsia="宋体" w:cs="宋体"/>
                <w:i w:val="0"/>
                <w:iCs w:val="0"/>
                <w:color w:val="000000"/>
                <w:sz w:val="20"/>
                <w:szCs w:val="20"/>
                <w:u w:val="none"/>
              </w:rPr>
            </w:pPr>
          </w:p>
        </w:tc>
      </w:tr>
      <w:tr w14:paraId="37EC7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0" w:type="auto"/>
            <w:tcBorders>
              <w:top w:val="single" w:color="000000" w:sz="4" w:space="0"/>
              <w:left w:val="single" w:color="000000" w:sz="4" w:space="0"/>
              <w:bottom w:val="nil"/>
              <w:right w:val="single" w:color="000000" w:sz="4" w:space="0"/>
            </w:tcBorders>
            <w:noWrap w:val="0"/>
            <w:vAlign w:val="center"/>
          </w:tcPr>
          <w:p w14:paraId="2ACB1C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nil"/>
              <w:right w:val="single" w:color="000000" w:sz="4" w:space="0"/>
            </w:tcBorders>
            <w:noWrap w:val="0"/>
            <w:vAlign w:val="center"/>
          </w:tcPr>
          <w:p w14:paraId="0388DF0E">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学院路</w:t>
            </w:r>
          </w:p>
        </w:tc>
        <w:tc>
          <w:tcPr>
            <w:tcW w:w="0" w:type="auto"/>
            <w:tcBorders>
              <w:top w:val="single" w:color="000000" w:sz="4" w:space="0"/>
              <w:left w:val="single" w:color="000000" w:sz="4" w:space="0"/>
              <w:bottom w:val="nil"/>
              <w:right w:val="single" w:color="000000" w:sz="4" w:space="0"/>
            </w:tcBorders>
            <w:noWrap w:val="0"/>
            <w:vAlign w:val="center"/>
          </w:tcPr>
          <w:p w14:paraId="70E16C44">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楼观路北口至终台路</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192BC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66CC0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9C922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646.00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A29D2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961C9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11575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2380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BFE95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3026.00 </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5D59D2FF">
            <w:pPr>
              <w:jc w:val="center"/>
              <w:rPr>
                <w:rFonts w:hint="eastAsia" w:ascii="宋体" w:hAnsi="宋体" w:eastAsia="宋体" w:cs="宋体"/>
                <w:i w:val="0"/>
                <w:iCs w:val="0"/>
                <w:color w:val="000000"/>
                <w:sz w:val="20"/>
                <w:szCs w:val="20"/>
                <w:u w:val="none"/>
              </w:rPr>
            </w:pPr>
          </w:p>
        </w:tc>
      </w:tr>
      <w:tr w14:paraId="1AAE2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0" w:type="auto"/>
            <w:tcBorders>
              <w:top w:val="single" w:color="000000" w:sz="4" w:space="0"/>
              <w:left w:val="single" w:color="000000" w:sz="4" w:space="0"/>
              <w:bottom w:val="nil"/>
              <w:right w:val="single" w:color="000000" w:sz="4" w:space="0"/>
            </w:tcBorders>
            <w:noWrap w:val="0"/>
            <w:vAlign w:val="center"/>
          </w:tcPr>
          <w:p w14:paraId="605BB9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nil"/>
              <w:right w:val="single" w:color="000000" w:sz="4" w:space="0"/>
            </w:tcBorders>
            <w:noWrap w:val="0"/>
            <w:vAlign w:val="center"/>
          </w:tcPr>
          <w:p w14:paraId="5F513A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福园东门</w:t>
            </w:r>
          </w:p>
        </w:tc>
        <w:tc>
          <w:tcPr>
            <w:tcW w:w="0" w:type="auto"/>
            <w:tcBorders>
              <w:top w:val="single" w:color="000000" w:sz="4" w:space="0"/>
              <w:left w:val="single" w:color="000000" w:sz="4" w:space="0"/>
              <w:bottom w:val="nil"/>
              <w:right w:val="single" w:color="000000" w:sz="4" w:space="0"/>
            </w:tcBorders>
            <w:noWrap w:val="0"/>
            <w:vAlign w:val="center"/>
          </w:tcPr>
          <w:p w14:paraId="2E39EDC8">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97495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A08BB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854AC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325.38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47392CD">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6B6E43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93415E3">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81780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325.38 </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14:paraId="6F9393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各区出入大门外至商户外墙皮及消防通道大门外至商户外墙皮按道路路面统计</w:t>
            </w:r>
          </w:p>
        </w:tc>
      </w:tr>
      <w:tr w14:paraId="70FE0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0" w:type="auto"/>
            <w:tcBorders>
              <w:top w:val="single" w:color="000000" w:sz="4" w:space="0"/>
              <w:left w:val="single" w:color="000000" w:sz="4" w:space="0"/>
              <w:bottom w:val="nil"/>
              <w:right w:val="single" w:color="000000" w:sz="4" w:space="0"/>
            </w:tcBorders>
            <w:noWrap w:val="0"/>
            <w:vAlign w:val="center"/>
          </w:tcPr>
          <w:p w14:paraId="4A2A1A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nil"/>
              <w:right w:val="single" w:color="000000" w:sz="4" w:space="0"/>
            </w:tcBorders>
            <w:noWrap w:val="0"/>
            <w:vAlign w:val="center"/>
          </w:tcPr>
          <w:p w14:paraId="47965C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福园西门</w:t>
            </w:r>
          </w:p>
        </w:tc>
        <w:tc>
          <w:tcPr>
            <w:tcW w:w="0" w:type="auto"/>
            <w:tcBorders>
              <w:top w:val="single" w:color="000000" w:sz="4" w:space="0"/>
              <w:left w:val="single" w:color="000000" w:sz="4" w:space="0"/>
              <w:bottom w:val="nil"/>
              <w:right w:val="single" w:color="000000" w:sz="4" w:space="0"/>
            </w:tcBorders>
            <w:noWrap w:val="0"/>
            <w:vAlign w:val="center"/>
          </w:tcPr>
          <w:p w14:paraId="40F302F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446E9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0FD8F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7E6C4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478.24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9036C6B">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F3BC792">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9150AD0">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6A37F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478.24 </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DB37240">
            <w:pPr>
              <w:jc w:val="center"/>
              <w:rPr>
                <w:rFonts w:hint="eastAsia" w:ascii="宋体" w:hAnsi="宋体" w:eastAsia="宋体" w:cs="宋体"/>
                <w:i w:val="0"/>
                <w:iCs w:val="0"/>
                <w:color w:val="000000"/>
                <w:sz w:val="20"/>
                <w:szCs w:val="20"/>
                <w:u w:val="none"/>
              </w:rPr>
            </w:pPr>
          </w:p>
        </w:tc>
      </w:tr>
      <w:tr w14:paraId="78870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0" w:type="auto"/>
            <w:tcBorders>
              <w:top w:val="single" w:color="000000" w:sz="4" w:space="0"/>
              <w:left w:val="single" w:color="000000" w:sz="4" w:space="0"/>
              <w:bottom w:val="nil"/>
              <w:right w:val="single" w:color="000000" w:sz="4" w:space="0"/>
            </w:tcBorders>
            <w:noWrap w:val="0"/>
            <w:vAlign w:val="center"/>
          </w:tcPr>
          <w:p w14:paraId="139852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nil"/>
              <w:right w:val="single" w:color="000000" w:sz="4" w:space="0"/>
            </w:tcBorders>
            <w:noWrap w:val="0"/>
            <w:vAlign w:val="center"/>
          </w:tcPr>
          <w:p w14:paraId="6205EF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福园北门</w:t>
            </w:r>
          </w:p>
        </w:tc>
        <w:tc>
          <w:tcPr>
            <w:tcW w:w="0" w:type="auto"/>
            <w:tcBorders>
              <w:top w:val="single" w:color="000000" w:sz="4" w:space="0"/>
              <w:left w:val="single" w:color="000000" w:sz="4" w:space="0"/>
              <w:bottom w:val="nil"/>
              <w:right w:val="single" w:color="000000" w:sz="4" w:space="0"/>
            </w:tcBorders>
            <w:noWrap w:val="0"/>
            <w:vAlign w:val="center"/>
          </w:tcPr>
          <w:p w14:paraId="5F106DC9">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946CC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A72C3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00D24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236.25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E0D4BF0">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C582785">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F2E078B">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7A5C1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236.25 </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7CAC9278">
            <w:pPr>
              <w:jc w:val="center"/>
              <w:rPr>
                <w:rFonts w:hint="eastAsia" w:ascii="宋体" w:hAnsi="宋体" w:eastAsia="宋体" w:cs="宋体"/>
                <w:i w:val="0"/>
                <w:iCs w:val="0"/>
                <w:color w:val="000000"/>
                <w:sz w:val="20"/>
                <w:szCs w:val="20"/>
                <w:u w:val="none"/>
              </w:rPr>
            </w:pPr>
          </w:p>
        </w:tc>
      </w:tr>
      <w:tr w14:paraId="17FC5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0" w:type="auto"/>
            <w:tcBorders>
              <w:top w:val="single" w:color="000000" w:sz="4" w:space="0"/>
              <w:left w:val="single" w:color="000000" w:sz="4" w:space="0"/>
              <w:bottom w:val="nil"/>
              <w:right w:val="single" w:color="000000" w:sz="4" w:space="0"/>
            </w:tcBorders>
            <w:noWrap w:val="0"/>
            <w:vAlign w:val="center"/>
          </w:tcPr>
          <w:p w14:paraId="39D1C1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nil"/>
              <w:right w:val="single" w:color="000000" w:sz="4" w:space="0"/>
            </w:tcBorders>
            <w:noWrap w:val="0"/>
            <w:vAlign w:val="center"/>
          </w:tcPr>
          <w:p w14:paraId="660A60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禧园西门</w:t>
            </w:r>
          </w:p>
        </w:tc>
        <w:tc>
          <w:tcPr>
            <w:tcW w:w="0" w:type="auto"/>
            <w:tcBorders>
              <w:top w:val="single" w:color="000000" w:sz="4" w:space="0"/>
              <w:left w:val="single" w:color="000000" w:sz="4" w:space="0"/>
              <w:bottom w:val="nil"/>
              <w:right w:val="single" w:color="000000" w:sz="4" w:space="0"/>
            </w:tcBorders>
            <w:noWrap w:val="0"/>
            <w:vAlign w:val="center"/>
          </w:tcPr>
          <w:p w14:paraId="00A97C8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DA2E2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47.1</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89576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C7E85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466.29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FCAD1DA">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5D809DC">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2E51105">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4B4F1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466.29 </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204659D6">
            <w:pPr>
              <w:jc w:val="center"/>
              <w:rPr>
                <w:rFonts w:hint="eastAsia" w:ascii="宋体" w:hAnsi="宋体" w:eastAsia="宋体" w:cs="宋体"/>
                <w:i w:val="0"/>
                <w:iCs w:val="0"/>
                <w:color w:val="000000"/>
                <w:sz w:val="20"/>
                <w:szCs w:val="20"/>
                <w:u w:val="none"/>
              </w:rPr>
            </w:pPr>
          </w:p>
        </w:tc>
      </w:tr>
      <w:tr w14:paraId="1CB5C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0" w:type="auto"/>
            <w:tcBorders>
              <w:top w:val="single" w:color="000000" w:sz="4" w:space="0"/>
              <w:left w:val="single" w:color="000000" w:sz="4" w:space="0"/>
              <w:bottom w:val="nil"/>
              <w:right w:val="single" w:color="000000" w:sz="4" w:space="0"/>
            </w:tcBorders>
            <w:noWrap w:val="0"/>
            <w:vAlign w:val="center"/>
          </w:tcPr>
          <w:p w14:paraId="70B797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nil"/>
              <w:right w:val="single" w:color="000000" w:sz="4" w:space="0"/>
            </w:tcBorders>
            <w:noWrap w:val="0"/>
            <w:vAlign w:val="center"/>
          </w:tcPr>
          <w:p w14:paraId="2ED746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禧园北门</w:t>
            </w:r>
          </w:p>
        </w:tc>
        <w:tc>
          <w:tcPr>
            <w:tcW w:w="0" w:type="auto"/>
            <w:tcBorders>
              <w:top w:val="single" w:color="000000" w:sz="4" w:space="0"/>
              <w:left w:val="single" w:color="000000" w:sz="4" w:space="0"/>
              <w:bottom w:val="nil"/>
              <w:right w:val="single" w:color="000000" w:sz="4" w:space="0"/>
            </w:tcBorders>
            <w:noWrap w:val="0"/>
            <w:vAlign w:val="center"/>
          </w:tcPr>
          <w:p w14:paraId="15B612E7">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E0C4A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CFF68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5E906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199.10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4635A56">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F0509F5">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7D6A56F">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A170C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199.10 </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3463F58B">
            <w:pPr>
              <w:jc w:val="center"/>
              <w:rPr>
                <w:rFonts w:hint="eastAsia" w:ascii="宋体" w:hAnsi="宋体" w:eastAsia="宋体" w:cs="宋体"/>
                <w:i w:val="0"/>
                <w:iCs w:val="0"/>
                <w:color w:val="000000"/>
                <w:sz w:val="20"/>
                <w:szCs w:val="20"/>
                <w:u w:val="none"/>
              </w:rPr>
            </w:pPr>
          </w:p>
        </w:tc>
      </w:tr>
      <w:tr w14:paraId="7645A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6" w:hRule="atLeast"/>
        </w:trPr>
        <w:tc>
          <w:tcPr>
            <w:tcW w:w="0" w:type="auto"/>
            <w:tcBorders>
              <w:top w:val="single" w:color="000000" w:sz="4" w:space="0"/>
              <w:left w:val="single" w:color="000000" w:sz="4" w:space="0"/>
              <w:bottom w:val="nil"/>
              <w:right w:val="single" w:color="000000" w:sz="4" w:space="0"/>
            </w:tcBorders>
            <w:noWrap w:val="0"/>
            <w:vAlign w:val="center"/>
          </w:tcPr>
          <w:p w14:paraId="391AE9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nil"/>
              <w:right w:val="single" w:color="000000" w:sz="4" w:space="0"/>
            </w:tcBorders>
            <w:noWrap w:val="0"/>
            <w:vAlign w:val="center"/>
          </w:tcPr>
          <w:p w14:paraId="194583E2">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禧园物业门口1</w:t>
            </w:r>
          </w:p>
        </w:tc>
        <w:tc>
          <w:tcPr>
            <w:tcW w:w="0" w:type="auto"/>
            <w:tcBorders>
              <w:top w:val="single" w:color="000000" w:sz="4" w:space="0"/>
              <w:left w:val="single" w:color="000000" w:sz="4" w:space="0"/>
              <w:bottom w:val="nil"/>
              <w:right w:val="single" w:color="000000" w:sz="4" w:space="0"/>
            </w:tcBorders>
            <w:noWrap w:val="0"/>
            <w:vAlign w:val="center"/>
          </w:tcPr>
          <w:p w14:paraId="0D1FDC2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3991D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7D26D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DE5AD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81.70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366675B">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6F0F9E5">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5C0C93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D7DA9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81.70 </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59CB3561">
            <w:pPr>
              <w:jc w:val="center"/>
              <w:rPr>
                <w:rFonts w:hint="eastAsia" w:ascii="宋体" w:hAnsi="宋体" w:eastAsia="宋体" w:cs="宋体"/>
                <w:i w:val="0"/>
                <w:iCs w:val="0"/>
                <w:color w:val="000000"/>
                <w:sz w:val="20"/>
                <w:szCs w:val="20"/>
                <w:u w:val="none"/>
              </w:rPr>
            </w:pPr>
          </w:p>
        </w:tc>
      </w:tr>
      <w:tr w14:paraId="39B17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6" w:hRule="atLeast"/>
        </w:trPr>
        <w:tc>
          <w:tcPr>
            <w:tcW w:w="0" w:type="auto"/>
            <w:tcBorders>
              <w:top w:val="single" w:color="000000" w:sz="4" w:space="0"/>
              <w:left w:val="single" w:color="000000" w:sz="4" w:space="0"/>
              <w:bottom w:val="nil"/>
              <w:right w:val="single" w:color="000000" w:sz="4" w:space="0"/>
            </w:tcBorders>
            <w:noWrap w:val="0"/>
            <w:vAlign w:val="center"/>
          </w:tcPr>
          <w:p w14:paraId="75EE3C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nil"/>
              <w:right w:val="single" w:color="000000" w:sz="4" w:space="0"/>
            </w:tcBorders>
            <w:noWrap w:val="0"/>
            <w:vAlign w:val="center"/>
          </w:tcPr>
          <w:p w14:paraId="05EDCF18">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禧园物业门口2</w:t>
            </w:r>
          </w:p>
        </w:tc>
        <w:tc>
          <w:tcPr>
            <w:tcW w:w="0" w:type="auto"/>
            <w:tcBorders>
              <w:top w:val="single" w:color="000000" w:sz="4" w:space="0"/>
              <w:left w:val="single" w:color="000000" w:sz="4" w:space="0"/>
              <w:bottom w:val="nil"/>
              <w:right w:val="single" w:color="000000" w:sz="4" w:space="0"/>
            </w:tcBorders>
            <w:noWrap w:val="0"/>
            <w:vAlign w:val="center"/>
          </w:tcPr>
          <w:p w14:paraId="1E2A2F6F">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841F2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3B11A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482C1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36.72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0E628D6">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A38DBFA">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7F165F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25601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36.72 </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1C39EF8D">
            <w:pPr>
              <w:jc w:val="center"/>
              <w:rPr>
                <w:rFonts w:hint="eastAsia" w:ascii="宋体" w:hAnsi="宋体" w:eastAsia="宋体" w:cs="宋体"/>
                <w:i w:val="0"/>
                <w:iCs w:val="0"/>
                <w:color w:val="000000"/>
                <w:sz w:val="20"/>
                <w:szCs w:val="20"/>
                <w:u w:val="none"/>
              </w:rPr>
            </w:pPr>
          </w:p>
        </w:tc>
      </w:tr>
      <w:tr w14:paraId="07994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0" w:type="auto"/>
            <w:tcBorders>
              <w:top w:val="single" w:color="000000" w:sz="4" w:space="0"/>
              <w:left w:val="single" w:color="000000" w:sz="4" w:space="0"/>
              <w:bottom w:val="nil"/>
              <w:right w:val="single" w:color="000000" w:sz="4" w:space="0"/>
            </w:tcBorders>
            <w:noWrap w:val="0"/>
            <w:vAlign w:val="center"/>
          </w:tcPr>
          <w:p w14:paraId="08B6AA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0" w:type="auto"/>
            <w:tcBorders>
              <w:top w:val="single" w:color="000000" w:sz="4" w:space="0"/>
              <w:left w:val="single" w:color="000000" w:sz="4" w:space="0"/>
              <w:bottom w:val="nil"/>
              <w:right w:val="single" w:color="000000" w:sz="4" w:space="0"/>
            </w:tcBorders>
            <w:noWrap w:val="0"/>
            <w:vAlign w:val="center"/>
          </w:tcPr>
          <w:p w14:paraId="08F66B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和园南门</w:t>
            </w:r>
          </w:p>
        </w:tc>
        <w:tc>
          <w:tcPr>
            <w:tcW w:w="0" w:type="auto"/>
            <w:tcBorders>
              <w:top w:val="single" w:color="000000" w:sz="4" w:space="0"/>
              <w:left w:val="single" w:color="000000" w:sz="4" w:space="0"/>
              <w:bottom w:val="nil"/>
              <w:right w:val="single" w:color="000000" w:sz="4" w:space="0"/>
            </w:tcBorders>
            <w:noWrap w:val="0"/>
            <w:vAlign w:val="center"/>
          </w:tcPr>
          <w:p w14:paraId="7C338A72">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E0BFD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417E4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D6593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199.10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EC3E769">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F805CEA">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04BD89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B2024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199.10 </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704FF01B">
            <w:pPr>
              <w:jc w:val="center"/>
              <w:rPr>
                <w:rFonts w:hint="eastAsia" w:ascii="宋体" w:hAnsi="宋体" w:eastAsia="宋体" w:cs="宋体"/>
                <w:i w:val="0"/>
                <w:iCs w:val="0"/>
                <w:color w:val="000000"/>
                <w:sz w:val="20"/>
                <w:szCs w:val="20"/>
                <w:u w:val="none"/>
              </w:rPr>
            </w:pPr>
          </w:p>
        </w:tc>
      </w:tr>
      <w:tr w14:paraId="14452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0" w:type="auto"/>
            <w:tcBorders>
              <w:top w:val="single" w:color="000000" w:sz="4" w:space="0"/>
              <w:left w:val="single" w:color="000000" w:sz="4" w:space="0"/>
              <w:bottom w:val="nil"/>
              <w:right w:val="single" w:color="000000" w:sz="4" w:space="0"/>
            </w:tcBorders>
            <w:noWrap w:val="0"/>
            <w:vAlign w:val="center"/>
          </w:tcPr>
          <w:p w14:paraId="042D29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0" w:type="auto"/>
            <w:tcBorders>
              <w:top w:val="single" w:color="000000" w:sz="4" w:space="0"/>
              <w:left w:val="single" w:color="000000" w:sz="4" w:space="0"/>
              <w:bottom w:val="nil"/>
              <w:right w:val="single" w:color="000000" w:sz="4" w:space="0"/>
            </w:tcBorders>
            <w:noWrap w:val="0"/>
            <w:vAlign w:val="center"/>
          </w:tcPr>
          <w:p w14:paraId="797665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和园西门</w:t>
            </w:r>
          </w:p>
        </w:tc>
        <w:tc>
          <w:tcPr>
            <w:tcW w:w="0" w:type="auto"/>
            <w:tcBorders>
              <w:top w:val="single" w:color="000000" w:sz="4" w:space="0"/>
              <w:left w:val="single" w:color="000000" w:sz="4" w:space="0"/>
              <w:bottom w:val="nil"/>
              <w:right w:val="single" w:color="000000" w:sz="4" w:space="0"/>
            </w:tcBorders>
            <w:noWrap w:val="0"/>
            <w:vAlign w:val="center"/>
          </w:tcPr>
          <w:p w14:paraId="5E1E08C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8DEBF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A95FD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23FEC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453.15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2009D48">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FE003F4">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1F5AE82">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60EF8F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453.15 </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53A631CE">
            <w:pPr>
              <w:jc w:val="center"/>
              <w:rPr>
                <w:rFonts w:hint="eastAsia" w:ascii="宋体" w:hAnsi="宋体" w:eastAsia="宋体" w:cs="宋体"/>
                <w:i w:val="0"/>
                <w:iCs w:val="0"/>
                <w:color w:val="000000"/>
                <w:sz w:val="20"/>
                <w:szCs w:val="20"/>
                <w:u w:val="none"/>
              </w:rPr>
            </w:pPr>
          </w:p>
        </w:tc>
      </w:tr>
      <w:tr w14:paraId="26A06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0" w:type="auto"/>
            <w:tcBorders>
              <w:top w:val="single" w:color="000000" w:sz="4" w:space="0"/>
              <w:left w:val="single" w:color="000000" w:sz="4" w:space="0"/>
              <w:bottom w:val="nil"/>
              <w:right w:val="single" w:color="000000" w:sz="4" w:space="0"/>
            </w:tcBorders>
            <w:noWrap w:val="0"/>
            <w:vAlign w:val="center"/>
          </w:tcPr>
          <w:p w14:paraId="423CB2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0" w:type="auto"/>
            <w:tcBorders>
              <w:top w:val="single" w:color="000000" w:sz="4" w:space="0"/>
              <w:left w:val="single" w:color="000000" w:sz="4" w:space="0"/>
              <w:bottom w:val="nil"/>
              <w:right w:val="single" w:color="000000" w:sz="4" w:space="0"/>
            </w:tcBorders>
            <w:noWrap w:val="0"/>
            <w:vAlign w:val="center"/>
          </w:tcPr>
          <w:p w14:paraId="015330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禧园消防通道</w:t>
            </w:r>
          </w:p>
        </w:tc>
        <w:tc>
          <w:tcPr>
            <w:tcW w:w="0" w:type="auto"/>
            <w:tcBorders>
              <w:top w:val="single" w:color="000000" w:sz="4" w:space="0"/>
              <w:left w:val="single" w:color="000000" w:sz="4" w:space="0"/>
              <w:bottom w:val="nil"/>
              <w:right w:val="single" w:color="000000" w:sz="4" w:space="0"/>
            </w:tcBorders>
            <w:noWrap w:val="0"/>
            <w:vAlign w:val="center"/>
          </w:tcPr>
          <w:p w14:paraId="386B4C57">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066AA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58B2DE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F987B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271.40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49132BE3">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7964D0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BB7552B">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11739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271.40 </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2C713D1E">
            <w:pPr>
              <w:jc w:val="center"/>
              <w:rPr>
                <w:rFonts w:hint="eastAsia" w:ascii="宋体" w:hAnsi="宋体" w:eastAsia="宋体" w:cs="宋体"/>
                <w:i w:val="0"/>
                <w:iCs w:val="0"/>
                <w:color w:val="000000"/>
                <w:sz w:val="20"/>
                <w:szCs w:val="20"/>
                <w:u w:val="none"/>
              </w:rPr>
            </w:pPr>
          </w:p>
        </w:tc>
      </w:tr>
      <w:tr w14:paraId="10FDB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0" w:type="auto"/>
            <w:tcBorders>
              <w:top w:val="single" w:color="000000" w:sz="4" w:space="0"/>
              <w:left w:val="single" w:color="000000" w:sz="4" w:space="0"/>
              <w:bottom w:val="nil"/>
              <w:right w:val="single" w:color="000000" w:sz="4" w:space="0"/>
            </w:tcBorders>
            <w:noWrap w:val="0"/>
            <w:vAlign w:val="center"/>
          </w:tcPr>
          <w:p w14:paraId="68C380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0" w:type="auto"/>
            <w:tcBorders>
              <w:top w:val="single" w:color="000000" w:sz="4" w:space="0"/>
              <w:left w:val="single" w:color="000000" w:sz="4" w:space="0"/>
              <w:bottom w:val="nil"/>
              <w:right w:val="single" w:color="000000" w:sz="4" w:space="0"/>
            </w:tcBorders>
            <w:noWrap w:val="0"/>
            <w:vAlign w:val="center"/>
          </w:tcPr>
          <w:p w14:paraId="669467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和园消防通道</w:t>
            </w:r>
          </w:p>
        </w:tc>
        <w:tc>
          <w:tcPr>
            <w:tcW w:w="0" w:type="auto"/>
            <w:tcBorders>
              <w:top w:val="single" w:color="000000" w:sz="4" w:space="0"/>
              <w:left w:val="single" w:color="000000" w:sz="4" w:space="0"/>
              <w:bottom w:val="nil"/>
              <w:right w:val="single" w:color="000000" w:sz="4" w:space="0"/>
            </w:tcBorders>
            <w:noWrap w:val="0"/>
            <w:vAlign w:val="center"/>
          </w:tcPr>
          <w:p w14:paraId="07FD74B8">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34E9EC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96675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29164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129.68 </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77FE1D98">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1AAD862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2CACBFD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14:paraId="078338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129.68 </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14:paraId="5169AFA1">
            <w:pPr>
              <w:jc w:val="center"/>
              <w:rPr>
                <w:rFonts w:hint="eastAsia" w:ascii="宋体" w:hAnsi="宋体" w:eastAsia="宋体" w:cs="宋体"/>
                <w:i w:val="0"/>
                <w:iCs w:val="0"/>
                <w:color w:val="000000"/>
                <w:sz w:val="20"/>
                <w:szCs w:val="20"/>
                <w:u w:val="none"/>
              </w:rPr>
            </w:pPr>
          </w:p>
        </w:tc>
      </w:tr>
      <w:tr w14:paraId="4FFC2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0" w:type="auto"/>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0C3447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合计(m）</w:t>
            </w:r>
          </w:p>
        </w:tc>
        <w:tc>
          <w:tcPr>
            <w:tcW w:w="0" w:type="auto"/>
            <w:gridSpan w:val="3"/>
            <w:tcBorders>
              <w:top w:val="single" w:color="000000" w:sz="4" w:space="0"/>
              <w:left w:val="nil"/>
              <w:bottom w:val="single" w:color="000000" w:sz="4" w:space="0"/>
              <w:right w:val="single" w:color="000000" w:sz="4" w:space="0"/>
            </w:tcBorders>
            <w:noWrap w:val="0"/>
            <w:vAlign w:val="center"/>
          </w:tcPr>
          <w:p w14:paraId="24E20E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41925.95</w:t>
            </w:r>
          </w:p>
        </w:tc>
        <w:tc>
          <w:tcPr>
            <w:tcW w:w="0" w:type="auto"/>
            <w:gridSpan w:val="3"/>
            <w:tcBorders>
              <w:top w:val="single" w:color="000000" w:sz="4" w:space="0"/>
              <w:left w:val="single" w:color="000000" w:sz="4" w:space="0"/>
              <w:bottom w:val="single" w:color="000000" w:sz="4" w:space="0"/>
              <w:right w:val="single" w:color="000000" w:sz="4" w:space="0"/>
            </w:tcBorders>
            <w:noWrap w:val="0"/>
            <w:vAlign w:val="center"/>
          </w:tcPr>
          <w:p w14:paraId="2665F2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26155.00 </w:t>
            </w:r>
          </w:p>
        </w:tc>
        <w:tc>
          <w:tcPr>
            <w:tcW w:w="0" w:type="auto"/>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0C97F1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68080.95</w:t>
            </w:r>
          </w:p>
        </w:tc>
      </w:tr>
      <w:tr w14:paraId="17B2F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2363794A">
            <w:pPr>
              <w:jc w:val="center"/>
              <w:rPr>
                <w:rFonts w:hint="eastAsia" w:ascii="宋体" w:hAnsi="宋体" w:eastAsia="宋体" w:cs="宋体"/>
                <w:i w:val="0"/>
                <w:iCs w:val="0"/>
                <w:color w:val="000000"/>
                <w:sz w:val="20"/>
                <w:szCs w:val="20"/>
                <w:u w:val="none"/>
              </w:rPr>
            </w:pPr>
          </w:p>
        </w:tc>
        <w:tc>
          <w:tcPr>
            <w:tcW w:w="0" w:type="auto"/>
            <w:gridSpan w:val="6"/>
            <w:tcBorders>
              <w:top w:val="single" w:color="000000" w:sz="4" w:space="0"/>
              <w:left w:val="nil"/>
              <w:bottom w:val="single" w:color="000000" w:sz="4" w:space="0"/>
              <w:right w:val="single" w:color="000000" w:sz="4" w:space="0"/>
            </w:tcBorders>
            <w:noWrap w:val="0"/>
            <w:vAlign w:val="center"/>
          </w:tcPr>
          <w:p w14:paraId="6E4FA4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68080.95</w:t>
            </w:r>
          </w:p>
        </w:tc>
        <w:tc>
          <w:tcPr>
            <w:tcW w:w="0" w:type="auto"/>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30EA22F5">
            <w:pPr>
              <w:jc w:val="center"/>
              <w:rPr>
                <w:rFonts w:hint="eastAsia" w:ascii="宋体" w:hAnsi="宋体" w:eastAsia="宋体" w:cs="宋体"/>
                <w:i w:val="0"/>
                <w:iCs w:val="0"/>
                <w:color w:val="000000"/>
                <w:sz w:val="20"/>
                <w:szCs w:val="20"/>
                <w:u w:val="none"/>
              </w:rPr>
            </w:pPr>
          </w:p>
        </w:tc>
      </w:tr>
    </w:tbl>
    <w:p w14:paraId="697F25F2">
      <w:pPr>
        <w:pStyle w:val="5"/>
        <w:ind w:firstLine="0" w:firstLineChars="0"/>
      </w:pPr>
    </w:p>
    <w:p w14:paraId="3642C424">
      <w:pPr>
        <w:rPr>
          <w:snapToGrid w:val="0"/>
        </w:rPr>
      </w:pPr>
      <w:r>
        <w:rPr>
          <w:rFonts w:hint="eastAsia"/>
          <w:snapToGrid w:val="0"/>
        </w:rPr>
        <w:br w:type="page"/>
      </w:r>
    </w:p>
    <w:p w14:paraId="3A6B6D26">
      <w:pPr>
        <w:widowControl w:val="0"/>
        <w:spacing w:line="360" w:lineRule="auto"/>
        <w:jc w:val="left"/>
        <w:rPr>
          <w:snapToGrid w:val="0"/>
        </w:rPr>
      </w:pPr>
      <w:r>
        <w:rPr>
          <w:rFonts w:hint="eastAsia"/>
          <w:snapToGrid w:val="0"/>
        </w:rPr>
        <w:t>附件2：</w:t>
      </w:r>
    </w:p>
    <w:p w14:paraId="46471D00">
      <w:pPr>
        <w:widowControl w:val="0"/>
        <w:spacing w:line="360" w:lineRule="auto"/>
        <w:rPr>
          <w:b/>
          <w:bCs/>
          <w:snapToGrid w:val="0"/>
        </w:rPr>
      </w:pPr>
      <w:r>
        <w:rPr>
          <w:rFonts w:hint="eastAsia"/>
          <w:b/>
          <w:bCs/>
          <w:snapToGrid w:val="0"/>
        </w:rPr>
        <w:t>《西安曲江楼观生态文化旅游度假区城市市容和环境卫生工作标准》(暂行)</w:t>
      </w:r>
    </w:p>
    <w:p w14:paraId="33BC7568">
      <w:pPr>
        <w:pStyle w:val="10"/>
        <w:ind w:firstLine="400"/>
      </w:pPr>
      <w:r>
        <w:rPr>
          <w:rFonts w:ascii="宋体" w:hAnsi="宋体" w:eastAsia="宋体" w:cs="宋体"/>
          <w:sz w:val="20"/>
        </w:rPr>
        <w:t xml:space="preserve">1. </w:t>
      </w:r>
      <w:r>
        <w:rPr>
          <w:rFonts w:hint="eastAsia" w:ascii="宋体" w:hAnsi="宋体" w:eastAsia="宋体" w:cs="宋体"/>
          <w:sz w:val="20"/>
        </w:rPr>
        <w:t>清扫频率：每两日普扫1次，确保路面无杂物、垃圾，保持路面清洁</w:t>
      </w:r>
      <w:r>
        <w:rPr>
          <w:rFonts w:ascii="宋体" w:hAnsi="宋体" w:eastAsia="宋体" w:cs="宋体"/>
          <w:sz w:val="20"/>
        </w:rPr>
        <w:t>。</w:t>
      </w:r>
    </w:p>
    <w:p w14:paraId="4F4C2466">
      <w:pPr>
        <w:pStyle w:val="10"/>
        <w:ind w:firstLine="400"/>
      </w:pPr>
      <w:r>
        <w:rPr>
          <w:rFonts w:ascii="宋体" w:hAnsi="宋体" w:eastAsia="宋体" w:cs="宋体"/>
          <w:sz w:val="20"/>
        </w:rPr>
        <w:t>2. 保洁时间：</w:t>
      </w:r>
      <w:r>
        <w:rPr>
          <w:rFonts w:hint="eastAsia" w:ascii="宋体" w:hAnsi="宋体" w:eastAsia="宋体" w:cs="宋体"/>
          <w:sz w:val="20"/>
          <w:lang w:eastAsia="zh-CN"/>
        </w:rPr>
        <w:t>在</w:t>
      </w:r>
      <w:r>
        <w:rPr>
          <w:rFonts w:hint="eastAsia" w:ascii="宋体" w:hAnsi="宋体" w:eastAsia="宋体" w:cs="宋体"/>
          <w:sz w:val="20"/>
          <w:lang w:val="en-US" w:eastAsia="zh-CN"/>
        </w:rPr>
        <w:t>以下时间段内进行清扫保洁</w:t>
      </w:r>
      <w:r>
        <w:rPr>
          <w:rFonts w:ascii="宋体" w:hAnsi="宋体" w:eastAsia="宋体" w:cs="宋体"/>
          <w:sz w:val="20"/>
        </w:rPr>
        <w:t>。</w:t>
      </w:r>
    </w:p>
    <w:tbl>
      <w:tblPr>
        <w:tblStyle w:val="6"/>
        <w:tblW w:w="3263"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83"/>
        <w:gridCol w:w="1486"/>
        <w:gridCol w:w="2189"/>
      </w:tblGrid>
      <w:tr w14:paraId="37A0F9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94" w:type="pct"/>
            <w:vMerge w:val="restart"/>
            <w:tcBorders>
              <w:tl2br w:val="nil"/>
              <w:tr2bl w:val="nil"/>
            </w:tcBorders>
            <w:tcMar>
              <w:top w:w="0" w:type="dxa"/>
              <w:left w:w="105" w:type="dxa"/>
              <w:bottom w:w="0" w:type="dxa"/>
              <w:right w:w="105" w:type="dxa"/>
            </w:tcMar>
            <w:vAlign w:val="center"/>
          </w:tcPr>
          <w:p w14:paraId="1FA3495C">
            <w:pPr>
              <w:pStyle w:val="10"/>
              <w:ind w:firstLine="0"/>
              <w:jc w:val="center"/>
              <w:rPr>
                <w:rFonts w:hint="default" w:eastAsiaTheme="minorEastAsia"/>
                <w:lang w:val="en-US" w:eastAsia="zh-CN"/>
              </w:rPr>
            </w:pPr>
            <w:r>
              <w:rPr>
                <w:rFonts w:hint="eastAsia"/>
                <w:lang w:val="en-US" w:eastAsia="zh-CN"/>
              </w:rPr>
              <w:t>保洁时间</w:t>
            </w:r>
          </w:p>
        </w:tc>
        <w:tc>
          <w:tcPr>
            <w:tcW w:w="1337" w:type="pct"/>
            <w:tcBorders>
              <w:tl2br w:val="nil"/>
              <w:tr2bl w:val="nil"/>
            </w:tcBorders>
            <w:tcMar>
              <w:top w:w="0" w:type="dxa"/>
              <w:left w:w="105" w:type="dxa"/>
              <w:bottom w:w="0" w:type="dxa"/>
              <w:right w:w="105" w:type="dxa"/>
            </w:tcMar>
          </w:tcPr>
          <w:p w14:paraId="2A0ABA17">
            <w:pPr>
              <w:pStyle w:val="10"/>
              <w:jc w:val="center"/>
              <w:rPr>
                <w:rFonts w:hint="eastAsia" w:eastAsiaTheme="minorEastAsia"/>
                <w:lang w:val="en-US" w:eastAsia="zh-CN"/>
              </w:rPr>
            </w:pPr>
            <w:r>
              <w:rPr>
                <w:rFonts w:hint="eastAsia"/>
                <w:lang w:val="en-US" w:eastAsia="zh-CN"/>
              </w:rPr>
              <w:t>上午清扫</w:t>
            </w:r>
          </w:p>
        </w:tc>
        <w:tc>
          <w:tcPr>
            <w:tcW w:w="1968" w:type="pct"/>
            <w:tcBorders>
              <w:tl2br w:val="nil"/>
              <w:tr2bl w:val="nil"/>
            </w:tcBorders>
            <w:tcMar>
              <w:top w:w="0" w:type="dxa"/>
              <w:left w:w="105" w:type="dxa"/>
              <w:bottom w:w="0" w:type="dxa"/>
              <w:right w:w="105" w:type="dxa"/>
            </w:tcMar>
          </w:tcPr>
          <w:p w14:paraId="68BE567D">
            <w:pPr>
              <w:pStyle w:val="10"/>
              <w:jc w:val="center"/>
              <w:rPr>
                <w:rFonts w:hint="default" w:eastAsiaTheme="minorEastAsia"/>
                <w:lang w:val="en-US" w:eastAsia="zh-CN"/>
              </w:rPr>
            </w:pPr>
            <w:r>
              <w:rPr>
                <w:rFonts w:hint="eastAsia"/>
                <w:lang w:val="en-US" w:eastAsia="zh-CN"/>
              </w:rPr>
              <w:t>下午清扫</w:t>
            </w:r>
          </w:p>
        </w:tc>
      </w:tr>
      <w:tr w14:paraId="39538B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694" w:type="pct"/>
            <w:vMerge w:val="continue"/>
            <w:tcBorders>
              <w:tl2br w:val="nil"/>
              <w:tr2bl w:val="nil"/>
            </w:tcBorders>
            <w:tcMar>
              <w:top w:w="0" w:type="dxa"/>
              <w:left w:w="105" w:type="dxa"/>
              <w:bottom w:w="0" w:type="dxa"/>
              <w:right w:w="105" w:type="dxa"/>
            </w:tcMar>
          </w:tcPr>
          <w:p w14:paraId="227A73AF">
            <w:pPr>
              <w:pStyle w:val="10"/>
              <w:ind w:firstLine="400"/>
            </w:pPr>
          </w:p>
        </w:tc>
        <w:tc>
          <w:tcPr>
            <w:tcW w:w="1337" w:type="pct"/>
            <w:tcBorders>
              <w:tl2br w:val="nil"/>
              <w:tr2bl w:val="nil"/>
            </w:tcBorders>
            <w:tcMar>
              <w:top w:w="0" w:type="dxa"/>
              <w:left w:w="105" w:type="dxa"/>
              <w:bottom w:w="0" w:type="dxa"/>
              <w:right w:w="105" w:type="dxa"/>
            </w:tcMar>
          </w:tcPr>
          <w:p w14:paraId="06D72269">
            <w:pPr>
              <w:pStyle w:val="10"/>
              <w:jc w:val="center"/>
              <w:rPr>
                <w:rFonts w:hint="default" w:eastAsia="宋体"/>
                <w:lang w:val="en-US" w:eastAsia="zh-CN"/>
              </w:rPr>
            </w:pPr>
            <w:r>
              <w:rPr>
                <w:rFonts w:ascii="宋体" w:hAnsi="宋体" w:eastAsia="宋体" w:cs="宋体"/>
                <w:sz w:val="20"/>
              </w:rPr>
              <w:t>6：30</w:t>
            </w:r>
            <w:r>
              <w:rPr>
                <w:rFonts w:hint="eastAsia" w:ascii="宋体" w:hAnsi="宋体" w:eastAsia="宋体" w:cs="宋体"/>
                <w:sz w:val="20"/>
                <w:lang w:eastAsia="zh-CN"/>
              </w:rPr>
              <w:t>：</w:t>
            </w:r>
            <w:r>
              <w:rPr>
                <w:rFonts w:hint="eastAsia" w:ascii="宋体" w:hAnsi="宋体" w:eastAsia="宋体" w:cs="宋体"/>
                <w:sz w:val="20"/>
                <w:lang w:val="en-US" w:eastAsia="zh-CN"/>
              </w:rPr>
              <w:t>11:00</w:t>
            </w:r>
          </w:p>
        </w:tc>
        <w:tc>
          <w:tcPr>
            <w:tcW w:w="1968" w:type="pct"/>
            <w:tcBorders>
              <w:tl2br w:val="nil"/>
              <w:tr2bl w:val="nil"/>
            </w:tcBorders>
            <w:tcMar>
              <w:top w:w="0" w:type="dxa"/>
              <w:left w:w="105" w:type="dxa"/>
              <w:bottom w:w="0" w:type="dxa"/>
              <w:right w:w="105" w:type="dxa"/>
            </w:tcMar>
          </w:tcPr>
          <w:p w14:paraId="0C080991">
            <w:pPr>
              <w:pStyle w:val="10"/>
              <w:jc w:val="center"/>
            </w:pPr>
            <w:r>
              <w:rPr>
                <w:rFonts w:hint="eastAsia" w:ascii="宋体" w:hAnsi="宋体" w:eastAsia="宋体" w:cs="宋体"/>
                <w:sz w:val="20"/>
                <w:lang w:val="en-US" w:eastAsia="zh-CN"/>
              </w:rPr>
              <w:t>14</w:t>
            </w:r>
            <w:r>
              <w:rPr>
                <w:rFonts w:ascii="宋体" w:hAnsi="宋体" w:eastAsia="宋体" w:cs="宋体"/>
                <w:sz w:val="20"/>
              </w:rPr>
              <w:t>：00至1</w:t>
            </w:r>
            <w:r>
              <w:rPr>
                <w:rFonts w:hint="eastAsia" w:ascii="宋体" w:hAnsi="宋体" w:eastAsia="宋体" w:cs="宋体"/>
                <w:sz w:val="20"/>
                <w:lang w:val="en-US" w:eastAsia="zh-CN"/>
              </w:rPr>
              <w:t>7</w:t>
            </w:r>
            <w:r>
              <w:rPr>
                <w:rFonts w:ascii="宋体" w:hAnsi="宋体" w:eastAsia="宋体" w:cs="宋体"/>
                <w:sz w:val="20"/>
              </w:rPr>
              <w:t>：00</w:t>
            </w:r>
          </w:p>
        </w:tc>
      </w:tr>
    </w:tbl>
    <w:p w14:paraId="0620FDD9">
      <w:pPr>
        <w:pStyle w:val="10"/>
        <w:spacing w:line="360" w:lineRule="auto"/>
        <w:ind w:firstLine="400" w:firstLineChars="200"/>
        <w:rPr>
          <w:rFonts w:hint="default" w:ascii="宋体" w:hAnsi="宋体" w:eastAsia="宋体" w:cs="宋体"/>
        </w:rPr>
      </w:pPr>
      <w:r>
        <w:rPr>
          <w:rFonts w:ascii="宋体" w:hAnsi="宋体" w:eastAsia="宋体" w:cs="宋体"/>
        </w:rPr>
        <w:t>3. 杂物清理：及时清理路面上的杂物，如纸屑、塑料袋、树叶等，确保路面整洁。</w:t>
      </w:r>
    </w:p>
    <w:p w14:paraId="3AB710D3">
      <w:pPr>
        <w:pStyle w:val="10"/>
        <w:spacing w:line="360" w:lineRule="auto"/>
        <w:ind w:firstLine="400" w:firstLineChars="200"/>
        <w:rPr>
          <w:rFonts w:hint="default" w:ascii="宋体" w:hAnsi="宋体" w:eastAsia="宋体" w:cs="宋体"/>
        </w:rPr>
      </w:pPr>
      <w:r>
        <w:rPr>
          <w:rFonts w:ascii="宋体" w:hAnsi="宋体" w:eastAsia="宋体" w:cs="宋体"/>
        </w:rPr>
        <w:t>4. 道路垃圾清运：定期对道路垃圾进行清运，避免垃圾堆积，影响环境卫生。</w:t>
      </w:r>
    </w:p>
    <w:p w14:paraId="1C0D41D3">
      <w:pPr>
        <w:pStyle w:val="10"/>
        <w:spacing w:line="360" w:lineRule="auto"/>
        <w:ind w:firstLine="400" w:firstLineChars="200"/>
        <w:rPr>
          <w:rFonts w:hint="default" w:ascii="宋体" w:hAnsi="宋体" w:eastAsia="宋体" w:cs="宋体"/>
        </w:rPr>
      </w:pPr>
      <w:r>
        <w:rPr>
          <w:rFonts w:ascii="宋体" w:hAnsi="宋体" w:eastAsia="宋体" w:cs="宋体"/>
        </w:rPr>
        <w:t>5. 道路清洗：定期对道路进行清洗，保持路面清洁，避免灰尘和污渍影响路面卫生。</w:t>
      </w:r>
    </w:p>
    <w:p w14:paraId="43A306F5">
      <w:pPr>
        <w:pStyle w:val="10"/>
        <w:spacing w:line="360" w:lineRule="auto"/>
        <w:ind w:firstLine="400" w:firstLineChars="200"/>
        <w:rPr>
          <w:rFonts w:hint="default" w:ascii="宋体" w:hAnsi="宋体" w:eastAsia="宋体" w:cs="宋体"/>
        </w:rPr>
      </w:pPr>
      <w:r>
        <w:rPr>
          <w:rFonts w:ascii="宋体" w:hAnsi="宋体" w:eastAsia="宋体" w:cs="宋体"/>
        </w:rPr>
        <w:t>6. 广告清理：及时清理道路上的广告单、海报等，避免影响市容市貌。</w:t>
      </w:r>
    </w:p>
    <w:p w14:paraId="604EAD88">
      <w:pPr>
        <w:pStyle w:val="10"/>
        <w:spacing w:line="360" w:lineRule="auto"/>
        <w:ind w:firstLine="400" w:firstLineChars="200"/>
        <w:rPr>
          <w:rFonts w:hint="default" w:ascii="宋体" w:hAnsi="宋体" w:eastAsia="宋体" w:cs="宋体"/>
        </w:rPr>
      </w:pPr>
      <w:r>
        <w:rPr>
          <w:rFonts w:ascii="宋体" w:hAnsi="宋体" w:eastAsia="宋体" w:cs="宋体"/>
        </w:rPr>
        <w:t>7. 交通设施清洁：定期对道路上的交通设施，如交通信号灯、路牌、护栏等，进行清洁，保持交通设施整洁。</w:t>
      </w:r>
    </w:p>
    <w:p w14:paraId="45643404">
      <w:pPr>
        <w:pStyle w:val="10"/>
        <w:spacing w:line="360" w:lineRule="auto"/>
        <w:ind w:firstLine="400" w:firstLineChars="200"/>
        <w:rPr>
          <w:rFonts w:hint="default" w:ascii="宋体" w:hAnsi="宋体" w:eastAsia="宋体" w:cs="宋体"/>
        </w:rPr>
      </w:pPr>
      <w:r>
        <w:rPr>
          <w:rFonts w:ascii="宋体" w:hAnsi="宋体" w:eastAsia="宋体" w:cs="宋体"/>
        </w:rPr>
        <w:t>8. 环境异味处理：定期对道路上的异味进行清理，如宠物粪便、污水等，保持空气清新。</w:t>
      </w:r>
    </w:p>
    <w:p w14:paraId="540B41F2">
      <w:pPr>
        <w:pStyle w:val="10"/>
        <w:spacing w:line="360" w:lineRule="auto"/>
        <w:ind w:firstLine="400" w:firstLineChars="200"/>
        <w:rPr>
          <w:rFonts w:hint="default" w:ascii="宋体" w:hAnsi="宋体" w:eastAsia="宋体" w:cs="宋体"/>
          <w:snapToGrid w:val="0"/>
          <w:szCs w:val="21"/>
        </w:rPr>
      </w:pPr>
      <w:r>
        <w:rPr>
          <w:rFonts w:ascii="宋体" w:hAnsi="宋体" w:eastAsia="宋体" w:cs="宋体"/>
        </w:rPr>
        <w:t>9. 应急预案：针对突发情况，如道路积水、积雪等，制定应急预案，确保道路安全、畅通。</w:t>
      </w:r>
    </w:p>
    <w:p w14:paraId="4EEDB1FC">
      <w:pPr>
        <w:pStyle w:val="5"/>
        <w:ind w:firstLine="640"/>
      </w:pPr>
    </w:p>
    <w:p w14:paraId="0FD1FEEB">
      <w:pPr>
        <w:pStyle w:val="10"/>
        <w:spacing w:line="360" w:lineRule="auto"/>
        <w:ind w:firstLine="400" w:firstLineChars="200"/>
        <w:rPr>
          <w:rFonts w:hint="default"/>
          <w:snapToGrid w:val="0"/>
        </w:rPr>
      </w:pPr>
    </w:p>
    <w:p w14:paraId="062D4635">
      <w:pPr>
        <w:widowControl w:val="0"/>
      </w:pPr>
    </w:p>
    <w:p w14:paraId="11EB01A6">
      <w:pPr>
        <w:pStyle w:val="2"/>
      </w:pPr>
      <w:r>
        <w:rPr>
          <w:rFonts w:hint="eastAsia"/>
        </w:rPr>
        <w:br w:type="page"/>
      </w:r>
    </w:p>
    <w:p w14:paraId="7FAAFF17">
      <w:pPr>
        <w:widowControl w:val="0"/>
        <w:spacing w:line="360" w:lineRule="auto"/>
        <w:jc w:val="left"/>
        <w:rPr>
          <w:snapToGrid w:val="0"/>
        </w:rPr>
      </w:pPr>
      <w:r>
        <w:rPr>
          <w:rFonts w:hint="eastAsia"/>
          <w:snapToGrid w:val="0"/>
        </w:rPr>
        <w:t>附件3：</w:t>
      </w:r>
    </w:p>
    <w:p w14:paraId="5E0901A0">
      <w:pPr>
        <w:widowControl w:val="0"/>
        <w:spacing w:line="360" w:lineRule="auto"/>
        <w:rPr>
          <w:b/>
          <w:bCs/>
          <w:snapToGrid w:val="0"/>
        </w:rPr>
      </w:pPr>
      <w:r>
        <w:rPr>
          <w:rFonts w:hint="eastAsia"/>
          <w:b/>
          <w:bCs/>
          <w:snapToGrid w:val="0"/>
        </w:rPr>
        <w:t>西安曲江楼观生态文化旅游度假区市容环境卫生工作操作规范及安全作业管理制度(暂行)</w:t>
      </w:r>
    </w:p>
    <w:p w14:paraId="1A904319">
      <w:pPr>
        <w:keepNext w:val="0"/>
        <w:keepLines w:val="0"/>
        <w:pageBreakBefore w:val="0"/>
        <w:widowControl w:val="0"/>
        <w:kinsoku/>
        <w:wordWrap/>
        <w:overflowPunct/>
        <w:topLinePunct w:val="0"/>
        <w:autoSpaceDE/>
        <w:autoSpaceDN/>
        <w:bidi w:val="0"/>
        <w:adjustRightInd w:val="0"/>
        <w:snapToGrid w:val="0"/>
        <w:spacing w:line="356" w:lineRule="auto"/>
        <w:ind w:firstLine="420" w:firstLineChars="200"/>
        <w:jc w:val="left"/>
        <w:textAlignment w:val="auto"/>
      </w:pPr>
      <w:r>
        <w:rPr>
          <w:rFonts w:hint="eastAsia"/>
        </w:rPr>
        <w:t>为了加强市容保洁安全管理工作，提高保洁人员安全意识，养成规范操作的良好习惯，特制定如下安全生产制度：</w:t>
      </w:r>
    </w:p>
    <w:p w14:paraId="2B6AE61B">
      <w:pPr>
        <w:keepNext w:val="0"/>
        <w:keepLines w:val="0"/>
        <w:pageBreakBefore w:val="0"/>
        <w:widowControl w:val="0"/>
        <w:kinsoku/>
        <w:wordWrap/>
        <w:overflowPunct/>
        <w:topLinePunct w:val="0"/>
        <w:autoSpaceDE/>
        <w:autoSpaceDN/>
        <w:bidi w:val="0"/>
        <w:adjustRightInd w:val="0"/>
        <w:snapToGrid w:val="0"/>
        <w:spacing w:line="356" w:lineRule="auto"/>
        <w:ind w:firstLine="420" w:firstLineChars="200"/>
        <w:jc w:val="left"/>
        <w:textAlignment w:val="auto"/>
      </w:pPr>
      <w:r>
        <w:rPr>
          <w:rFonts w:hint="eastAsia"/>
        </w:rPr>
        <w:t>(一)市容保洁管理人员必须牢固树立“安全第一”的思想，将安全生产作为日常管理工作中的第一要务。</w:t>
      </w:r>
    </w:p>
    <w:p w14:paraId="3F0A7359">
      <w:pPr>
        <w:keepNext w:val="0"/>
        <w:keepLines w:val="0"/>
        <w:pageBreakBefore w:val="0"/>
        <w:widowControl w:val="0"/>
        <w:kinsoku/>
        <w:wordWrap/>
        <w:overflowPunct/>
        <w:topLinePunct w:val="0"/>
        <w:autoSpaceDE/>
        <w:autoSpaceDN/>
        <w:bidi w:val="0"/>
        <w:adjustRightInd w:val="0"/>
        <w:snapToGrid w:val="0"/>
        <w:spacing w:line="356" w:lineRule="auto"/>
        <w:ind w:firstLine="420" w:firstLineChars="200"/>
        <w:jc w:val="left"/>
        <w:textAlignment w:val="auto"/>
      </w:pPr>
      <w:r>
        <w:rPr>
          <w:rFonts w:hint="eastAsia"/>
        </w:rPr>
        <w:t>(二)保洁公司必须配备安全管理人员，各保洁队、小组要确定安全员，明确安全管理人员工作职责。保洁公司招聘的保洁员要符合法定年龄，身体健康。</w:t>
      </w:r>
    </w:p>
    <w:p w14:paraId="0EF7F97F">
      <w:pPr>
        <w:keepNext w:val="0"/>
        <w:keepLines w:val="0"/>
        <w:pageBreakBefore w:val="0"/>
        <w:widowControl w:val="0"/>
        <w:kinsoku/>
        <w:wordWrap/>
        <w:overflowPunct/>
        <w:topLinePunct w:val="0"/>
        <w:autoSpaceDE/>
        <w:autoSpaceDN/>
        <w:bidi w:val="0"/>
        <w:adjustRightInd w:val="0"/>
        <w:snapToGrid w:val="0"/>
        <w:spacing w:line="356" w:lineRule="auto"/>
        <w:ind w:firstLine="420" w:firstLineChars="200"/>
        <w:jc w:val="left"/>
        <w:textAlignment w:val="auto"/>
      </w:pPr>
      <w:r>
        <w:rPr>
          <w:rFonts w:hint="eastAsia"/>
        </w:rPr>
        <w:t>(三)保洁员在道路清扫过程中必须遵循“一站、二看、三扫”的原则，严格按照道路清扫操作规范作业，不得忽视安全，盲目清扫。</w:t>
      </w:r>
    </w:p>
    <w:p w14:paraId="5A2B40A5">
      <w:pPr>
        <w:keepNext w:val="0"/>
        <w:keepLines w:val="0"/>
        <w:pageBreakBefore w:val="0"/>
        <w:widowControl w:val="0"/>
        <w:kinsoku/>
        <w:wordWrap/>
        <w:overflowPunct/>
        <w:topLinePunct w:val="0"/>
        <w:autoSpaceDE/>
        <w:autoSpaceDN/>
        <w:bidi w:val="0"/>
        <w:adjustRightInd w:val="0"/>
        <w:snapToGrid w:val="0"/>
        <w:spacing w:line="356" w:lineRule="auto"/>
        <w:ind w:firstLine="420" w:firstLineChars="200"/>
        <w:jc w:val="left"/>
        <w:textAlignment w:val="auto"/>
      </w:pPr>
      <w:r>
        <w:rPr>
          <w:rFonts w:hint="eastAsia"/>
        </w:rPr>
        <w:t>(四)在行车道清扫、冲洗、铲除泥饼、处理抛撒物等作业时，应在作业点10米外放置警示桶，迎着车辆行驶方向操作，发现不安全迹象立即采取避让；小问题一人看道，一人作业，如遇大问题必须三人以上作业，其中有专人使用安全旗对过往车辆进行指挥。</w:t>
      </w:r>
    </w:p>
    <w:p w14:paraId="485BED08">
      <w:pPr>
        <w:keepNext w:val="0"/>
        <w:keepLines w:val="0"/>
        <w:pageBreakBefore w:val="0"/>
        <w:widowControl w:val="0"/>
        <w:kinsoku/>
        <w:wordWrap/>
        <w:overflowPunct/>
        <w:topLinePunct w:val="0"/>
        <w:autoSpaceDE/>
        <w:autoSpaceDN/>
        <w:bidi w:val="0"/>
        <w:adjustRightInd w:val="0"/>
        <w:snapToGrid w:val="0"/>
        <w:spacing w:line="356" w:lineRule="auto"/>
        <w:ind w:firstLine="420" w:firstLineChars="200"/>
        <w:jc w:val="left"/>
        <w:textAlignment w:val="auto"/>
      </w:pPr>
      <w:r>
        <w:rPr>
          <w:rFonts w:hint="eastAsia"/>
        </w:rPr>
        <w:t>(五)清除快车道的泥饼或其他需要长时间作业的抛撒物时，必须保证2人以上作业，清扫完毕安全撤离。</w:t>
      </w:r>
    </w:p>
    <w:p w14:paraId="09A125C0">
      <w:pPr>
        <w:keepNext w:val="0"/>
        <w:keepLines w:val="0"/>
        <w:pageBreakBefore w:val="0"/>
        <w:widowControl w:val="0"/>
        <w:kinsoku/>
        <w:wordWrap/>
        <w:overflowPunct/>
        <w:topLinePunct w:val="0"/>
        <w:autoSpaceDE/>
        <w:autoSpaceDN/>
        <w:bidi w:val="0"/>
        <w:adjustRightInd w:val="0"/>
        <w:snapToGrid w:val="0"/>
        <w:spacing w:line="356" w:lineRule="auto"/>
        <w:ind w:firstLine="420" w:firstLineChars="200"/>
        <w:jc w:val="left"/>
        <w:textAlignment w:val="auto"/>
      </w:pPr>
      <w:r>
        <w:rPr>
          <w:rFonts w:hint="eastAsia"/>
        </w:rPr>
        <w:t>(六)道路冲洗时必须采取安全措施，洒水车开启警示灯，清洗地段设置警示标志，或有专人疏导车辆，保证操作人员安全作业。</w:t>
      </w:r>
    </w:p>
    <w:p w14:paraId="0631E210">
      <w:pPr>
        <w:keepNext w:val="0"/>
        <w:keepLines w:val="0"/>
        <w:pageBreakBefore w:val="0"/>
        <w:widowControl w:val="0"/>
        <w:kinsoku/>
        <w:wordWrap/>
        <w:overflowPunct/>
        <w:topLinePunct w:val="0"/>
        <w:autoSpaceDE/>
        <w:autoSpaceDN/>
        <w:bidi w:val="0"/>
        <w:adjustRightInd w:val="0"/>
        <w:snapToGrid w:val="0"/>
        <w:spacing w:line="356" w:lineRule="auto"/>
        <w:ind w:firstLine="420" w:firstLineChars="200"/>
        <w:jc w:val="left"/>
        <w:textAlignment w:val="auto"/>
      </w:pPr>
      <w:r>
        <w:rPr>
          <w:rFonts w:hint="eastAsia"/>
        </w:rPr>
        <w:t>(七)保洁人员工作期间必须穿保洁工装，严禁穿便装或警示反光条破损的工装上路保洁，逢雨天必须穿戴雨衣雨鞋，严禁打伞作业。</w:t>
      </w:r>
    </w:p>
    <w:p w14:paraId="42BA32D7">
      <w:pPr>
        <w:keepNext w:val="0"/>
        <w:keepLines w:val="0"/>
        <w:pageBreakBefore w:val="0"/>
        <w:widowControl w:val="0"/>
        <w:kinsoku/>
        <w:wordWrap/>
        <w:overflowPunct/>
        <w:topLinePunct w:val="0"/>
        <w:autoSpaceDE/>
        <w:autoSpaceDN/>
        <w:bidi w:val="0"/>
        <w:adjustRightInd w:val="0"/>
        <w:snapToGrid w:val="0"/>
        <w:spacing w:line="356" w:lineRule="auto"/>
        <w:ind w:firstLine="420" w:firstLineChars="200"/>
        <w:jc w:val="left"/>
        <w:textAlignment w:val="auto"/>
      </w:pPr>
      <w:r>
        <w:rPr>
          <w:rFonts w:hint="eastAsia"/>
        </w:rPr>
        <w:t>(八)保洁工器具应完好易操作，保洁员经常检查工器具，发现有不安全隐患及时排除，不得推诿或有侥幸思想。</w:t>
      </w:r>
    </w:p>
    <w:p w14:paraId="7C3D3054">
      <w:pPr>
        <w:keepNext w:val="0"/>
        <w:keepLines w:val="0"/>
        <w:pageBreakBefore w:val="0"/>
        <w:widowControl w:val="0"/>
        <w:kinsoku/>
        <w:wordWrap/>
        <w:overflowPunct/>
        <w:topLinePunct w:val="0"/>
        <w:autoSpaceDE/>
        <w:autoSpaceDN/>
        <w:bidi w:val="0"/>
        <w:adjustRightInd w:val="0"/>
        <w:snapToGrid w:val="0"/>
        <w:spacing w:line="356" w:lineRule="auto"/>
        <w:ind w:firstLine="420" w:firstLineChars="200"/>
        <w:jc w:val="left"/>
        <w:textAlignment w:val="auto"/>
      </w:pPr>
      <w:r>
        <w:rPr>
          <w:rFonts w:hint="eastAsia"/>
        </w:rPr>
        <w:t>(九)保洁员在道路清扫保洁过程中应合理避让行人及骑车人，自觉形成“人让车，车让人”的良好习惯。</w:t>
      </w:r>
    </w:p>
    <w:p w14:paraId="5273F8A1">
      <w:pPr>
        <w:keepNext w:val="0"/>
        <w:keepLines w:val="0"/>
        <w:pageBreakBefore w:val="0"/>
        <w:widowControl w:val="0"/>
        <w:kinsoku/>
        <w:wordWrap/>
        <w:overflowPunct/>
        <w:topLinePunct w:val="0"/>
        <w:autoSpaceDE/>
        <w:autoSpaceDN/>
        <w:bidi w:val="0"/>
        <w:adjustRightInd w:val="0"/>
        <w:snapToGrid w:val="0"/>
        <w:spacing w:line="356" w:lineRule="auto"/>
        <w:ind w:firstLine="420" w:firstLineChars="200"/>
        <w:jc w:val="left"/>
        <w:textAlignment w:val="auto"/>
      </w:pPr>
      <w:r>
        <w:rPr>
          <w:rFonts w:hint="eastAsia"/>
        </w:rPr>
        <w:t>(十)保洁员在驾驶保洁车辆时，必须自觉遵守道路交通规则，不得违章驾驶，造成交通事故。树立“车让人、车让车”，“宁等三分、不抢一秒”的安全意识。</w:t>
      </w:r>
    </w:p>
    <w:p w14:paraId="46162AE7">
      <w:pPr>
        <w:keepNext w:val="0"/>
        <w:keepLines w:val="0"/>
        <w:pageBreakBefore w:val="0"/>
        <w:widowControl w:val="0"/>
        <w:kinsoku/>
        <w:wordWrap/>
        <w:overflowPunct/>
        <w:topLinePunct w:val="0"/>
        <w:autoSpaceDE/>
        <w:autoSpaceDN/>
        <w:bidi w:val="0"/>
        <w:adjustRightInd w:val="0"/>
        <w:snapToGrid w:val="0"/>
        <w:spacing w:line="356" w:lineRule="auto"/>
        <w:ind w:firstLine="420" w:firstLineChars="200"/>
        <w:jc w:val="left"/>
        <w:textAlignment w:val="auto"/>
      </w:pPr>
      <w:r>
        <w:rPr>
          <w:rFonts w:hint="eastAsia"/>
        </w:rPr>
        <w:t>(十一)不准在道沿边蹲坐休息，不准在道路上堆放工具，在十字路口注意四个方向行车及转弯方向指示，不能低头说话、作业。</w:t>
      </w:r>
    </w:p>
    <w:p w14:paraId="5B78C7C4">
      <w:pPr>
        <w:keepNext w:val="0"/>
        <w:keepLines w:val="0"/>
        <w:pageBreakBefore w:val="0"/>
        <w:widowControl w:val="0"/>
        <w:kinsoku/>
        <w:wordWrap/>
        <w:overflowPunct/>
        <w:topLinePunct w:val="0"/>
        <w:autoSpaceDE/>
        <w:autoSpaceDN/>
        <w:bidi w:val="0"/>
        <w:adjustRightInd w:val="0"/>
        <w:snapToGrid w:val="0"/>
        <w:spacing w:line="356" w:lineRule="auto"/>
        <w:ind w:firstLine="420" w:firstLineChars="200"/>
        <w:jc w:val="left"/>
        <w:textAlignment w:val="auto"/>
      </w:pPr>
      <w:r>
        <w:rPr>
          <w:rFonts w:hint="eastAsia"/>
        </w:rPr>
        <w:t>(十二)市容保洁管理员要定期召开安全生产工作会议，加强对保洁员的安全教育，做好安全记录，形成长效管理机制。有效开展市容保洁安全培训教育，进行必要的演练。</w:t>
      </w:r>
    </w:p>
    <w:p w14:paraId="4394A0F7">
      <w:pPr>
        <w:keepNext w:val="0"/>
        <w:keepLines w:val="0"/>
        <w:pageBreakBefore w:val="0"/>
        <w:widowControl w:val="0"/>
        <w:kinsoku/>
        <w:wordWrap/>
        <w:overflowPunct/>
        <w:topLinePunct w:val="0"/>
        <w:autoSpaceDE/>
        <w:autoSpaceDN/>
        <w:bidi w:val="0"/>
        <w:adjustRightInd w:val="0"/>
        <w:snapToGrid w:val="0"/>
        <w:spacing w:line="356" w:lineRule="auto"/>
        <w:ind w:firstLine="420" w:firstLineChars="200"/>
        <w:jc w:val="left"/>
        <w:textAlignment w:val="auto"/>
      </w:pPr>
      <w:r>
        <w:rPr>
          <w:rFonts w:hint="eastAsia"/>
        </w:rPr>
        <w:t>(十三)安全生产工作纳入市容保洁工作考核之列，对安全意识不强，安全隐患排除不及时的管理人员及单位要严肃处理。</w:t>
      </w:r>
    </w:p>
    <w:p w14:paraId="37EFF9C0">
      <w:pPr>
        <w:spacing w:line="360" w:lineRule="auto"/>
        <w:jc w:val="left"/>
        <w:rPr>
          <w:kern w:val="0"/>
          <w:sz w:val="24"/>
        </w:rPr>
      </w:pPr>
      <w:r>
        <w:rPr>
          <w:rFonts w:hint="eastAsia"/>
        </w:rPr>
        <w:br w:type="page"/>
      </w:r>
    </w:p>
    <w:p w14:paraId="0C4D024F">
      <w:pPr>
        <w:widowControl w:val="0"/>
        <w:spacing w:line="360" w:lineRule="auto"/>
        <w:jc w:val="left"/>
        <w:rPr>
          <w:snapToGrid w:val="0"/>
        </w:rPr>
      </w:pPr>
      <w:r>
        <w:rPr>
          <w:rFonts w:hint="eastAsia"/>
          <w:snapToGrid w:val="0"/>
        </w:rPr>
        <w:t>附件4：</w:t>
      </w:r>
    </w:p>
    <w:p w14:paraId="015E5616">
      <w:pPr>
        <w:widowControl w:val="0"/>
        <w:spacing w:line="360" w:lineRule="auto"/>
        <w:rPr>
          <w:rStyle w:val="8"/>
          <w:rFonts w:ascii="宋体" w:hAnsi="宋体" w:eastAsia="宋体" w:cs="宋体"/>
          <w:color w:val="000000" w:themeColor="text1"/>
          <w:sz w:val="36"/>
          <w:szCs w:val="36"/>
          <w14:textFill>
            <w14:solidFill>
              <w14:schemeClr w14:val="tx1"/>
            </w14:solidFill>
          </w14:textFill>
        </w:rPr>
      </w:pPr>
      <w:r>
        <w:rPr>
          <w:rFonts w:hint="eastAsia"/>
          <w:snapToGrid w:val="0"/>
        </w:rPr>
        <w:t>西安曲江楼观生态文化旅游度假区市容环境卫生工作考核办法(暂行)</w:t>
      </w:r>
    </w:p>
    <w:p w14:paraId="1B19451D">
      <w:pPr>
        <w:spacing w:line="360" w:lineRule="auto"/>
        <w:ind w:firstLine="420" w:firstLineChars="200"/>
        <w:jc w:val="left"/>
        <w:rPr>
          <w:snapToGrid w:val="0"/>
        </w:rPr>
      </w:pPr>
      <w:r>
        <w:rPr>
          <w:rFonts w:hint="eastAsia"/>
          <w:snapToGrid w:val="0"/>
        </w:rPr>
        <w:t>为了搞好曲江楼观管理办市容环境卫生管理水平，创造良好的投资、旅游、居住环境，特制定本考核办法。</w:t>
      </w:r>
    </w:p>
    <w:p w14:paraId="337D2914">
      <w:pPr>
        <w:spacing w:line="360" w:lineRule="auto"/>
        <w:ind w:firstLine="420" w:firstLineChars="200"/>
        <w:jc w:val="left"/>
        <w:rPr>
          <w:snapToGrid w:val="0"/>
        </w:rPr>
      </w:pPr>
      <w:r>
        <w:rPr>
          <w:rFonts w:hint="eastAsia"/>
          <w:snapToGrid w:val="0"/>
        </w:rPr>
        <w:t>一、考核评比方法：</w:t>
      </w:r>
    </w:p>
    <w:p w14:paraId="639DA471">
      <w:pPr>
        <w:spacing w:line="360" w:lineRule="auto"/>
        <w:ind w:firstLine="420" w:firstLineChars="200"/>
        <w:jc w:val="left"/>
        <w:rPr>
          <w:snapToGrid w:val="0"/>
        </w:rPr>
      </w:pPr>
      <w:r>
        <w:rPr>
          <w:rFonts w:hint="eastAsia"/>
          <w:snapToGrid w:val="0"/>
        </w:rPr>
        <w:t>1、考核对象：曲江楼观管理办规划范围内由社会事业部负责接收签约的所有市政道路保洁承包单位。</w:t>
      </w:r>
    </w:p>
    <w:p w14:paraId="31BA5FC7">
      <w:pPr>
        <w:spacing w:line="360" w:lineRule="auto"/>
        <w:ind w:firstLine="420" w:firstLineChars="200"/>
        <w:jc w:val="left"/>
        <w:rPr>
          <w:snapToGrid w:val="0"/>
        </w:rPr>
      </w:pPr>
      <w:r>
        <w:rPr>
          <w:rFonts w:hint="eastAsia"/>
          <w:snapToGrid w:val="0"/>
        </w:rPr>
        <w:t>2、考核方式：根据《曲江新区市容环境卫生工作标准》，采用现场逐项考核的形式，每月随机对保洁公司的市容保洁工作进行1-3次检查、考核。</w:t>
      </w:r>
    </w:p>
    <w:p w14:paraId="55F9137C">
      <w:pPr>
        <w:spacing w:line="360" w:lineRule="auto"/>
        <w:ind w:firstLine="420" w:firstLineChars="200"/>
        <w:jc w:val="left"/>
        <w:rPr>
          <w:snapToGrid w:val="0"/>
        </w:rPr>
      </w:pPr>
      <w:r>
        <w:rPr>
          <w:rFonts w:hint="eastAsia"/>
          <w:snapToGrid w:val="0"/>
        </w:rPr>
        <w:t>3、考核小组：由执法部负责对保洁公司的市容保洁工作进行考核，考核时要求各保洁单位经理参加。</w:t>
      </w:r>
    </w:p>
    <w:p w14:paraId="4F6D4CBE">
      <w:pPr>
        <w:spacing w:line="360" w:lineRule="auto"/>
        <w:ind w:firstLine="420" w:firstLineChars="200"/>
        <w:jc w:val="left"/>
        <w:rPr>
          <w:snapToGrid w:val="0"/>
        </w:rPr>
      </w:pPr>
      <w:r>
        <w:rPr>
          <w:rFonts w:hint="eastAsia"/>
          <w:snapToGrid w:val="0"/>
        </w:rPr>
        <w:t>4、考核结果运用：对检查考核中发现的问题由考核小组和保洁单位经理签字确认，并进行通报，对各保洁单位根据处罚标准进行处罚。</w:t>
      </w:r>
    </w:p>
    <w:p w14:paraId="2F2606EA">
      <w:pPr>
        <w:spacing w:line="360" w:lineRule="auto"/>
        <w:ind w:firstLine="420" w:firstLineChars="200"/>
        <w:jc w:val="left"/>
        <w:rPr>
          <w:snapToGrid w:val="0"/>
        </w:rPr>
      </w:pPr>
      <w:r>
        <w:rPr>
          <w:rFonts w:hint="eastAsia"/>
          <w:snapToGrid w:val="0"/>
        </w:rPr>
        <w:t>二、考核内容及处罚标准：</w:t>
      </w:r>
    </w:p>
    <w:p w14:paraId="60E41C71">
      <w:pPr>
        <w:spacing w:line="360" w:lineRule="auto"/>
        <w:ind w:firstLine="420" w:firstLineChars="200"/>
        <w:jc w:val="left"/>
        <w:rPr>
          <w:snapToGrid w:val="0"/>
        </w:rPr>
      </w:pPr>
      <w:r>
        <w:rPr>
          <w:rFonts w:hint="eastAsia"/>
          <w:snapToGrid w:val="0"/>
        </w:rPr>
        <w:t>1、路面清扫、保洁状况：</w:t>
      </w:r>
    </w:p>
    <w:p w14:paraId="2A24084C">
      <w:pPr>
        <w:spacing w:line="360" w:lineRule="auto"/>
        <w:ind w:firstLine="420" w:firstLineChars="200"/>
        <w:jc w:val="left"/>
        <w:rPr>
          <w:snapToGrid w:val="0"/>
        </w:rPr>
      </w:pPr>
      <w:r>
        <w:rPr>
          <w:rFonts w:hint="eastAsia"/>
          <w:snapToGrid w:val="0"/>
        </w:rPr>
        <w:t>(1)不能按时完成清扫清运任务的，发现一处扣500-600元。</w:t>
      </w:r>
    </w:p>
    <w:p w14:paraId="435F1F01">
      <w:pPr>
        <w:spacing w:line="360" w:lineRule="auto"/>
        <w:ind w:firstLine="420" w:firstLineChars="200"/>
        <w:jc w:val="left"/>
        <w:rPr>
          <w:snapToGrid w:val="0"/>
        </w:rPr>
      </w:pPr>
      <w:r>
        <w:rPr>
          <w:rFonts w:hint="eastAsia"/>
          <w:snapToGrid w:val="0"/>
        </w:rPr>
        <w:t>(2)路面保洁不到位，达不到“八净八无”的，发现一处扣10-100元，垃圾未及时清理的，发现一处扣100元。</w:t>
      </w:r>
    </w:p>
    <w:p w14:paraId="33354993">
      <w:pPr>
        <w:spacing w:line="360" w:lineRule="auto"/>
        <w:ind w:firstLine="420" w:firstLineChars="200"/>
        <w:jc w:val="left"/>
        <w:rPr>
          <w:snapToGrid w:val="0"/>
        </w:rPr>
      </w:pPr>
      <w:r>
        <w:rPr>
          <w:rFonts w:hint="eastAsia"/>
          <w:snapToGrid w:val="0"/>
        </w:rPr>
        <w:t>(3)保洁员向花坛、收水井、绿化带、沿街围墙内乱扫、乱倒垃圾，发现一次扣500元。</w:t>
      </w:r>
    </w:p>
    <w:p w14:paraId="1E544892">
      <w:pPr>
        <w:spacing w:line="360" w:lineRule="auto"/>
        <w:ind w:firstLine="420" w:firstLineChars="200"/>
        <w:jc w:val="left"/>
        <w:rPr>
          <w:snapToGrid w:val="0"/>
        </w:rPr>
      </w:pPr>
      <w:r>
        <w:rPr>
          <w:rFonts w:hint="eastAsia"/>
          <w:snapToGrid w:val="0"/>
        </w:rPr>
        <w:t>(4)路边墙面，脊瓦积灰积尘，或有乱涂、乱贴、乱画的，发现一处扣300元。</w:t>
      </w:r>
    </w:p>
    <w:p w14:paraId="2270DD69">
      <w:pPr>
        <w:spacing w:line="360" w:lineRule="auto"/>
        <w:ind w:firstLine="420" w:firstLineChars="200"/>
        <w:jc w:val="left"/>
        <w:rPr>
          <w:snapToGrid w:val="0"/>
        </w:rPr>
      </w:pPr>
      <w:r>
        <w:rPr>
          <w:rFonts w:hint="eastAsia"/>
          <w:snapToGrid w:val="0"/>
        </w:rPr>
        <w:t>(5)不能及时清除积雪积冰，或清除的积雪积冰不按规定堆放时，发现一次扣300元。</w:t>
      </w:r>
    </w:p>
    <w:p w14:paraId="5EEACCD9">
      <w:pPr>
        <w:spacing w:line="360" w:lineRule="auto"/>
        <w:ind w:firstLine="420" w:firstLineChars="200"/>
        <w:jc w:val="left"/>
        <w:rPr>
          <w:snapToGrid w:val="0"/>
        </w:rPr>
      </w:pPr>
      <w:r>
        <w:rPr>
          <w:rFonts w:hint="eastAsia"/>
          <w:snapToGrid w:val="0"/>
        </w:rPr>
        <w:t>(6)路面大面积带泥，或路面有泥饼，无故未及时处理的，发现一处扣200元。</w:t>
      </w:r>
    </w:p>
    <w:p w14:paraId="70C19A83">
      <w:pPr>
        <w:spacing w:line="360" w:lineRule="auto"/>
        <w:ind w:firstLine="420" w:firstLineChars="200"/>
        <w:jc w:val="left"/>
        <w:rPr>
          <w:snapToGrid w:val="0"/>
        </w:rPr>
      </w:pPr>
      <w:r>
        <w:rPr>
          <w:rFonts w:hint="eastAsia"/>
          <w:snapToGrid w:val="0"/>
        </w:rPr>
        <w:t>(7)对指出的卫生死角或其它问题未及时解决的，视情况严重程度扣200-1000元。</w:t>
      </w:r>
    </w:p>
    <w:p w14:paraId="4E519331">
      <w:pPr>
        <w:spacing w:line="360" w:lineRule="auto"/>
        <w:ind w:firstLine="420" w:firstLineChars="200"/>
        <w:jc w:val="left"/>
        <w:rPr>
          <w:snapToGrid w:val="0"/>
        </w:rPr>
      </w:pPr>
      <w:r>
        <w:rPr>
          <w:rFonts w:hint="eastAsia"/>
          <w:snapToGrid w:val="0"/>
        </w:rPr>
        <w:t>(8)道路两侧道沿冲洗不及时、不干净，发现一处扣300元。</w:t>
      </w:r>
    </w:p>
    <w:p w14:paraId="2A88A587">
      <w:pPr>
        <w:spacing w:line="360" w:lineRule="auto"/>
        <w:ind w:firstLine="420" w:firstLineChars="200"/>
        <w:jc w:val="left"/>
        <w:rPr>
          <w:snapToGrid w:val="0"/>
        </w:rPr>
      </w:pPr>
      <w:r>
        <w:rPr>
          <w:rFonts w:hint="eastAsia"/>
          <w:snapToGrid w:val="0"/>
        </w:rPr>
        <w:t>(9)未配备洒水车，或配备但不能正常使用，不具备使用功能的，扣5000元。</w:t>
      </w:r>
    </w:p>
    <w:p w14:paraId="57430701">
      <w:pPr>
        <w:spacing w:line="360" w:lineRule="auto"/>
        <w:ind w:firstLine="420" w:firstLineChars="200"/>
        <w:jc w:val="left"/>
        <w:rPr>
          <w:snapToGrid w:val="0"/>
        </w:rPr>
      </w:pPr>
      <w:r>
        <w:rPr>
          <w:rFonts w:hint="eastAsia"/>
          <w:snapToGrid w:val="0"/>
        </w:rPr>
        <w:t>(10)冲洗路面时未有保洁员(至少4人)配合的，发现一次扣500元。</w:t>
      </w:r>
    </w:p>
    <w:p w14:paraId="41709ED5">
      <w:pPr>
        <w:spacing w:line="360" w:lineRule="auto"/>
        <w:ind w:firstLine="420" w:firstLineChars="200"/>
        <w:jc w:val="left"/>
        <w:rPr>
          <w:snapToGrid w:val="0"/>
        </w:rPr>
      </w:pPr>
      <w:r>
        <w:rPr>
          <w:rFonts w:hint="eastAsia"/>
          <w:snapToGrid w:val="0"/>
        </w:rPr>
        <w:t>(11)不按安全规范作业，存在安全隐患的，发现一次扣1000元。</w:t>
      </w:r>
    </w:p>
    <w:p w14:paraId="188A39AF">
      <w:pPr>
        <w:spacing w:line="360" w:lineRule="auto"/>
        <w:ind w:firstLine="420" w:firstLineChars="200"/>
        <w:jc w:val="left"/>
        <w:rPr>
          <w:snapToGrid w:val="0"/>
        </w:rPr>
      </w:pPr>
      <w:r>
        <w:rPr>
          <w:rFonts w:hint="eastAsia"/>
          <w:snapToGrid w:val="0"/>
        </w:rPr>
        <w:t>(12)未按照规定时间及次数进行洒水，发现一次扣2000元。</w:t>
      </w:r>
    </w:p>
    <w:p w14:paraId="09D39C0F">
      <w:pPr>
        <w:spacing w:line="360" w:lineRule="auto"/>
        <w:ind w:firstLine="420" w:firstLineChars="200"/>
        <w:jc w:val="left"/>
        <w:rPr>
          <w:snapToGrid w:val="0"/>
        </w:rPr>
      </w:pPr>
      <w:r>
        <w:rPr>
          <w:rFonts w:hint="eastAsia"/>
          <w:snapToGrid w:val="0"/>
        </w:rPr>
        <w:t>(13)未将路面清扫垃圾清理至周至县生活垃圾填埋场，发现一次扣5000元。</w:t>
      </w:r>
    </w:p>
    <w:p w14:paraId="1616A8BE">
      <w:pPr>
        <w:spacing w:line="360" w:lineRule="auto"/>
        <w:ind w:firstLine="420" w:firstLineChars="200"/>
        <w:jc w:val="left"/>
        <w:rPr>
          <w:snapToGrid w:val="0"/>
        </w:rPr>
      </w:pPr>
      <w:r>
        <w:rPr>
          <w:rFonts w:hint="eastAsia"/>
          <w:snapToGrid w:val="0"/>
        </w:rPr>
        <w:t>2、城市家具擦洗状况:</w:t>
      </w:r>
    </w:p>
    <w:p w14:paraId="7E544AD3">
      <w:pPr>
        <w:spacing w:line="360" w:lineRule="auto"/>
        <w:ind w:firstLine="420" w:firstLineChars="200"/>
        <w:jc w:val="left"/>
        <w:rPr>
          <w:snapToGrid w:val="0"/>
        </w:rPr>
      </w:pPr>
      <w:r>
        <w:rPr>
          <w:rFonts w:hint="eastAsia"/>
          <w:snapToGrid w:val="0"/>
        </w:rPr>
        <w:t>(1)擦洗不干净，有积灰积垢，有洒落垃圾的，发现一处扣100-200元。</w:t>
      </w:r>
    </w:p>
    <w:p w14:paraId="02C77DA3">
      <w:pPr>
        <w:spacing w:line="360" w:lineRule="auto"/>
        <w:ind w:firstLine="420" w:firstLineChars="200"/>
        <w:jc w:val="left"/>
        <w:rPr>
          <w:snapToGrid w:val="0"/>
        </w:rPr>
      </w:pPr>
      <w:r>
        <w:rPr>
          <w:rFonts w:hint="eastAsia"/>
          <w:snapToGrid w:val="0"/>
        </w:rPr>
        <w:t>(2)果皮箱内垃圾爆满未及时处理的，发现一处扣200-300元。</w:t>
      </w:r>
    </w:p>
    <w:p w14:paraId="3A2B88CB">
      <w:pPr>
        <w:spacing w:line="360" w:lineRule="auto"/>
        <w:ind w:firstLine="420" w:firstLineChars="200"/>
        <w:jc w:val="left"/>
        <w:rPr>
          <w:snapToGrid w:val="0"/>
        </w:rPr>
      </w:pPr>
      <w:r>
        <w:rPr>
          <w:rFonts w:hint="eastAsia"/>
          <w:snapToGrid w:val="0"/>
        </w:rPr>
        <w:t>(3)果皮箱清掏后不及时盖好盖，关好门，发现一处扣 200元。</w:t>
      </w:r>
    </w:p>
    <w:p w14:paraId="332B9E87">
      <w:pPr>
        <w:spacing w:line="360" w:lineRule="auto"/>
        <w:ind w:firstLine="420" w:firstLineChars="200"/>
        <w:jc w:val="left"/>
        <w:rPr>
          <w:snapToGrid w:val="0"/>
        </w:rPr>
      </w:pPr>
      <w:r>
        <w:rPr>
          <w:rFonts w:hint="eastAsia"/>
          <w:snapToGrid w:val="0"/>
        </w:rPr>
        <w:t>3、保洁队员工作状况：</w:t>
      </w:r>
    </w:p>
    <w:p w14:paraId="2B6D762A">
      <w:pPr>
        <w:spacing w:line="360" w:lineRule="auto"/>
        <w:ind w:firstLine="420" w:firstLineChars="200"/>
        <w:jc w:val="left"/>
        <w:rPr>
          <w:snapToGrid w:val="0"/>
        </w:rPr>
      </w:pPr>
      <w:r>
        <w:rPr>
          <w:rFonts w:hint="eastAsia"/>
          <w:snapToGrid w:val="0"/>
        </w:rPr>
        <w:t>(1)不按规定要求人数足额上岗，每缺1名扣1000元。</w:t>
      </w:r>
    </w:p>
    <w:p w14:paraId="215AE9EC">
      <w:pPr>
        <w:spacing w:line="360" w:lineRule="auto"/>
        <w:ind w:firstLine="420" w:firstLineChars="200"/>
        <w:jc w:val="left"/>
        <w:rPr>
          <w:snapToGrid w:val="0"/>
        </w:rPr>
      </w:pPr>
      <w:r>
        <w:rPr>
          <w:rFonts w:hint="eastAsia"/>
          <w:snapToGrid w:val="0"/>
        </w:rPr>
        <w:t>(2)工作时间扎堆聊天，或有空档、脱岗现象，每发现一次扣100元。</w:t>
      </w:r>
    </w:p>
    <w:p w14:paraId="37CCD335">
      <w:pPr>
        <w:spacing w:line="360" w:lineRule="auto"/>
        <w:ind w:firstLine="420" w:firstLineChars="200"/>
        <w:jc w:val="left"/>
        <w:rPr>
          <w:snapToGrid w:val="0"/>
        </w:rPr>
      </w:pPr>
      <w:r>
        <w:rPr>
          <w:rFonts w:hint="eastAsia"/>
          <w:snapToGrid w:val="0"/>
        </w:rPr>
        <w:t>(3)保洁员不按规定统一着装，不挂牌上岗，衣帽不整，仪容、仪表、坐姿不雅，清扫行为不文明，聚堆聊天，精神面貌不佳的，发现一次扣300元。</w:t>
      </w:r>
    </w:p>
    <w:p w14:paraId="47CF753D">
      <w:pPr>
        <w:spacing w:line="360" w:lineRule="auto"/>
        <w:ind w:firstLine="420" w:firstLineChars="200"/>
        <w:jc w:val="left"/>
        <w:rPr>
          <w:snapToGrid w:val="0"/>
        </w:rPr>
      </w:pPr>
      <w:r>
        <w:rPr>
          <w:rFonts w:hint="eastAsia"/>
          <w:snapToGrid w:val="0"/>
        </w:rPr>
        <w:t>(4)保洁车辆、工器具、警示桶或其它物品乱摆、乱放、乱挂，或脏、乱、差的，发现一次扣300元。</w:t>
      </w:r>
    </w:p>
    <w:p w14:paraId="7CD18EF5">
      <w:pPr>
        <w:spacing w:line="360" w:lineRule="auto"/>
        <w:ind w:firstLine="420" w:firstLineChars="200"/>
        <w:jc w:val="left"/>
        <w:rPr>
          <w:snapToGrid w:val="0"/>
        </w:rPr>
      </w:pPr>
      <w:r>
        <w:rPr>
          <w:rFonts w:hint="eastAsia"/>
          <w:snapToGrid w:val="0"/>
        </w:rPr>
        <w:t>4、工资、劳保用品及保洁工具发放状况：</w:t>
      </w:r>
    </w:p>
    <w:p w14:paraId="0E663921">
      <w:pPr>
        <w:spacing w:line="360" w:lineRule="auto"/>
        <w:ind w:firstLine="420" w:firstLineChars="200"/>
        <w:jc w:val="left"/>
        <w:rPr>
          <w:snapToGrid w:val="0"/>
        </w:rPr>
      </w:pPr>
      <w:r>
        <w:rPr>
          <w:rFonts w:hint="eastAsia"/>
          <w:snapToGrid w:val="0"/>
        </w:rPr>
        <w:t>(1)无故拖欠、克扣保洁员工资的，拖欠、克扣一人扣1000元。</w:t>
      </w:r>
    </w:p>
    <w:p w14:paraId="02AA5EAA">
      <w:pPr>
        <w:spacing w:line="360" w:lineRule="auto"/>
        <w:ind w:firstLine="420" w:firstLineChars="200"/>
        <w:jc w:val="left"/>
        <w:rPr>
          <w:snapToGrid w:val="0"/>
        </w:rPr>
      </w:pPr>
      <w:r>
        <w:rPr>
          <w:rFonts w:hint="eastAsia"/>
          <w:snapToGrid w:val="0"/>
        </w:rPr>
        <w:t>(2)未按月向保洁工人发放劳保用品的，每迟发一人扣200元。</w:t>
      </w:r>
    </w:p>
    <w:p w14:paraId="5CFE51A9">
      <w:pPr>
        <w:spacing w:line="360" w:lineRule="auto"/>
        <w:ind w:firstLine="420" w:firstLineChars="200"/>
        <w:jc w:val="left"/>
        <w:rPr>
          <w:lang w:eastAsia="zh-Hans"/>
        </w:rPr>
      </w:pPr>
      <w:r>
        <w:rPr>
          <w:rFonts w:hint="eastAsia"/>
          <w:snapToGrid w:val="0"/>
        </w:rPr>
        <w:t>(3)保洁工器具配备不足的，每发现一次扣300元。</w:t>
      </w:r>
    </w:p>
    <w:p w14:paraId="238F9930"/>
    <w:p w14:paraId="475F3CB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7456DA"/>
    <w:multiLevelType w:val="multilevel"/>
    <w:tmpl w:val="237456DA"/>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B45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Indent"/>
    <w:basedOn w:val="1"/>
    <w:qFormat/>
    <w:uiPriority w:val="0"/>
    <w:pPr>
      <w:spacing w:line="640" w:lineRule="exact"/>
      <w:ind w:firstLine="585"/>
    </w:pPr>
    <w:rPr>
      <w:rFonts w:ascii="楷体_GB2312" w:eastAsia="楷体_GB2312"/>
      <w:sz w:val="32"/>
    </w:rPr>
  </w:style>
  <w:style w:type="paragraph" w:styleId="4">
    <w:name w:val="Title"/>
    <w:basedOn w:val="1"/>
    <w:next w:val="1"/>
    <w:qFormat/>
    <w:uiPriority w:val="0"/>
    <w:pPr>
      <w:spacing w:before="240" w:after="60" w:line="440" w:lineRule="exact"/>
      <w:outlineLvl w:val="0"/>
    </w:pPr>
    <w:rPr>
      <w:rFonts w:ascii="Cambria" w:hAnsi="Cambria"/>
      <w:b/>
      <w:bCs/>
      <w:sz w:val="32"/>
      <w:szCs w:val="32"/>
    </w:rPr>
  </w:style>
  <w:style w:type="paragraph" w:styleId="5">
    <w:name w:val="Body Text First Indent 2"/>
    <w:basedOn w:val="3"/>
    <w:qFormat/>
    <w:uiPriority w:val="0"/>
    <w:pPr>
      <w:ind w:firstLine="420" w:firstLineChars="200"/>
    </w:pPr>
  </w:style>
  <w:style w:type="character" w:customStyle="1" w:styleId="8">
    <w:name w:val="标题 1 Char1"/>
    <w:autoRedefine/>
    <w:qFormat/>
    <w:uiPriority w:val="99"/>
    <w:rPr>
      <w:rFonts w:ascii="黑体" w:eastAsia="黑体"/>
      <w:sz w:val="52"/>
      <w:lang w:bidi="ar-SA"/>
    </w:rPr>
  </w:style>
  <w:style w:type="paragraph" w:styleId="9">
    <w:name w:val="List Paragraph"/>
    <w:basedOn w:val="1"/>
    <w:qFormat/>
    <w:uiPriority w:val="99"/>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2025-09-15T06:38:13Z</dcterms:created>
  <dc:creator>Lenovo</dc:creator>
  <cp:lastModifiedBy>钟声</cp:lastModifiedBy>
  <dcterms:modified xsi:type="dcterms:W3CDTF">2025-09-15T06:38:39Z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eyJoZGlkIjoiOTJmM2Y3YjgzNWU3ZDc3NGZmYWVkNzQyNTc3YTk1YjQiLCJ1c2VySWQiOiI2Nzc2MzQ0MTQifQ==</vt:lpwstr>
  </property>
  <property fmtid="{D5CDD505-2E9C-101B-9397-08002B2CF9AE}" pid="4" name="ICV">
    <vt:lpwstr>B6C4F2AB85F34A12AD2C22D5131AA1CA_12</vt:lpwstr>
  </property>
</Properties>
</file>