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版本号：SCZE2025-DY-2354-00120250923002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QJ4-3-91-1宗地考古发掘工程</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SCZE2025-DY-2354-001</w:t>
      </w:r>
      <w:r>
        <w:br/>
      </w:r>
      <w:r>
        <w:br/>
      </w:r>
      <w:r>
        <w:br/>
      </w:r>
    </w:p>
    <w:p>
      <w:pPr>
        <w:pStyle w:val="null3"/>
        <w:jc w:val="center"/>
        <w:outlineLvl w:val="5"/>
      </w:pPr>
      <w:r>
        <w:rPr>
          <w:rFonts w:ascii="仿宋_GB2312" w:hAnsi="仿宋_GB2312" w:cs="仿宋_GB2312" w:eastAsia="仿宋_GB2312"/>
          <w:sz w:val="15"/>
          <w:b/>
        </w:rPr>
        <w:t>西安曲江新区土地储备中心</w:t>
      </w:r>
    </w:p>
    <w:p>
      <w:pPr>
        <w:pStyle w:val="null3"/>
        <w:jc w:val="center"/>
        <w:outlineLvl w:val="5"/>
      </w:pPr>
      <w:r>
        <w:rPr>
          <w:rFonts w:ascii="仿宋_GB2312" w:hAnsi="仿宋_GB2312" w:cs="仿宋_GB2312" w:eastAsia="仿宋_GB2312"/>
          <w:sz w:val="15"/>
          <w:b/>
        </w:rPr>
        <w:t>陕西省采购招标有限责任公司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西安曲江新区土地储备中心</w:t>
      </w:r>
      <w:r>
        <w:rPr>
          <w:rFonts w:ascii="仿宋_GB2312" w:hAnsi="仿宋_GB2312" w:cs="仿宋_GB2312" w:eastAsia="仿宋_GB2312"/>
        </w:rPr>
        <w:t>委托，拟对</w:t>
      </w:r>
      <w:r>
        <w:rPr>
          <w:rFonts w:ascii="仿宋_GB2312" w:hAnsi="仿宋_GB2312" w:cs="仿宋_GB2312" w:eastAsia="仿宋_GB2312"/>
        </w:rPr>
        <w:t>QJ4-3-91-1宗地考古发掘工程</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SCZE2025-DY-2354-001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QJ4-3-91-1宗地考古发掘工程</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QJ4-3-91-1宗地位于陕西省西安曲江新区长安南路以东、共建一路以南、花街西路以西、共建三路以北区域，项目用地总面积13284.86平方米，勘探完成率100%，发现古墓葬27座、灰坑1处、井2眼、地道1处；本次采购范围为建设区域内考古发掘工作的现场组织和技术管理及资料的编制、收集、整理等工作，具体详见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1、法定代表人或授权代表身份证明：（1）法定代表人或单位负责人参加协商的，应提供法定代表人或单位负责人身份证明； （2）授权代表参加协商的，应提供法定代表人或单位负责人身份证明、授权委托书及授权代表在本单位缴纳养老保险证明；</w:t>
      </w:r>
    </w:p>
    <w:p>
      <w:pPr>
        <w:pStyle w:val="null3"/>
      </w:pPr>
      <w:r>
        <w:rPr>
          <w:rFonts w:ascii="仿宋_GB2312" w:hAnsi="仿宋_GB2312" w:cs="仿宋_GB2312" w:eastAsia="仿宋_GB2312"/>
        </w:rPr>
        <w:t>2、信用查询：“信用中国”网站和中国政府采购网信用记录：供应商未被列入“信用中国”网站(www.creditchina.gov.cn)“失信被执行人或重大税收违法失信主体”记录名单；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（以代理机构于开启响应文件当天进行资格审查时在“信用中国”网站及中国政府采购网查询结果为准）。</w:t>
      </w:r>
    </w:p>
    <w:p>
      <w:pPr>
        <w:pStyle w:val="null3"/>
      </w:pPr>
      <w:r>
        <w:rPr>
          <w:rFonts w:ascii="仿宋_GB2312" w:hAnsi="仿宋_GB2312" w:cs="仿宋_GB2312" w:eastAsia="仿宋_GB2312"/>
        </w:rPr>
        <w:t>3、企业资质及项目负责人资格：供应商需具有中华人民共和国考古发掘资质证书，拟派项目负责人具有国家文物局颁发的考古发掘领队资格证或考古发掘项目负责人资质证书。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西安曲江新区土地储备中心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西安曲江政务中心B-817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15339211506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姜旭耀、马超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采购包1：1,136,825.39元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采购包1：1,136,825.39元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照《国家计委关于印发&lt;招标代理服务收费管理暂行办法&gt;的通知》（计价格[2002]1980号）和国家发展改革委员会办公厅颁发的《关于招标代理服务收费有关问题的通知》（发改办价格[2003]857号）规定标准收取，不足8000.00元的，按8000.00元计取。 2.成交单位的代理服务费交纳信息： 银行户名：陕西省采购招标有限责任公司， 开户银行：中国光大银行西安友谊路支行， 账号：78560188000095264， 联系人：财务部， 联系电话：029-85256853。 3.成交单位在领取成交通知书前，须向采购代理机构一次性支付采购代理服务费。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西安曲江新区土地储备中心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西安曲江新区土地储备中心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QJ4-3-91-1宗地位于陕西省西安曲江新区长安南路以东、共建一路以南、花街西路以西、共建三路以北区域，项目用地总面积13284.86平方米，勘探完成率100%，发现古墓葬27座、灰坑1处、井2眼、地道1处；本次采购范围为建设区域内考古发掘工作的现场组织和技术管理及资料的编制、收集、整理等工作，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1,136,825.39</w:t>
      </w:r>
    </w:p>
    <w:p>
      <w:pPr>
        <w:pStyle w:val="null3"/>
      </w:pPr>
      <w:r>
        <w:rPr>
          <w:rFonts w:ascii="仿宋_GB2312" w:hAnsi="仿宋_GB2312" w:cs="仿宋_GB2312" w:eastAsia="仿宋_GB2312"/>
        </w:rPr>
        <w:t>采购包最高限价（元）: 1,136,825.39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完成宗地考古发掘工作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1,136,825.39</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标的名称：完成宗地考古发掘工作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一.采购项目概况</w:t>
            </w:r>
          </w:p>
          <w:p>
            <w:pPr>
              <w:pStyle w:val="null3"/>
            </w:pPr>
            <w:r>
              <w:rPr>
                <w:rFonts w:ascii="仿宋_GB2312" w:hAnsi="仿宋_GB2312" w:cs="仿宋_GB2312" w:eastAsia="仿宋_GB2312"/>
              </w:rPr>
              <w:t>QJ4-3-91-1宗地位于陕西省西安曲江新区长安南路以东、共建一路以南、花街西路以西、共建三路以北区域，项目用地总面积13284.86平方米，勘探完成率100%，发现古墓葬24座；本次采购范围为建设区域内考古发掘工作的现场组织和技术管理及资料的编制、收集、整理等工作。</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1、按照国家文物局颁布的《田野考古操作规程》及相关法律法规进行发掘。</w:t>
            </w:r>
          </w:p>
          <w:p>
            <w:pPr>
              <w:pStyle w:val="null3"/>
            </w:pPr>
            <w:r>
              <w:rPr>
                <w:rFonts w:ascii="仿宋_GB2312" w:hAnsi="仿宋_GB2312" w:cs="仿宋_GB2312" w:eastAsia="仿宋_GB2312"/>
              </w:rPr>
              <w:t>2、发掘须达到但不限于下列现行主要的中华人民共和国以及省、市或行业的沉降观测技术标准或规范的要求：（1）《中华人民共和国文物保护法》（2）《中华人民共和国文物保护法实施条例》（3）《陕西省文物保护条例》（4）《田野考古工作规程》（5）其他相关资料等。</w:t>
            </w:r>
          </w:p>
          <w:p>
            <w:pPr>
              <w:pStyle w:val="null3"/>
            </w:pPr>
            <w:r>
              <w:rPr>
                <w:rFonts w:ascii="仿宋_GB2312" w:hAnsi="仿宋_GB2312" w:cs="仿宋_GB2312" w:eastAsia="仿宋_GB2312"/>
              </w:rPr>
              <w:t>3、供应商对本项目及所处区域的文物发掘熟悉。具有对关键性问题的把握及解决方案、突发事件处理方案及安全预案的经验。</w:t>
            </w:r>
          </w:p>
          <w:p>
            <w:pPr>
              <w:pStyle w:val="null3"/>
            </w:pPr>
            <w:r>
              <w:rPr>
                <w:rFonts w:ascii="仿宋_GB2312" w:hAnsi="仿宋_GB2312" w:cs="仿宋_GB2312" w:eastAsia="仿宋_GB2312"/>
              </w:rPr>
              <w:t>4、供应商负责办理本项目考古发掘报告（证照）的有关申报（报批）手续，负责考古发掘报告的编制并协助办理相关文件的批复手续。</w:t>
            </w:r>
          </w:p>
          <w:p>
            <w:pPr>
              <w:pStyle w:val="null3"/>
            </w:pPr>
            <w:r>
              <w:rPr>
                <w:rFonts w:ascii="仿宋_GB2312" w:hAnsi="仿宋_GB2312" w:cs="仿宋_GB2312" w:eastAsia="仿宋_GB2312"/>
              </w:rPr>
              <w:t>5、发掘过程中，供应商应采取合理措施，确保文物的安全。</w:t>
            </w:r>
          </w:p>
          <w:p>
            <w:pPr>
              <w:pStyle w:val="null3"/>
            </w:pPr>
            <w:r>
              <w:rPr>
                <w:rFonts w:ascii="仿宋_GB2312" w:hAnsi="仿宋_GB2312" w:cs="仿宋_GB2312" w:eastAsia="仿宋_GB2312"/>
              </w:rPr>
              <w:t>6、考古发掘工作结束后7个工作日内向招标人出具《文物发掘报告》捌份，提交的成果文件必须符合国家、行业及陕西省相关标准、规范的规定，还需满足国家、行业、陕西省相关行政主管部门项目审批要求及招标人需求。</w:t>
            </w:r>
          </w:p>
          <w:p>
            <w:pPr>
              <w:pStyle w:val="null3"/>
            </w:pPr>
            <w:r>
              <w:rPr>
                <w:rFonts w:ascii="仿宋_GB2312" w:hAnsi="仿宋_GB2312" w:cs="仿宋_GB2312" w:eastAsia="仿宋_GB2312"/>
              </w:rPr>
              <w:t>三.安全要求：</w:t>
            </w:r>
          </w:p>
          <w:p>
            <w:pPr>
              <w:pStyle w:val="null3"/>
            </w:pPr>
            <w:r>
              <w:rPr>
                <w:rFonts w:ascii="仿宋_GB2312" w:hAnsi="仿宋_GB2312" w:cs="仿宋_GB2312" w:eastAsia="仿宋_GB2312"/>
              </w:rPr>
              <w:t xml:space="preserve">1、供应商应对自身安全负责，要遵守国家的相关安全规定。供应商应严格执行《考古工地安全协议》的相关要求，遵守考古工地的安全规定，确保考古工地的施工安全、人员安全和文物安全。  </w:t>
            </w:r>
          </w:p>
          <w:p>
            <w:pPr>
              <w:pStyle w:val="null3"/>
            </w:pPr>
            <w:r>
              <w:rPr>
                <w:rFonts w:ascii="仿宋_GB2312" w:hAnsi="仿宋_GB2312" w:cs="仿宋_GB2312" w:eastAsia="仿宋_GB2312"/>
              </w:rPr>
              <w:t>2、应坚持“安全第一、预防为主”的原则，在开工前应根据实际情况制定安全保卫工作方案及应急预案。负责组织对所有参与工作的人员进行安全警示教育，提高安全意识，防止和避免因工作失误和安全措施不到位诱发的安全责任事故。</w:t>
            </w:r>
          </w:p>
          <w:p>
            <w:pPr>
              <w:pStyle w:val="null3"/>
            </w:pPr>
            <w:r>
              <w:rPr>
                <w:rFonts w:ascii="仿宋_GB2312" w:hAnsi="仿宋_GB2312" w:cs="仿宋_GB2312" w:eastAsia="仿宋_GB2312"/>
              </w:rPr>
              <w:t>3、供应商在考古发掘工作中对发现的古遗址、古墓葬等地下文物古迹负有看管保护的责任，并对相关信息负有保密的责任。</w:t>
            </w:r>
          </w:p>
          <w:p>
            <w:pPr>
              <w:pStyle w:val="null3"/>
            </w:pPr>
            <w:r>
              <w:rPr>
                <w:rFonts w:ascii="仿宋_GB2312" w:hAnsi="仿宋_GB2312" w:cs="仿宋_GB2312" w:eastAsia="仿宋_GB2312"/>
              </w:rPr>
              <w:t>4、供应商考古驻地的所有工作人员、财物、设备、设施以及暂存文物标本的文物库房等的安全保卫工作由供应商全权负责。驻地暂存文物和标本的临时文物库房，必须符合有关存放文物的安全要求。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服务期限：</w:t>
            </w:r>
          </w:p>
          <w:p>
            <w:pPr>
              <w:pStyle w:val="null3"/>
            </w:pPr>
            <w:r>
              <w:rPr>
                <w:rFonts w:ascii="仿宋_GB2312" w:hAnsi="仿宋_GB2312" w:cs="仿宋_GB2312" w:eastAsia="仿宋_GB2312"/>
              </w:rPr>
              <w:t>自合同签订之日起150工作日。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勘探情况如下：</w:t>
            </w:r>
          </w:p>
          <w:p>
            <w:pPr>
              <w:pStyle w:val="null3"/>
            </w:pPr>
            <w:r>
              <w:rPr>
                <w:rFonts w:ascii="仿宋_GB2312" w:hAnsi="仿宋_GB2312" w:cs="仿宋_GB2312" w:eastAsia="仿宋_GB2312"/>
              </w:rPr>
              <w:t>第一次勘探：</w:t>
            </w:r>
          </w:p>
          <w:p>
            <w:pPr>
              <w:pStyle w:val="null3"/>
              <w:jc w:val="right"/>
            </w:pPr>
            <w:r>
              <w:rPr>
                <w:rFonts w:ascii="仿宋_GB2312" w:hAnsi="仿宋_GB2312" w:cs="仿宋_GB2312" w:eastAsia="仿宋_GB2312"/>
              </w:rPr>
              <w:t>单位：米</w:t>
            </w:r>
          </w:p>
          <w:tbl>
            <w:tblPr>
              <w:tblBorders>
                <w:top w:val="none" w:color="000000" w:sz="4"/>
                <w:left w:val="none" w:color="000000" w:sz="4"/>
                <w:bottom w:val="none" w:color="000000" w:sz="4"/>
                <w:right w:val="none" w:color="000000" w:sz="4"/>
                <w:insideH w:val="none"/>
                <w:insideV w:val="none"/>
              </w:tblBorders>
            </w:tblPr>
            <w:tblGrid>
              <w:gridCol w:w="120"/>
              <w:gridCol w:w="198"/>
              <w:gridCol w:w="382"/>
              <w:gridCol w:w="257"/>
              <w:gridCol w:w="160"/>
              <w:gridCol w:w="152"/>
              <w:gridCol w:w="171"/>
              <w:gridCol w:w="163"/>
              <w:gridCol w:w="130"/>
              <w:gridCol w:w="134"/>
              <w:gridCol w:w="138"/>
              <w:gridCol w:w="208"/>
              <w:gridCol w:w="338"/>
            </w:tblGrid>
            <w:tr>
              <w:tc>
                <w:tcPr>
                  <w:tcW w:type="dxa" w:w="12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编号</w:t>
                  </w:r>
                </w:p>
              </w:tc>
              <w:tc>
                <w:tcPr>
                  <w:tcW w:type="dxa" w:w="19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初步断代</w:t>
                  </w:r>
                </w:p>
              </w:tc>
              <w:tc>
                <w:tcPr>
                  <w:tcW w:type="dxa" w:w="3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形制</w:t>
                  </w:r>
                </w:p>
              </w:tc>
              <w:tc>
                <w:tcPr>
                  <w:tcW w:type="dxa" w:w="25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墓向</w:t>
                  </w:r>
                </w:p>
              </w:tc>
              <w:tc>
                <w:tcPr>
                  <w:tcW w:type="dxa" w:w="1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开口深</w:t>
                  </w:r>
                </w:p>
              </w:tc>
              <w:tc>
                <w:tcPr>
                  <w:tcW w:type="dxa" w:w="48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6"/>
                      <w:color w:val="000000"/>
                    </w:rPr>
                    <w:t>墓道</w:t>
                  </w:r>
                </w:p>
              </w:tc>
              <w:tc>
                <w:tcPr>
                  <w:tcW w:type="dxa" w:w="40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6"/>
                      <w:color w:val="000000"/>
                    </w:rPr>
                    <w:t>墓</w:t>
                  </w:r>
                  <w:r>
                    <w:rPr>
                      <w:rFonts w:ascii="仿宋_GB2312" w:hAnsi="仿宋_GB2312" w:cs="仿宋_GB2312" w:eastAsia="仿宋_GB2312"/>
                      <w:sz w:val="16"/>
                      <w:color w:val="000000"/>
                    </w:rPr>
                    <w:t>室</w:t>
                  </w:r>
                </w:p>
              </w:tc>
              <w:tc>
                <w:tcPr>
                  <w:tcW w:type="dxa" w:w="20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包含物</w:t>
                  </w:r>
                </w:p>
              </w:tc>
              <w:tc>
                <w:tcPr>
                  <w:tcW w:type="dxa" w:w="33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备</w:t>
                  </w:r>
                  <w:r>
                    <w:rPr>
                      <w:rFonts w:ascii="仿宋_GB2312" w:hAnsi="仿宋_GB2312" w:cs="仿宋_GB2312" w:eastAsia="仿宋_GB2312"/>
                      <w:sz w:val="16"/>
                      <w:color w:val="000000"/>
                    </w:rPr>
                    <w:t>注</w:t>
                  </w:r>
                </w:p>
              </w:tc>
            </w:tr>
            <w:tr>
              <w:tc>
                <w:tcPr>
                  <w:tcW w:type="dxa" w:w="120"/>
                  <w:vMerge/>
                  <w:tcBorders>
                    <w:top w:val="single" w:color="000000" w:sz="4"/>
                    <w:left w:val="single" w:color="000000" w:sz="4"/>
                    <w:bottom w:val="single" w:color="000000" w:sz="4"/>
                    <w:right w:val="single" w:color="000000" w:sz="4"/>
                  </w:tcBorders>
                </w:tcPr>
                <w:p/>
              </w:tc>
              <w:tc>
                <w:tcPr>
                  <w:tcW w:type="dxa" w:w="198"/>
                  <w:vMerge/>
                  <w:tcBorders>
                    <w:top w:val="single" w:color="000000" w:sz="4"/>
                    <w:left w:val="none" w:color="000000" w:sz="4"/>
                    <w:bottom w:val="single" w:color="000000" w:sz="4"/>
                    <w:right w:val="single" w:color="000000" w:sz="4"/>
                  </w:tcBorders>
                </w:tcPr>
                <w:p/>
              </w:tc>
              <w:tc>
                <w:tcPr>
                  <w:tcW w:type="dxa" w:w="382"/>
                  <w:vMerge/>
                  <w:tcBorders>
                    <w:top w:val="single" w:color="000000" w:sz="4"/>
                    <w:left w:val="none" w:color="000000" w:sz="4"/>
                    <w:bottom w:val="single" w:color="000000" w:sz="4"/>
                    <w:right w:val="single" w:color="000000" w:sz="4"/>
                  </w:tcBorders>
                </w:tcPr>
                <w:p/>
              </w:tc>
              <w:tc>
                <w:tcPr>
                  <w:tcW w:type="dxa" w:w="257"/>
                  <w:vMerge/>
                  <w:tcBorders>
                    <w:top w:val="single" w:color="000000" w:sz="4"/>
                    <w:left w:val="none" w:color="000000" w:sz="4"/>
                    <w:bottom w:val="single" w:color="000000" w:sz="4"/>
                    <w:right w:val="single" w:color="000000" w:sz="4"/>
                  </w:tcBorders>
                </w:tcPr>
                <w:p/>
              </w:tc>
              <w:tc>
                <w:tcPr>
                  <w:tcW w:type="dxa" w:w="160"/>
                  <w:vMerge/>
                  <w:tcBorders>
                    <w:top w:val="single" w:color="000000" w:sz="4"/>
                    <w:left w:val="none" w:color="000000" w:sz="4"/>
                    <w:bottom w:val="single" w:color="000000" w:sz="4"/>
                    <w:right w:val="single" w:color="000000" w:sz="4"/>
                  </w:tcBorders>
                </w:tcP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长</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宽</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深</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长</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宽</w:t>
                  </w: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深</w:t>
                  </w:r>
                </w:p>
              </w:tc>
              <w:tc>
                <w:tcPr>
                  <w:tcW w:type="dxa" w:w="208"/>
                  <w:vMerge/>
                  <w:tcBorders>
                    <w:top w:val="single" w:color="000000" w:sz="4"/>
                    <w:left w:val="none" w:color="000000" w:sz="4"/>
                    <w:bottom w:val="single" w:color="000000" w:sz="4"/>
                    <w:right w:val="single" w:color="000000" w:sz="4"/>
                  </w:tcBorders>
                </w:tcPr>
                <w:p/>
              </w:tc>
              <w:tc>
                <w:tcPr>
                  <w:tcW w:type="dxa" w:w="338"/>
                  <w:vMerge/>
                  <w:tcBorders>
                    <w:top w:val="single" w:color="000000" w:sz="4"/>
                    <w:left w:val="none" w:color="000000" w:sz="4"/>
                    <w:bottom w:val="single" w:color="000000" w:sz="4"/>
                    <w:right w:val="single" w:color="000000" w:sz="4"/>
                  </w:tcBorders>
                </w:tc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竖穴土洞</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坐北向南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棺沫</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w:t>
                  </w:r>
                  <w:r>
                    <w:rPr>
                      <w:rFonts w:ascii="仿宋_GB2312" w:hAnsi="仿宋_GB2312" w:cs="仿宋_GB2312" w:eastAsia="仿宋_GB2312"/>
                      <w:sz w:val="16"/>
                      <w:color w:val="000000"/>
                    </w:rPr>
                    <w:t>“甲”字形</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坐南向北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骨沫</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w:t>
                  </w:r>
                  <w:r>
                    <w:rPr>
                      <w:rFonts w:ascii="仿宋_GB2312" w:hAnsi="仿宋_GB2312" w:cs="仿宋_GB2312" w:eastAsia="仿宋_GB2312"/>
                      <w:sz w:val="16"/>
                      <w:color w:val="000000"/>
                    </w:rPr>
                    <w:t>“甲”字形</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坐东向西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棺沫</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Borders>
                <w:top w:val="none" w:color="000000" w:sz="4"/>
                <w:left w:val="none" w:color="000000" w:sz="4"/>
                <w:bottom w:val="none" w:color="000000" w:sz="4"/>
                <w:right w:val="none" w:color="000000" w:sz="4"/>
                <w:insideH w:val="none"/>
                <w:insideV w:val="none"/>
              </w:tblBorders>
            </w:tblPr>
            <w:tblGrid>
              <w:gridCol w:w="149"/>
              <w:gridCol w:w="195"/>
              <w:gridCol w:w="306"/>
              <w:gridCol w:w="278"/>
              <w:gridCol w:w="355"/>
              <w:gridCol w:w="360"/>
              <w:gridCol w:w="347"/>
              <w:gridCol w:w="290"/>
              <w:gridCol w:w="271"/>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编号</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初步断代</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形状</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开口深</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长</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宽</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深</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包含物</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备</w:t>
                  </w:r>
                  <w:r>
                    <w:rPr>
                      <w:rFonts w:ascii="仿宋_GB2312" w:hAnsi="仿宋_GB2312" w:cs="仿宋_GB2312" w:eastAsia="仿宋_GB2312"/>
                      <w:sz w:val="16"/>
                      <w:color w:val="000000"/>
                    </w:rPr>
                    <w:t>注</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H1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不规则</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0.3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瓦片、草木灰</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J1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6"/>
                      <w:color w:val="000000"/>
                    </w:rPr>
                    <w:t>圆</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0.4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5.6</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砖瓦、草木灰</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J2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圆</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0.4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5.6</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砖瓦</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D1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6"/>
                      <w:color w:val="000000"/>
                    </w:rPr>
                    <w:t>不规则</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0.3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地道</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第二次勘探：</w:t>
            </w:r>
          </w:p>
          <w:p>
            <w:pPr>
              <w:pStyle w:val="null3"/>
              <w:jc w:val="right"/>
            </w:pPr>
            <w:r>
              <w:rPr>
                <w:rFonts w:ascii="仿宋_GB2312" w:hAnsi="仿宋_GB2312" w:cs="仿宋_GB2312" w:eastAsia="仿宋_GB2312"/>
              </w:rPr>
              <w:t>单位：米</w:t>
            </w:r>
          </w:p>
          <w:tbl>
            <w:tblPr>
              <w:tblBorders>
                <w:top w:val="none" w:color="000000" w:sz="4"/>
                <w:left w:val="none" w:color="000000" w:sz="4"/>
                <w:bottom w:val="none" w:color="000000" w:sz="4"/>
                <w:right w:val="none" w:color="000000" w:sz="4"/>
                <w:insideH w:val="none"/>
                <w:insideV w:val="none"/>
              </w:tblBorders>
            </w:tblPr>
            <w:tblGrid>
              <w:gridCol w:w="136"/>
              <w:gridCol w:w="166"/>
              <w:gridCol w:w="364"/>
              <w:gridCol w:w="253"/>
              <w:gridCol w:w="157"/>
              <w:gridCol w:w="149"/>
              <w:gridCol w:w="157"/>
              <w:gridCol w:w="233"/>
              <w:gridCol w:w="142"/>
              <w:gridCol w:w="154"/>
              <w:gridCol w:w="161"/>
              <w:gridCol w:w="320"/>
              <w:gridCol w:w="158"/>
            </w:tblGrid>
            <w:tr>
              <w:tc>
                <w:tcPr>
                  <w:tcW w:type="dxa" w:w="1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编号</w:t>
                  </w:r>
                </w:p>
              </w:tc>
              <w:tc>
                <w:tcPr>
                  <w:tcW w:type="dxa" w:w="1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初步断代</w:t>
                  </w:r>
                </w:p>
              </w:tc>
              <w:tc>
                <w:tcPr>
                  <w:tcW w:type="dxa" w:w="3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形制</w:t>
                  </w:r>
                </w:p>
              </w:tc>
              <w:tc>
                <w:tcPr>
                  <w:tcW w:type="dxa" w:w="2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墓向</w:t>
                  </w:r>
                </w:p>
              </w:tc>
              <w:tc>
                <w:tcPr>
                  <w:tcW w:type="dxa" w:w="15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开口深</w:t>
                  </w:r>
                </w:p>
              </w:tc>
              <w:tc>
                <w:tcPr>
                  <w:tcW w:type="dxa" w:w="53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6"/>
                      <w:b/>
                      <w:color w:val="203040"/>
                    </w:rPr>
                    <w:t>墓</w:t>
                  </w:r>
                  <w:r>
                    <w:rPr>
                      <w:rFonts w:ascii="仿宋_GB2312" w:hAnsi="仿宋_GB2312" w:cs="仿宋_GB2312" w:eastAsia="仿宋_GB2312"/>
                      <w:sz w:val="21"/>
                    </w:rPr>
                    <w:t xml:space="preserve"> </w:t>
                  </w:r>
                  <w:r>
                    <w:rPr>
                      <w:rFonts w:ascii="仿宋_GB2312" w:hAnsi="仿宋_GB2312" w:cs="仿宋_GB2312" w:eastAsia="仿宋_GB2312"/>
                      <w:sz w:val="16"/>
                      <w:b/>
                      <w:color w:val="203040"/>
                    </w:rPr>
                    <w:t>道</w:t>
                  </w:r>
                </w:p>
              </w:tc>
              <w:tc>
                <w:tcPr>
                  <w:tcW w:type="dxa" w:w="457"/>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6"/>
                      <w:b/>
                      <w:color w:val="000000"/>
                    </w:rPr>
                    <w:t>墓</w:t>
                  </w:r>
                  <w:r>
                    <w:rPr>
                      <w:rFonts w:ascii="仿宋_GB2312" w:hAnsi="仿宋_GB2312" w:cs="仿宋_GB2312" w:eastAsia="仿宋_GB2312"/>
                      <w:sz w:val="21"/>
                    </w:rPr>
                    <w:t xml:space="preserve"> </w:t>
                  </w:r>
                  <w:r>
                    <w:rPr>
                      <w:rFonts w:ascii="仿宋_GB2312" w:hAnsi="仿宋_GB2312" w:cs="仿宋_GB2312" w:eastAsia="仿宋_GB2312"/>
                      <w:sz w:val="16"/>
                      <w:b/>
                      <w:color w:val="000000"/>
                    </w:rPr>
                    <w:t>室</w:t>
                  </w:r>
                </w:p>
              </w:tc>
              <w:tc>
                <w:tcPr>
                  <w:tcW w:type="dxa" w:w="3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203050"/>
                    </w:rPr>
                    <w:t>包含物</w:t>
                  </w:r>
                </w:p>
              </w:tc>
              <w:tc>
                <w:tcPr>
                  <w:tcW w:type="dxa" w:w="15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b/>
                      <w:color w:val="103040"/>
                    </w:rPr>
                    <w:t xml:space="preserve">  备</w:t>
                  </w:r>
                  <w:r>
                    <w:rPr>
                      <w:rFonts w:ascii="仿宋_GB2312" w:hAnsi="仿宋_GB2312" w:cs="仿宋_GB2312" w:eastAsia="仿宋_GB2312"/>
                      <w:sz w:val="21"/>
                    </w:rPr>
                    <w:t xml:space="preserve"> </w:t>
                  </w:r>
                  <w:r>
                    <w:rPr>
                      <w:rFonts w:ascii="仿宋_GB2312" w:hAnsi="仿宋_GB2312" w:cs="仿宋_GB2312" w:eastAsia="仿宋_GB2312"/>
                      <w:sz w:val="16"/>
                      <w:b/>
                      <w:color w:val="103040"/>
                    </w:rPr>
                    <w:t>注</w:t>
                  </w:r>
                </w:p>
              </w:tc>
            </w:tr>
            <w:tr>
              <w:tc>
                <w:tcPr>
                  <w:tcW w:type="dxa" w:w="136"/>
                  <w:vMerge/>
                  <w:tcBorders>
                    <w:top w:val="single" w:color="000000" w:sz="4"/>
                    <w:left w:val="single" w:color="000000" w:sz="4"/>
                    <w:bottom w:val="single" w:color="000000" w:sz="4"/>
                    <w:right w:val="single" w:color="000000" w:sz="4"/>
                  </w:tcBorders>
                </w:tcPr>
                <w:p/>
              </w:tc>
              <w:tc>
                <w:tcPr>
                  <w:tcW w:type="dxa" w:w="166"/>
                  <w:vMerge/>
                  <w:tcBorders>
                    <w:top w:val="single" w:color="000000" w:sz="4"/>
                    <w:left w:val="none" w:color="000000" w:sz="4"/>
                    <w:bottom w:val="single" w:color="000000" w:sz="4"/>
                    <w:right w:val="single" w:color="000000" w:sz="4"/>
                  </w:tcBorders>
                </w:tcPr>
                <w:p/>
              </w:tc>
              <w:tc>
                <w:tcPr>
                  <w:tcW w:type="dxa" w:w="364"/>
                  <w:vMerge/>
                  <w:tcBorders>
                    <w:top w:val="single" w:color="000000" w:sz="4"/>
                    <w:left w:val="none" w:color="000000" w:sz="4"/>
                    <w:bottom w:val="single" w:color="000000" w:sz="4"/>
                    <w:right w:val="single" w:color="000000" w:sz="4"/>
                  </w:tcBorders>
                </w:tcPr>
                <w:p/>
              </w:tc>
              <w:tc>
                <w:tcPr>
                  <w:tcW w:type="dxa" w:w="253"/>
                  <w:vMerge/>
                  <w:tcBorders>
                    <w:top w:val="single" w:color="000000" w:sz="4"/>
                    <w:left w:val="none" w:color="000000" w:sz="4"/>
                    <w:bottom w:val="single" w:color="000000" w:sz="4"/>
                    <w:right w:val="single" w:color="000000" w:sz="4"/>
                  </w:tcBorders>
                </w:tcPr>
                <w:p/>
              </w:tc>
              <w:tc>
                <w:tcPr>
                  <w:tcW w:type="dxa" w:w="157"/>
                  <w:vMerge/>
                  <w:tcBorders>
                    <w:top w:val="single" w:color="000000" w:sz="4"/>
                    <w:left w:val="none" w:color="000000" w:sz="4"/>
                    <w:bottom w:val="single" w:color="000000" w:sz="4"/>
                    <w:right w:val="single" w:color="000000" w:sz="4"/>
                  </w:tcBorders>
                </w:tcP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4050"/>
                    </w:rPr>
                    <w:t>长</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宽</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深</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长</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宽</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304050"/>
                    </w:rPr>
                    <w:t>深</w:t>
                  </w:r>
                </w:p>
              </w:tc>
              <w:tc>
                <w:tcPr>
                  <w:tcW w:type="dxa" w:w="320"/>
                  <w:vMerge/>
                  <w:tcBorders>
                    <w:top w:val="single" w:color="000000" w:sz="4"/>
                    <w:left w:val="none" w:color="000000" w:sz="4"/>
                    <w:bottom w:val="single" w:color="000000" w:sz="4"/>
                    <w:right w:val="single" w:color="000000" w:sz="4"/>
                  </w:tcBorders>
                </w:tcPr>
                <w:p/>
              </w:tc>
              <w:tc>
                <w:tcPr>
                  <w:tcW w:type="dxa" w:w="158"/>
                  <w:vMerge/>
                  <w:tcBorders>
                    <w:top w:val="single" w:color="000000" w:sz="4"/>
                    <w:left w:val="non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0.3-7.3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砖粒</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0.4-7.1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淤土</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M3</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5050"/>
                    </w:rPr>
                    <w:t>7</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0.6-6.9</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淤土</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M4</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4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0.4-5.2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淤土、砖粒</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M5</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4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0.3-6.8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淤土</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M6</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4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103030"/>
                    </w:rPr>
                    <w:t>0.4-6.2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40"/>
                    </w:rPr>
                    <w:t>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505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淤土</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M7</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0.4-6.7</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淤土</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M8</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0.3-6.2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5060"/>
                    </w:rPr>
                    <w:t>棺灰</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M9</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204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刀把形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坐北朝南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棺灰、砖粒</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M10</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405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竖穴土洞</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坐北朝南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4050"/>
                    </w:rPr>
                    <w:t>棺灰</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竖穴土坑</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南北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棺沫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坐北朝南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淤土</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M13</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竖穴土坑</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南北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淤土</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M14</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竖穴土洞</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40"/>
                    </w:rPr>
                    <w:t>坐北朝南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棺沫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M15</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竖穴土坑</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4060"/>
                    </w:rPr>
                    <w:t>南北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棺沫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M16</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竖穴土坑</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东西</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405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棺沫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M17</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竖穴土坑</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南北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5060"/>
                    </w:rPr>
                    <w:t>棺沫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M18</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竖穴土坑</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40"/>
                    </w:rPr>
                    <w:t>南北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骨沫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M19</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斜坡墓道竖穴土洞墓</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坐北朝南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405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0.3-3.6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5060"/>
                    </w:rPr>
                    <w:t>棺钉</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M20</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竖穴土坑墓</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南北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30405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棺沫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M21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40"/>
                    </w:rPr>
                    <w:t>斜坡墓道刀把形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坐北朝南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0.3-3.2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5060"/>
                    </w:rPr>
                    <w:t>骨沫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M22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斜坡墓道“甲”字形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0.2-5.2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淤土</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M23</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竖穴土洞</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坐西朝东</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4050"/>
                    </w:rPr>
                    <w:t>漆皮</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M24</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古代</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竖穴土坑</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南北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203040"/>
                    </w:rPr>
                    <w:t>棺沫</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满足采购需求及采购人要求。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自合同签订之日起150工作日。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位于陕西省西安曲江新区长安南路以东、共建一路以南、花街西路以西、共建三路以北区域，项目用地总面积13284.86平方米。</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协议签署生效后7个工作日内，甲方向乙方一次性支付全额考古发掘工作经费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参与验收的供应商或者第三方机构的意见作为验收书的参考资料一并存档。 2、最终验收：最终验收结果作为付款依据，乙方填写验收单，并向甲方提交实施过程中的所有资料，以便甲方日后管理和维护。 3、验收依据： 3.1合同文本、合同附件、单一来源采购文件、成交供应商的响应文件。 3.2国内相应的标准、规范。 3.3其他适用的依据。</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供应商需按格式要求填写《响应函》及《资格证明文件》并按要求进行签章。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供应商需按格式要求填写《资格证明文件》并按要求进行签章。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法定代表人或授权代表身份证明</w:t>
            </w:r>
          </w:p>
        </w:tc>
        <w:tc>
          <w:tcPr>
            <w:tcW w:type="dxa" w:w="3322"/>
          </w:tcPr>
          <w:p>
            <w:pPr>
              <w:pStyle w:val="null3"/>
            </w:pPr>
            <w:r>
              <w:rPr>
                <w:rFonts w:ascii="仿宋_GB2312" w:hAnsi="仿宋_GB2312" w:cs="仿宋_GB2312" w:eastAsia="仿宋_GB2312"/>
              </w:rPr>
              <w:t>（1）法定代表人或单位负责人参加协商的，应提供法定代表人或单位负责人身份证明； （2）授权代表参加协商的，应提供法定代表人或单位负责人身份证明、授权委托书及授权代表在本单位缴纳养老保险证明；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“信用中国”网站和中国政府采购网信用记录：供应商未被列入“信用中国”网站(www.creditchina.gov.cn)“失信被执行人或重大税收违法失信主体”记录名单；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（以代理机构于开启响应文件当天进行资格审查时在“信用中国”网站及中国政府采购网查询结果为准）。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企业资质及项目负责人资格</w:t>
            </w:r>
          </w:p>
        </w:tc>
        <w:tc>
          <w:tcPr>
            <w:tcW w:type="dxa" w:w="3322"/>
          </w:tcPr>
          <w:p>
            <w:pPr>
              <w:pStyle w:val="null3"/>
            </w:pPr>
            <w:r>
              <w:rPr>
                <w:rFonts w:ascii="仿宋_GB2312" w:hAnsi="仿宋_GB2312" w:cs="仿宋_GB2312" w:eastAsia="仿宋_GB2312"/>
              </w:rPr>
              <w:t>供应商需具有中华人民共和国考古发掘资质证书，拟派项目负责人具有国家文物局颁发的考古发掘领队资格证或考古发掘项目负责人资质证书。</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响应文件签署及盖章</w:t>
            </w:r>
          </w:p>
        </w:tc>
        <w:tc>
          <w:tcPr>
            <w:tcW w:type="dxa" w:w="3322"/>
          </w:tcPr>
          <w:p>
            <w:pPr>
              <w:pStyle w:val="null3"/>
            </w:pPr>
            <w:r>
              <w:rPr>
                <w:rFonts w:ascii="仿宋_GB2312" w:hAnsi="仿宋_GB2312" w:cs="仿宋_GB2312" w:eastAsia="仿宋_GB2312"/>
              </w:rPr>
              <w:t>响应文件按要求加盖供应商单位公章和有法定代表人或授权委托代理人签字或盖章。</w:t>
            </w:r>
          </w:p>
        </w:tc>
        <w:tc>
          <w:tcPr>
            <w:tcW w:type="dxa" w:w="1661"/>
          </w:tcPr>
          <w:p>
            <w:pPr>
              <w:pStyle w:val="null3"/>
            </w:pPr>
            <w:r>
              <w:rPr>
                <w:rFonts w:ascii="仿宋_GB2312" w:hAnsi="仿宋_GB2312" w:cs="仿宋_GB2312" w:eastAsia="仿宋_GB2312"/>
              </w:rPr>
              <w:t>响应报价表（最终）.docx 服务内容及服务邀请应答表 中小企业声明函 商务应答表 承诺书.docx 报价表 响应报价表（首次）.docx 资格证明文件.docx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1)响应文件有效期:有效期满足采购文件要求的;2)响应文件格式:响应文件按规定的格式填写，内容完整且关键字迹清晰;3)备选方案:供应商不得提交两份或者多份内容不同的响应文件，或者在同一份响应文件中对同一采购项目有两个或者多个报价;4)响应文件内容:供应商提供的服务无实质性遗漏;5)技术响应:符合“采购需求"要求，无重大偏差; 6)服务期:满足招标文件要求;7）付款方式:采购文件不允许偏差时，响应文件无负偏差;</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详见附件：响应报价表（首次）.docx</w:t>
      </w:r>
    </w:p>
    <w:p>
      <w:pPr>
        <w:pStyle w:val="null3"/>
        <w:ind w:firstLine="960"/>
      </w:pPr>
      <w:r>
        <w:rPr>
          <w:rFonts w:ascii="仿宋_GB2312" w:hAnsi="仿宋_GB2312" w:cs="仿宋_GB2312" w:eastAsia="仿宋_GB2312"/>
        </w:rPr>
        <w:t>详见附件：响应报价表（最终）.docx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