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版本号：SCZE2025-CS-2355-00120250924001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QJ4-3-91-1宗地配合考古发掘工程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SCZE2025-CS-2355-001</w:t>
      </w:r>
      <w:r>
        <w:br/>
      </w:r>
      <w:r>
        <w:br/>
      </w:r>
      <w:r>
        <w:br/>
      </w:r>
    </w:p>
    <w:p>
      <w:pPr>
        <w:pStyle w:val="null3"/>
        <w:jc w:val="center"/>
        <w:outlineLvl w:val="2"/>
      </w:pPr>
      <w:r>
        <w:rPr>
          <w:rFonts w:ascii="仿宋_GB2312" w:hAnsi="仿宋_GB2312" w:cs="仿宋_GB2312" w:eastAsia="仿宋_GB2312"/>
          <w:sz w:val="28"/>
          <w:b/>
        </w:rPr>
        <w:t>西安曲江新区土地储备中心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QJ4-3-91-1宗地配合考古发掘工程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SCZE2025-CS-2355-001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QJ4-3-91-1宗地配合考古发掘工程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QJ4-3-91-1宗地位于陕西省西安曲江新区长安南路以东、共建一路以南、花街西路以西、共建三路以北区域，项目用地总面积13284.86平方米，勘探完成率100%，发现古墓葬27座、灰坑1处、井2眼、地道1处；本次招标范围为配合考古发掘单位按时完成劳务配合、民工土方工作、现场安全管理、支护加固等内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采购包1（QJ4-3-91-1宗地配合考古发掘工程）：属于专门面向中小企业采购。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1、授权委托书或法人身份证明：法定代表人或单位负责人参加磋商的，应提供法定代表人或单位负责人身份证明； 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了法人代表、控股股东、控股企业及管理、被管理单位情况声明且各供应商之间不存在单位负责人为同一人或者存在控股、管理关系的情形； 提供了供应商未为本项目提供整体设计、规范编制或者项目管理、监理、检测等服务的声明。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西安曲江政务中心B-817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15339211506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标准收取，不足8000.00元的，按8000.00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参与验收的供应商或者第三方机构的意见作为验收书的参考资料一并存档。 2、最终验收：最终验收结果作为付款依据，乙方填写验收单，并向甲方提交实施过程中的所有资料，以便甲方日后管理和维护。 3、验收依据： 3.1合同文本、合同附件、竞争性磋商文件、成交供应商的响应文件。 3.2国内相应的标准、规范。 3.3其他适用的依据。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地址：西安市高新区锦业一路1号都市之门C座9层综合办公室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QJ4-3-91-1宗地位于陕西省西安曲江新区长安南路以东、共建一路以南、花街西路以西、共建三路以北区域，项目用地总面积13284.86平方米，勘探完成率100%，发现古墓葬27座、灰坑1处、井2眼、地道1处；本次招标范围为配合考古发掘单位按时完成劳务配合、民工土方工作、现场安全管理、支护加固等内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1,524,000.00</w:t>
      </w:r>
    </w:p>
    <w:p>
      <w:pPr>
        <w:pStyle w:val="null3"/>
      </w:pPr>
      <w:r>
        <w:rPr>
          <w:rFonts w:ascii="仿宋_GB2312" w:hAnsi="仿宋_GB2312" w:cs="仿宋_GB2312" w:eastAsia="仿宋_GB2312"/>
        </w:rPr>
        <w:t>采购包最高限价（元）: 1,524,000.00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配合完成宗地考古发掘工作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标的名称：配合完成宗地考古发掘工作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一.采购项目概况</w:t>
            </w:r>
          </w:p>
          <w:p>
            <w:pPr>
              <w:pStyle w:val="null3"/>
            </w:pPr>
            <w:r>
              <w:rPr>
                <w:rFonts w:ascii="仿宋_GB2312" w:hAnsi="仿宋_GB2312" w:cs="仿宋_GB2312" w:eastAsia="仿宋_GB2312"/>
              </w:rPr>
              <w:t>QJ4-3-91-1宗地位于陕西省西安曲江新区长安南路以东、共建一路以南、花街西路以西、共建三路以北区域，项目用地总面积13284.86平方米，勘探完成率100%，发现古墓葬27座、灰坑1处、井2眼、地道1处；本次招标范围为配合考古发掘单位按时完成劳务配合、民工土方工作、现场安全管理、支护加固等内容。</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1、供应商应根据国家和省、市有关法律法规及招标人的有关规定，配合考古发掘单位按时完成民工土方工作。</w:t>
            </w:r>
          </w:p>
          <w:p>
            <w:pPr>
              <w:pStyle w:val="null3"/>
            </w:pPr>
            <w:r>
              <w:rPr>
                <w:rFonts w:ascii="仿宋_GB2312" w:hAnsi="仿宋_GB2312" w:cs="仿宋_GB2312" w:eastAsia="仿宋_GB2312"/>
              </w:rPr>
              <w:t>2、供应商的服务方案符合相关要求并切实可行。</w:t>
            </w:r>
          </w:p>
          <w:p>
            <w:pPr>
              <w:pStyle w:val="null3"/>
            </w:pPr>
            <w:r>
              <w:rPr>
                <w:rFonts w:ascii="仿宋_GB2312" w:hAnsi="仿宋_GB2312" w:cs="仿宋_GB2312" w:eastAsia="仿宋_GB2312"/>
              </w:rPr>
              <w:t>3、供应商应拥有足够的人力、财力、物力和专业技术能力等资源保证按时按质按量完成委托业务。</w:t>
            </w:r>
          </w:p>
          <w:p>
            <w:pPr>
              <w:pStyle w:val="null3"/>
            </w:pPr>
            <w:r>
              <w:rPr>
                <w:rFonts w:ascii="仿宋_GB2312" w:hAnsi="仿宋_GB2312" w:cs="仿宋_GB2312" w:eastAsia="仿宋_GB2312"/>
              </w:rPr>
              <w:t>4、供应商应对自身安全负责，并给项目人员提供相应的保险保障。</w:t>
            </w:r>
          </w:p>
          <w:p>
            <w:pPr>
              <w:pStyle w:val="null3"/>
            </w:pPr>
            <w:r>
              <w:rPr>
                <w:rFonts w:ascii="仿宋_GB2312" w:hAnsi="仿宋_GB2312" w:cs="仿宋_GB2312" w:eastAsia="仿宋_GB2312"/>
              </w:rPr>
              <w:t>5、供应商应有健全的组织机构和内部管理制度，有完善的质量保证体系和安全管理制度。定期对人员进行相关文物、考古知识的培训。</w:t>
            </w:r>
          </w:p>
          <w:p>
            <w:pPr>
              <w:pStyle w:val="null3"/>
            </w:pPr>
            <w:r>
              <w:rPr>
                <w:rFonts w:ascii="仿宋_GB2312" w:hAnsi="仿宋_GB2312" w:cs="仿宋_GB2312" w:eastAsia="仿宋_GB2312"/>
              </w:rPr>
              <w:t>6、如被确认中标，则供应商于投标文件中承诺配备的人员必须配备到位，若需更换人员应先征得招标人同意，且替换的人员不低于被替换的人员的资质等级及工作能力。</w:t>
            </w:r>
          </w:p>
          <w:p>
            <w:pPr>
              <w:pStyle w:val="null3"/>
            </w:pPr>
            <w:r>
              <w:rPr>
                <w:rFonts w:ascii="仿宋_GB2312" w:hAnsi="仿宋_GB2312" w:cs="仿宋_GB2312" w:eastAsia="仿宋_GB2312"/>
              </w:rPr>
              <w:t>7、成交单位应独立完成工作任务，不得以任何形式将工作任务再委托其他个人和机构。</w:t>
            </w:r>
          </w:p>
          <w:p>
            <w:pPr>
              <w:pStyle w:val="null3"/>
            </w:pPr>
            <w:r>
              <w:rPr>
                <w:rFonts w:ascii="仿宋_GB2312" w:hAnsi="仿宋_GB2312" w:cs="仿宋_GB2312" w:eastAsia="仿宋_GB2312"/>
              </w:rPr>
              <w:t>三、安全要求：</w:t>
            </w:r>
          </w:p>
          <w:p>
            <w:pPr>
              <w:pStyle w:val="null3"/>
            </w:pPr>
            <w:r>
              <w:rPr>
                <w:rFonts w:ascii="仿宋_GB2312" w:hAnsi="仿宋_GB2312" w:cs="仿宋_GB2312" w:eastAsia="仿宋_GB2312"/>
              </w:rPr>
              <w:t xml:space="preserve">1、供应商应对自身安全负责，要遵守国家的相关安全规定。供应商应严格执行《考古工地安全协议》的相关要求，遵守考古工地的安全规定，确保考古工地的施工安全、人员安全和文物安全。  </w:t>
            </w:r>
          </w:p>
          <w:p>
            <w:pPr>
              <w:pStyle w:val="null3"/>
            </w:pPr>
            <w:r>
              <w:rPr>
                <w:rFonts w:ascii="仿宋_GB2312" w:hAnsi="仿宋_GB2312" w:cs="仿宋_GB2312" w:eastAsia="仿宋_GB2312"/>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pPr>
            <w:r>
              <w:rPr>
                <w:rFonts w:ascii="仿宋_GB2312" w:hAnsi="仿宋_GB2312" w:cs="仿宋_GB2312" w:eastAsia="仿宋_GB2312"/>
              </w:rPr>
              <w:t>3、供应商在考古发掘工作中对发现的古遗址、古墓葬等地下文物古迹负有看管保护的责任，并对相关信息负有保密的责任。</w:t>
            </w:r>
          </w:p>
          <w:p>
            <w:pPr>
              <w:pStyle w:val="null3"/>
            </w:pPr>
            <w:r>
              <w:rPr>
                <w:rFonts w:ascii="仿宋_GB2312" w:hAnsi="仿宋_GB2312" w:cs="仿宋_GB2312" w:eastAsia="仿宋_GB2312"/>
              </w:rPr>
              <w:t>4、供应商考古驻地的所有工作人员、财物、设备、设施以及暂存文物标本的文物库房等的安全保卫工作由供应商全权负责。驻地暂存文物和标本的临时文物库房，必须符合有关存放文物的安全要求。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服务期限：</w:t>
            </w:r>
          </w:p>
          <w:p>
            <w:pPr>
              <w:pStyle w:val="null3"/>
            </w:pPr>
            <w:r>
              <w:rPr>
                <w:rFonts w:ascii="仿宋_GB2312" w:hAnsi="仿宋_GB2312" w:cs="仿宋_GB2312" w:eastAsia="仿宋_GB2312"/>
              </w:rPr>
              <w:t>自合同签订之日起150个工作日。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勘探情况如下：</w:t>
            </w:r>
          </w:p>
          <w:p>
            <w:pPr>
              <w:pStyle w:val="null3"/>
            </w:pPr>
            <w:r>
              <w:rPr>
                <w:rFonts w:ascii="仿宋_GB2312" w:hAnsi="仿宋_GB2312" w:cs="仿宋_GB2312" w:eastAsia="仿宋_GB2312"/>
                <w:sz w:val="18"/>
                <w:b/>
                <w:color w:val="000000"/>
              </w:rPr>
              <w:t>单位：米</w:t>
            </w:r>
          </w:p>
          <w:tbl>
            <w:tblPr>
              <w:tblBorders>
                <w:top w:val="none" w:color="000000" w:sz="4"/>
                <w:left w:val="none" w:color="000000" w:sz="4"/>
                <w:bottom w:val="none" w:color="000000" w:sz="4"/>
                <w:right w:val="none" w:color="000000" w:sz="4"/>
                <w:insideH w:val="none"/>
                <w:insideV w:val="none"/>
              </w:tblBorders>
            </w:tblPr>
            <w:tblGrid>
              <w:gridCol w:w="120"/>
              <w:gridCol w:w="198"/>
              <w:gridCol w:w="382"/>
              <w:gridCol w:w="257"/>
              <w:gridCol w:w="160"/>
              <w:gridCol w:w="152"/>
              <w:gridCol w:w="171"/>
              <w:gridCol w:w="163"/>
              <w:gridCol w:w="130"/>
              <w:gridCol w:w="134"/>
              <w:gridCol w:w="139"/>
              <w:gridCol w:w="209"/>
              <w:gridCol w:w="338"/>
            </w:tblGrid>
            <w:tr>
              <w:tc>
                <w:tcPr>
                  <w:tcW w:type="dxa" w:w="1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编号</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初步断代</w:t>
                  </w:r>
                </w:p>
              </w:tc>
              <w:tc>
                <w:tcPr>
                  <w:tcW w:type="dxa" w:w="3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形制</w:t>
                  </w:r>
                </w:p>
              </w:tc>
              <w:tc>
                <w:tcPr>
                  <w:tcW w:type="dxa" w:w="2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墓向</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开口深</w:t>
                  </w:r>
                </w:p>
              </w:tc>
              <w:tc>
                <w:tcPr>
                  <w:tcW w:type="dxa" w:w="4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墓道</w:t>
                  </w:r>
                </w:p>
              </w:tc>
              <w:tc>
                <w:tcPr>
                  <w:tcW w:type="dxa" w:w="4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墓</w:t>
                  </w:r>
                  <w:r>
                    <w:rPr>
                      <w:rFonts w:ascii="仿宋_GB2312" w:hAnsi="仿宋_GB2312" w:cs="仿宋_GB2312" w:eastAsia="仿宋_GB2312"/>
                      <w:sz w:val="16"/>
                      <w:color w:val="000000"/>
                    </w:rPr>
                    <w:t>室</w:t>
                  </w:r>
                </w:p>
              </w:tc>
              <w:tc>
                <w:tcPr>
                  <w:tcW w:type="dxa" w:w="2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包含物</w:t>
                  </w:r>
                </w:p>
              </w:tc>
              <w:tc>
                <w:tcPr>
                  <w:tcW w:type="dxa" w:w="3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color w:val="000000"/>
                    </w:rPr>
                    <w:t>备</w:t>
                  </w:r>
                  <w:r>
                    <w:rPr>
                      <w:rFonts w:ascii="仿宋_GB2312" w:hAnsi="仿宋_GB2312" w:cs="仿宋_GB2312" w:eastAsia="仿宋_GB2312"/>
                      <w:sz w:val="16"/>
                      <w:color w:val="000000"/>
                    </w:rPr>
                    <w:t>注</w:t>
                  </w:r>
                </w:p>
              </w:tc>
            </w:tr>
            <w:tr>
              <w:tc>
                <w:tcPr>
                  <w:tcW w:type="dxa" w:w="120"/>
                  <w:vMerge/>
                  <w:tcBorders>
                    <w:top w:val="single" w:color="000000" w:sz="4"/>
                    <w:left w:val="singl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382"/>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209"/>
                  <w:vMerge/>
                  <w:tcBorders>
                    <w:top w:val="single" w:color="000000" w:sz="4"/>
                    <w:left w:val="none" w:color="000000" w:sz="4"/>
                    <w:bottom w:val="single" w:color="000000" w:sz="4"/>
                    <w:right w:val="single" w:color="000000" w:sz="4"/>
                  </w:tcBorders>
                </w:tcPr>
                <w:p/>
              </w:tc>
              <w:tc>
                <w:tcPr>
                  <w:tcW w:type="dxa" w:w="338"/>
                  <w:vMerge/>
                  <w:tcBorders>
                    <w:top w:val="single" w:color="000000" w:sz="4"/>
                    <w:left w:val="non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坐北向南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棺沫</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w:t>
                  </w:r>
                  <w:r>
                    <w:rPr>
                      <w:rFonts w:ascii="仿宋_GB2312" w:hAnsi="仿宋_GB2312" w:cs="仿宋_GB2312" w:eastAsia="仿宋_GB2312"/>
                      <w:sz w:val="16"/>
                      <w:color w:val="000000"/>
                    </w:rPr>
                    <w:t>“甲”字形</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坐南向北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骨沫</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w:t>
                  </w:r>
                  <w:r>
                    <w:rPr>
                      <w:rFonts w:ascii="仿宋_GB2312" w:hAnsi="仿宋_GB2312" w:cs="仿宋_GB2312" w:eastAsia="仿宋_GB2312"/>
                      <w:sz w:val="16"/>
                      <w:color w:val="000000"/>
                    </w:rPr>
                    <w:t>“甲”字形</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坐东向西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3.48</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棺沫</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bl>
          <w:p>
            <w:pPr>
              <w:pStyle w:val="null3"/>
              <w:jc w:val="both"/>
            </w:pPr>
            <w:r>
              <w:rPr>
                <w:rFonts w:ascii="仿宋_GB2312" w:hAnsi="仿宋_GB2312" w:cs="仿宋_GB2312" w:eastAsia="仿宋_GB2312"/>
                <w:sz w:val="21"/>
                <w:b/>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149"/>
              <w:gridCol w:w="195"/>
              <w:gridCol w:w="307"/>
              <w:gridCol w:w="278"/>
              <w:gridCol w:w="356"/>
              <w:gridCol w:w="360"/>
              <w:gridCol w:w="347"/>
              <w:gridCol w:w="290"/>
              <w:gridCol w:w="271"/>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编号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初步断代</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形状</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开口深</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包含物</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备</w:t>
                  </w:r>
                  <w:r>
                    <w:rPr>
                      <w:rFonts w:ascii="仿宋_GB2312" w:hAnsi="仿宋_GB2312" w:cs="仿宋_GB2312" w:eastAsia="仿宋_GB2312"/>
                      <w:sz w:val="16"/>
                      <w:color w:val="000000"/>
                    </w:rPr>
                    <w:t>注</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H1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不规则</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color w:val="000000"/>
                    </w:rPr>
                    <w:t>0.3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瓦片、草木灰</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J1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color w:val="000000"/>
                    </w:rPr>
                    <w:t>0.4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砖瓦、草木灰</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J2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color w:val="000000"/>
                    </w:rPr>
                    <w:t>0.4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砖瓦</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D1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不规则</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color w:val="000000"/>
                    </w:rPr>
                    <w:t>0.3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地道</w:t>
                  </w:r>
                </w:p>
              </w:tc>
            </w:tr>
          </w:tbl>
          <w:p>
            <w:pPr>
              <w:pStyle w:val="null3"/>
            </w:pPr>
            <w:r>
              <w:rPr>
                <w:rFonts w:ascii="仿宋_GB2312" w:hAnsi="仿宋_GB2312" w:cs="仿宋_GB2312" w:eastAsia="仿宋_GB2312"/>
                <w:sz w:val="28"/>
                <w:color w:val="000000"/>
              </w:rPr>
              <w:t xml:space="preserve"> </w:t>
            </w:r>
          </w:p>
          <w:p>
            <w:pPr>
              <w:pStyle w:val="null3"/>
            </w:pPr>
            <w:r>
              <w:rPr>
                <w:rFonts w:ascii="仿宋_GB2312" w:hAnsi="仿宋_GB2312" w:cs="仿宋_GB2312" w:eastAsia="仿宋_GB2312"/>
                <w:sz w:val="28"/>
                <w:color w:val="000000"/>
              </w:rPr>
              <w:t xml:space="preserve"> </w:t>
            </w:r>
          </w:p>
          <w:p>
            <w:pPr>
              <w:pStyle w:val="null3"/>
              <w:jc w:val="both"/>
            </w:pPr>
            <w:r>
              <w:rPr>
                <w:rFonts w:ascii="仿宋_GB2312" w:hAnsi="仿宋_GB2312" w:cs="仿宋_GB2312" w:eastAsia="仿宋_GB2312"/>
                <w:sz w:val="21"/>
                <w:b/>
                <w:color w:val="000000"/>
              </w:rPr>
              <w:t xml:space="preserve"> </w:t>
            </w:r>
          </w:p>
          <w:p>
            <w:pPr>
              <w:pStyle w:val="null3"/>
            </w:pPr>
            <w:r>
              <w:rPr>
                <w:rFonts w:ascii="仿宋_GB2312" w:hAnsi="仿宋_GB2312" w:cs="仿宋_GB2312" w:eastAsia="仿宋_GB2312"/>
                <w:sz w:val="24"/>
                <w:b/>
                <w:color w:val="000000"/>
              </w:rPr>
              <w:t>第二次勘探：</w:t>
            </w:r>
          </w:p>
          <w:p>
            <w:pPr>
              <w:pStyle w:val="null3"/>
              <w:jc w:val="right"/>
            </w:pPr>
            <w:r>
              <w:rPr>
                <w:rFonts w:ascii="仿宋_GB2312" w:hAnsi="仿宋_GB2312" w:cs="仿宋_GB2312" w:eastAsia="仿宋_GB2312"/>
                <w:sz w:val="18"/>
                <w:b/>
                <w:color w:val="000000"/>
              </w:rPr>
              <w:t>单位：米</w:t>
            </w:r>
          </w:p>
          <w:tbl>
            <w:tblPr>
              <w:tblBorders>
                <w:top w:val="none" w:color="000000" w:sz="4"/>
                <w:left w:val="none" w:color="000000" w:sz="4"/>
                <w:bottom w:val="none" w:color="000000" w:sz="4"/>
                <w:right w:val="none" w:color="000000" w:sz="4"/>
                <w:insideH w:val="none"/>
                <w:insideV w:val="none"/>
              </w:tblBorders>
            </w:tblPr>
            <w:tblGrid>
              <w:gridCol w:w="136"/>
              <w:gridCol w:w="166"/>
              <w:gridCol w:w="364"/>
              <w:gridCol w:w="253"/>
              <w:gridCol w:w="157"/>
              <w:gridCol w:w="149"/>
              <w:gridCol w:w="157"/>
              <w:gridCol w:w="234"/>
              <w:gridCol w:w="142"/>
              <w:gridCol w:w="154"/>
              <w:gridCol w:w="161"/>
              <w:gridCol w:w="320"/>
              <w:gridCol w:w="158"/>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编号</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初步断代</w:t>
                  </w:r>
                </w:p>
              </w:tc>
              <w:tc>
                <w:tcPr>
                  <w:tcW w:type="dxa" w:w="3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形制</w:t>
                  </w:r>
                </w:p>
              </w:tc>
              <w:tc>
                <w:tcPr>
                  <w:tcW w:type="dxa" w:w="2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墓向</w:t>
                  </w:r>
                </w:p>
              </w:tc>
              <w:tc>
                <w:tcPr>
                  <w:tcW w:type="dxa" w:w="1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开口深</w:t>
                  </w:r>
                </w:p>
              </w:tc>
              <w:tc>
                <w:tcPr>
                  <w:tcW w:type="dxa" w:w="5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b/>
                      <w:color w:val="203040"/>
                    </w:rPr>
                    <w:t>墓</w:t>
                  </w:r>
                  <w:r>
                    <w:rPr>
                      <w:rFonts w:ascii="仿宋_GB2312" w:hAnsi="仿宋_GB2312" w:cs="仿宋_GB2312" w:eastAsia="仿宋_GB2312"/>
                      <w:sz w:val="21"/>
                    </w:rPr>
                    <w:t xml:space="preserve"> </w:t>
                  </w:r>
                  <w:r>
                    <w:rPr>
                      <w:rFonts w:ascii="仿宋_GB2312" w:hAnsi="仿宋_GB2312" w:cs="仿宋_GB2312" w:eastAsia="仿宋_GB2312"/>
                      <w:sz w:val="16"/>
                      <w:b/>
                      <w:color w:val="203040"/>
                    </w:rPr>
                    <w:t>道</w:t>
                  </w:r>
                </w:p>
              </w:tc>
              <w:tc>
                <w:tcPr>
                  <w:tcW w:type="dxa" w:w="45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b/>
                      <w:color w:val="000000"/>
                    </w:rPr>
                    <w:t>墓</w:t>
                  </w:r>
                  <w:r>
                    <w:rPr>
                      <w:rFonts w:ascii="仿宋_GB2312" w:hAnsi="仿宋_GB2312" w:cs="仿宋_GB2312" w:eastAsia="仿宋_GB2312"/>
                      <w:sz w:val="21"/>
                    </w:rPr>
                    <w:t xml:space="preserve"> </w:t>
                  </w:r>
                  <w:r>
                    <w:rPr>
                      <w:rFonts w:ascii="仿宋_GB2312" w:hAnsi="仿宋_GB2312" w:cs="仿宋_GB2312" w:eastAsia="仿宋_GB2312"/>
                      <w:sz w:val="16"/>
                      <w:b/>
                      <w:color w:val="000000"/>
                    </w:rPr>
                    <w:t>室</w:t>
                  </w:r>
                </w:p>
              </w:tc>
              <w:tc>
                <w:tcPr>
                  <w:tcW w:type="dxa" w:w="3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203050"/>
                    </w:rPr>
                    <w:t>包含物</w:t>
                  </w:r>
                </w:p>
              </w:tc>
              <w:tc>
                <w:tcPr>
                  <w:tcW w:type="dxa" w:w="1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b/>
                      <w:color w:val="103040"/>
                    </w:rPr>
                    <w:t xml:space="preserve">  备</w:t>
                  </w:r>
                  <w:r>
                    <w:rPr>
                      <w:rFonts w:ascii="仿宋_GB2312" w:hAnsi="仿宋_GB2312" w:cs="仿宋_GB2312" w:eastAsia="仿宋_GB2312"/>
                      <w:sz w:val="21"/>
                    </w:rPr>
                    <w:t xml:space="preserve"> </w:t>
                  </w:r>
                  <w:r>
                    <w:rPr>
                      <w:rFonts w:ascii="仿宋_GB2312" w:hAnsi="仿宋_GB2312" w:cs="仿宋_GB2312" w:eastAsia="仿宋_GB2312"/>
                      <w:sz w:val="16"/>
                      <w:b/>
                      <w:color w:val="103040"/>
                    </w:rPr>
                    <w:t>注</w:t>
                  </w:r>
                </w:p>
              </w:tc>
            </w:tr>
            <w:tr>
              <w:tc>
                <w:tcPr>
                  <w:tcW w:type="dxa" w:w="136"/>
                  <w:vMerge/>
                  <w:tcBorders>
                    <w:top w:val="single" w:color="000000" w:sz="4"/>
                    <w:left w:val="singl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c>
                <w:tcPr>
                  <w:tcW w:type="dxa" w:w="364"/>
                  <w:vMerge/>
                  <w:tcBorders>
                    <w:top w:val="single" w:color="000000" w:sz="4"/>
                    <w:left w:val="none" w:color="000000" w:sz="4"/>
                    <w:bottom w:val="single" w:color="000000" w:sz="4"/>
                    <w:right w:val="single" w:color="000000" w:sz="4"/>
                  </w:tcBorders>
                </w:tcPr>
                <w:p/>
              </w:tc>
              <w:tc>
                <w:tcPr>
                  <w:tcW w:type="dxa" w:w="253"/>
                  <w:vMerge/>
                  <w:tcBorders>
                    <w:top w:val="single" w:color="000000" w:sz="4"/>
                    <w:left w:val="none" w:color="000000" w:sz="4"/>
                    <w:bottom w:val="single" w:color="000000" w:sz="4"/>
                    <w:right w:val="single" w:color="000000" w:sz="4"/>
                  </w:tcBorders>
                </w:tcPr>
                <w:p/>
              </w:tc>
              <w:tc>
                <w:tcPr>
                  <w:tcW w:type="dxa" w:w="157"/>
                  <w:vMerge/>
                  <w:tcBorders>
                    <w:top w:val="single" w:color="000000" w:sz="4"/>
                    <w:left w:val="none" w:color="000000" w:sz="4"/>
                    <w:bottom w:val="single" w:color="000000" w:sz="4"/>
                    <w:right w:val="single" w:color="000000" w:sz="4"/>
                  </w:tcBorders>
                </w:tcP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宽</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304050"/>
                    </w:rPr>
                    <w:t>深</w:t>
                  </w:r>
                </w:p>
              </w:tc>
              <w:tc>
                <w:tcPr>
                  <w:tcW w:type="dxa" w:w="320"/>
                  <w:vMerge/>
                  <w:tcBorders>
                    <w:top w:val="single" w:color="000000" w:sz="4"/>
                    <w:left w:val="none" w:color="000000" w:sz="4"/>
                    <w:bottom w:val="single" w:color="000000" w:sz="4"/>
                    <w:right w:val="single" w:color="000000" w:sz="4"/>
                  </w:tcBorders>
                </w:tcPr>
                <w:p/>
              </w:tc>
              <w:tc>
                <w:tcPr>
                  <w:tcW w:type="dxa" w:w="158"/>
                  <w:vMerge/>
                  <w:tcBorders>
                    <w:top w:val="singl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0.3-7.3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砖粒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0.4-7.1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5050"/>
                    </w:rPr>
                    <w:t>7</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0.6-6.9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0.4-5.2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淤土、砖粒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0.3-6.8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103030"/>
                    </w:rPr>
                    <w:t>0.4-6.2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5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0.4-6.7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0.3-6.2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60"/>
                    </w:rPr>
                    <w:t>棺灰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M9</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2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刀把形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棺灰、砖粒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棺灰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6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东西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6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骨沫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M19</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斜坡墓道竖穴土洞墓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0.3-3.6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60"/>
                    </w:rPr>
                    <w:t>棺钉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斜坡墓道刀把形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0.3-3.2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5060"/>
                    </w:rPr>
                    <w:t>骨沫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0.2-5.2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漆皮</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位于陕西省西安曲江新区长安南路以东、共建一路以南、花街西路以西、共建三路以北区域。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参与验收的供应商或者第三方机构的意见作为验收书的参考资料一并存档。 2、最终验收：最终验收结果作为付款依据，乙方填写验收单，并向甲方提交实施过程中的所有资料，以便甲方日后管理和维护。 3、验收依据： 3.1合同文本、合同附件、竞争性磋商文件、成交供应商的响应文件。 3.2国内相应的标准、规范。 3.3其他适用的依据。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乙方完成服务总量的50%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乙方服务总量全部完成且经甲方确认后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在甲方取得考古发掘工作报告并且完成结算和绩效评价后，最终验收通过后，按照评价结果对应等级办理费用确认和付款手续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1.具有独立承担民事责任的能力：提供了有效的法人或者其他组织的营业执照等证明文件； 2.提供了满足磋商文件要求的经审计的财务报表或本年度基本开户银行出具的资信证明； 3.有依法缴纳税收和社会保障资金的良好记录：(1) 提供了磋商文件要求时间内的缴纳增值税或企业所得税的凭证（银行出具的缴税凭证或税务机关出具的证明的复印件，并加盖本单位公章）或免税证明（复印件加盖公章）；(2)提供了磋商文件要求时间内的社会保障资金缴纳记录（专用收据或社会保险缴纳清单）或免缴纳证明（复印件加盖公章）； 4.具有履行合同所必需的设备和专业技术能力：提供了可充分满足履行合同所需设备和专业技术能力的证明材料或承诺； 5.参加政府采购活动前三年内，在经营活动中没有重大违法记录：提供了有效的参加政府采购活动前3年内在经营活动中没有重大违法记录的书面声明。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响应报价表（最终）.docx 服务内容及服务邀请应答表 供应商应提供的资格证明文件.docx 中小企业声明函 商务应答表 承诺书.docx 报价表 响应报价表（首次）.docx 响应文件封面 残疾人福利性单位声明函 服务方案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提供了满足磋商文件要求的经审计的财务报表或本年度基本开户银行出具的资信证明。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提供了法人代表、控股股东、控股企业及管理、被管理单位情况声明且各供应商之间不存在单位负责人为同一人或者存在控股、管理关系的情形； 提供了供应商未为本项目提供整体设计、规范编制或者项目管理、监理、检测等服务的声明。</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 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提供了法人代表、控股股东、控股企业及管理、被管理单位情况声明且各供应商之间不存在单位负责人为同一人或者存在控股、管理关系的情形； 提供了供应商未为本项目提供整体设计、规范编制或者项目管理、监理、检测等服务的声明。</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响应报价表（最终）.docx 服务内容及服务邀请应答表 供应商应提供的资格证明文件.docx 中小企业声明函 商务应答表 承诺书.docx 报价表 响应报价表（首次）.docx 响应文件封面 残疾人福利性单位声明函 服务方案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按磋商文件格式要求加盖了供应商公章和法定代表人或其委托代理人签字或加盖人名章。</w:t>
            </w:r>
          </w:p>
        </w:tc>
        <w:tc>
          <w:tcPr>
            <w:tcW w:type="dxa" w:w="1661"/>
          </w:tcPr>
          <w:p>
            <w:pPr>
              <w:pStyle w:val="null3"/>
            </w:pPr>
            <w:r>
              <w:rPr>
                <w:rFonts w:ascii="仿宋_GB2312" w:hAnsi="仿宋_GB2312" w:cs="仿宋_GB2312" w:eastAsia="仿宋_GB2312"/>
              </w:rPr>
              <w:t>响应文件封面 响应报价表（最终）.docx 服务内容及服务邀请应答表 供应商应提供的资格证明文件.docx 中小企业声明函 残疾人福利性单位声明函 商务应答表 服务方案 承诺书.docx 响应报价表（首次）.docx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内容无重大缺漏项，报价唯一，且没有超过采购预算或最高限价；</w:t>
            </w:r>
          </w:p>
        </w:tc>
        <w:tc>
          <w:tcPr>
            <w:tcW w:type="dxa" w:w="1661"/>
          </w:tcPr>
          <w:p>
            <w:pPr>
              <w:pStyle w:val="null3"/>
            </w:pPr>
            <w:r>
              <w:rPr>
                <w:rFonts w:ascii="仿宋_GB2312" w:hAnsi="仿宋_GB2312" w:cs="仿宋_GB2312" w:eastAsia="仿宋_GB2312"/>
              </w:rPr>
              <w:t>响应文件封面 响应报价表（最终）.docx 服务内容及服务邀请应答表 中小企业声明函 残疾人福利性单位声明函 商务应答表 服务方案 承诺书.docx 标的清单 响应报价表（首次）.docx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响应报价表（最终）.docx 服务内容及服务邀请应答表 中小企业声明函 残疾人福利性单位声明函 商务应答表 服务方案 承诺书.docx 响应报价表（首次）.docx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响应文件封面 响应报价表（最终）.docx 服务内容及服务邀请应答表 中小企业声明函 残疾人福利性单位声明函 商务应答表 服务方案 承诺书.docx 响应报价表（首次）.docx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针对本项目所包含的所有方面提供有效、完整的整体实施方案，符合项目需求。 1.方案全面、具体、可行、科学合理，得6分； 2.方案比较全面、具体、可行，得3分； 3.方案有一定的合理性、完整性，得1分；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响应报价表（首次）.docx</w:t>
            </w:r>
          </w:p>
          <w:p>
            <w:pPr>
              <w:pStyle w:val="null3"/>
            </w:pPr>
            <w:r>
              <w:rPr>
                <w:rFonts w:ascii="仿宋_GB2312" w:hAnsi="仿宋_GB2312" w:cs="仿宋_GB2312" w:eastAsia="仿宋_GB2312"/>
              </w:rPr>
              <w:t>响应报价表（最终）.docx</w:t>
            </w:r>
          </w:p>
        </w:tc>
      </w:tr>
      <w:tr>
        <w:tc>
          <w:tcPr>
            <w:tcW w:type="dxa" w:w="831"/>
            <w:vMerge/>
          </w:tcPr>
          <w:p/>
        </w:tc>
        <w:tc>
          <w:tcPr>
            <w:tcW w:type="dxa" w:w="1661"/>
          </w:tcPr>
          <w:p>
            <w:pPr>
              <w:pStyle w:val="null3"/>
            </w:pPr>
            <w:r>
              <w:rPr>
                <w:rFonts w:ascii="仿宋_GB2312" w:hAnsi="仿宋_GB2312" w:cs="仿宋_GB2312" w:eastAsia="仿宋_GB2312"/>
              </w:rPr>
              <w:t>前期准备方案</w:t>
            </w:r>
          </w:p>
        </w:tc>
        <w:tc>
          <w:tcPr>
            <w:tcW w:type="dxa" w:w="2492"/>
          </w:tcPr>
          <w:p>
            <w:pPr>
              <w:pStyle w:val="null3"/>
            </w:pPr>
            <w:r>
              <w:rPr>
                <w:rFonts w:ascii="仿宋_GB2312" w:hAnsi="仿宋_GB2312" w:cs="仿宋_GB2312" w:eastAsia="仿宋_GB2312"/>
              </w:rPr>
              <w:t>提供有效、完整的前期劳务进场施工准备方案，符合项目需求。 1.方案全面、具体、可行、科学合理，得6分； 2.方案比较全面、具体、可行，得3分； 3.方案有一定的合理性、完整性，得1分；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确保发掘质量的技术组织措施</w:t>
            </w:r>
          </w:p>
        </w:tc>
        <w:tc>
          <w:tcPr>
            <w:tcW w:type="dxa" w:w="2492"/>
          </w:tcPr>
          <w:p>
            <w:pPr>
              <w:pStyle w:val="null3"/>
            </w:pPr>
            <w:r>
              <w:rPr>
                <w:rFonts w:ascii="仿宋_GB2312" w:hAnsi="仿宋_GB2312" w:cs="仿宋_GB2312" w:eastAsia="仿宋_GB2312"/>
              </w:rPr>
              <w:t>提供确保发掘质量的技术组织措施，符合项目需求。 1.措施全面、具体、可行、科学合理，得6分； 2.措施比较全面、具体、可行，得3分； 3.措施有一定的合理性、完整性，得1分；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确保安全作业及环境保护措施</w:t>
            </w:r>
          </w:p>
        </w:tc>
        <w:tc>
          <w:tcPr>
            <w:tcW w:type="dxa" w:w="2492"/>
          </w:tcPr>
          <w:p>
            <w:pPr>
              <w:pStyle w:val="null3"/>
            </w:pPr>
            <w:r>
              <w:rPr>
                <w:rFonts w:ascii="仿宋_GB2312" w:hAnsi="仿宋_GB2312" w:cs="仿宋_GB2312" w:eastAsia="仿宋_GB2312"/>
              </w:rPr>
              <w:t>提供确保安全作业及环境保护措施，符合项目需求。 1.措施全面、具体、可行、科学合理，得6分； 2.措施比较全面、具体、可行，得3分； 3.措施有一定的合理性、完整性，得1分；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文物安全保护措施</w:t>
            </w:r>
          </w:p>
        </w:tc>
        <w:tc>
          <w:tcPr>
            <w:tcW w:type="dxa" w:w="2492"/>
          </w:tcPr>
          <w:p>
            <w:pPr>
              <w:pStyle w:val="null3"/>
            </w:pPr>
            <w:r>
              <w:rPr>
                <w:rFonts w:ascii="仿宋_GB2312" w:hAnsi="仿宋_GB2312" w:cs="仿宋_GB2312" w:eastAsia="仿宋_GB2312"/>
              </w:rPr>
              <w:t>提供文物安全保护措施，符合项目需求。 1.措施全面、具体、可行、科学合理，得6分； 2.措施比较全面、具体、可行，得3分； 3.措施有一定的合理性、完整性，得1分；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可投入的主要设备情况</w:t>
            </w:r>
          </w:p>
        </w:tc>
        <w:tc>
          <w:tcPr>
            <w:tcW w:type="dxa" w:w="2492"/>
          </w:tcPr>
          <w:p>
            <w:pPr>
              <w:pStyle w:val="null3"/>
            </w:pPr>
            <w:r>
              <w:rPr>
                <w:rFonts w:ascii="仿宋_GB2312" w:hAnsi="仿宋_GB2312" w:cs="仿宋_GB2312" w:eastAsia="仿宋_GB2312"/>
              </w:rPr>
              <w:t>针对本项目拟投入本项目的工具设备情况，包括设备新旧程度、数量等。 1.工具配置齐全，数量充足，满足工作需求计6分； 2.工具配置较齐全，基本满足工作需求计3分； 3.有一定的工具配置，设备陈旧， 不能满足项目需求计1分；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与考古发掘单位的配合措施</w:t>
            </w:r>
          </w:p>
        </w:tc>
        <w:tc>
          <w:tcPr>
            <w:tcW w:type="dxa" w:w="2492"/>
          </w:tcPr>
          <w:p>
            <w:pPr>
              <w:pStyle w:val="null3"/>
            </w:pPr>
            <w:r>
              <w:rPr>
                <w:rFonts w:ascii="仿宋_GB2312" w:hAnsi="仿宋_GB2312" w:cs="仿宋_GB2312" w:eastAsia="仿宋_GB2312"/>
              </w:rPr>
              <w:t>提供与考古发掘单位的配合措施，符合项目需求。 1.措施全面、具体、可行、科学合理，得6分； 2.措施比较全面、具体、可行，得3分； 3.措施有一定的合理性、完整性，得1分；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对周边区域历史、文物的了解程度描述</w:t>
            </w:r>
          </w:p>
        </w:tc>
        <w:tc>
          <w:tcPr>
            <w:tcW w:type="dxa" w:w="2492"/>
          </w:tcPr>
          <w:p>
            <w:pPr>
              <w:pStyle w:val="null3"/>
            </w:pPr>
            <w:r>
              <w:rPr>
                <w:rFonts w:ascii="仿宋_GB2312" w:hAnsi="仿宋_GB2312" w:cs="仿宋_GB2312" w:eastAsia="仿宋_GB2312"/>
              </w:rPr>
              <w:t>提供对周边区域历史、文物的了解程度描述，符合项目实际。 1.描述全面、具体、可行、科学合理，得6分； 2.描述比较全面、具体、可行，得3分； 3.描述有一定的合理性、完整性，得1分；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针对本项目内容提出适用于本项目的服务承诺，包括：①对本项目质量、项目实施进度、后期服务等方面做出承诺； ②对服务时限内团队稳定性做出承诺； ③对人员到位情况、人员及文物安全等方面做出承诺；④对服务期内服务质量一致性等相关内容做出承诺。 1.承诺全面、具体、可行、科学合理，得6分； 2.承诺比较全面、具体、可行，得3分； 3.承诺有一定的合理性、完整性，得1分；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提供保密措施，符合项目需求。 1.措施全面、具体、可行、科学合理，得6分； 2.措施比较全面、具体、可行，得3分； 3.措施有一定的合理性、完整性，得1分；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提供应急保障措施，符合项目需求。 1.措施全面、具体、可行、科学合理，得6分； 2.措施比较全面、具体、可行，得3分； 3.措施有一定的合理性、完整性，得1分； 4.不满足项目要求及严重缺漏不得分。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具有丰富的同类项目业绩，每提供一个业绩得2.5分，最高得5分。 需提供合同复印件或扫描件，合同须有参与者姓名，如合同中未有参与者姓名，可提供甲方说明或证明材料，无合同或参与者姓名的为无效合同。合同可以与供应商合同重复。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团队成员（除项目负责人外）：提供详细、可行、合理的岗位安排表（包括人员名单、工作经验、 工作岗位等信息） 1.人员配置合理数量在5人及以上的得 7 分； 2.人员配置合理数量在3-4人的得 4分； 3.人员配置合理数量在1-2人的得 1分； 4.其他不得分。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2022年 1 月 1 日以来类似项目业绩（以合同签订日期为准），每份合格业绩合同计 3分，满分 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响应报价表（首次）.docx</w:t>
            </w:r>
          </w:p>
          <w:p>
            <w:pPr>
              <w:pStyle w:val="null3"/>
            </w:pPr>
            <w:r>
              <w:rPr>
                <w:rFonts w:ascii="仿宋_GB2312" w:hAnsi="仿宋_GB2312" w:cs="仿宋_GB2312" w:eastAsia="仿宋_GB2312"/>
              </w:rPr>
              <w:t>响应报价表（最终）.docx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详见附件：响应报价表（首次）.docx</w:t>
      </w:r>
    </w:p>
    <w:p>
      <w:pPr>
        <w:pStyle w:val="null3"/>
        <w:ind w:firstLine="960"/>
      </w:pPr>
      <w:r>
        <w:rPr>
          <w:rFonts w:ascii="仿宋_GB2312" w:hAnsi="仿宋_GB2312" w:cs="仿宋_GB2312" w:eastAsia="仿宋_GB2312"/>
        </w:rPr>
        <w:t>详见附件：响应报价表（最终）.docx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详见附件：QJ4-3-91-1宗地配合考古发掘工程协议.docx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