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96E61A">
      <w:pPr>
        <w:pStyle w:val="6"/>
        <w:jc w:val="center"/>
        <w:outlineLvl w:val="1"/>
        <w:rPr>
          <w:rFonts w:hint="default"/>
          <w:highlight w:val="none"/>
        </w:rPr>
      </w:pPr>
      <w:r>
        <w:rPr>
          <w:b/>
          <w:sz w:val="36"/>
          <w:highlight w:val="none"/>
        </w:rPr>
        <w:t>拟签订采购合同文本</w:t>
      </w:r>
    </w:p>
    <w:p w14:paraId="6370B06A">
      <w:pPr>
        <w:tabs>
          <w:tab w:val="left" w:pos="735"/>
        </w:tabs>
        <w:autoSpaceDE w:val="0"/>
        <w:autoSpaceDN w:val="0"/>
        <w:adjustRightInd w:val="0"/>
        <w:snapToGrid w:val="0"/>
        <w:spacing w:before="312" w:beforeLines="100" w:line="358" w:lineRule="auto"/>
        <w:ind w:firstLine="629"/>
        <w:rPr>
          <w:rFonts w:hint="eastAsia" w:ascii="宋体" w:hAnsi="宋体" w:cs="宋体"/>
          <w:b/>
          <w:bCs/>
          <w:sz w:val="20"/>
          <w:highlight w:val="none"/>
          <w:lang w:val="zh-CN"/>
        </w:rPr>
      </w:pPr>
      <w:r>
        <w:rPr>
          <w:rFonts w:hint="eastAsia" w:ascii="宋体" w:hAnsi="宋体" w:cs="宋体"/>
          <w:b/>
          <w:bCs/>
          <w:sz w:val="20"/>
          <w:highlight w:val="none"/>
          <w:lang w:val="zh-CN"/>
        </w:rPr>
        <w:t>甲方：</w:t>
      </w:r>
      <w:r>
        <w:rPr>
          <w:rFonts w:hint="eastAsia" w:ascii="宋体" w:hAnsi="宋体" w:cs="宋体"/>
          <w:bCs/>
          <w:sz w:val="20"/>
          <w:highlight w:val="none"/>
          <w:lang w:val="zh-CN"/>
        </w:rPr>
        <w:t>（前款所称采购人）         住所：</w:t>
      </w:r>
    </w:p>
    <w:p w14:paraId="520E5267">
      <w:pPr>
        <w:tabs>
          <w:tab w:val="left" w:pos="735"/>
        </w:tabs>
        <w:autoSpaceDE w:val="0"/>
        <w:autoSpaceDN w:val="0"/>
        <w:adjustRightInd w:val="0"/>
        <w:snapToGrid w:val="0"/>
        <w:spacing w:line="358" w:lineRule="auto"/>
        <w:ind w:firstLine="631"/>
        <w:rPr>
          <w:rFonts w:hint="eastAsia" w:ascii="宋体" w:hAnsi="宋体" w:cs="宋体"/>
          <w:bCs/>
          <w:sz w:val="20"/>
          <w:highlight w:val="none"/>
          <w:lang w:val="zh-CN"/>
        </w:rPr>
      </w:pPr>
      <w:r>
        <w:rPr>
          <w:rFonts w:hint="eastAsia" w:ascii="宋体" w:hAnsi="宋体" w:cs="宋体"/>
          <w:b/>
          <w:bCs/>
          <w:sz w:val="20"/>
          <w:highlight w:val="none"/>
          <w:lang w:val="zh-CN"/>
        </w:rPr>
        <w:t>乙方：</w:t>
      </w:r>
      <w:r>
        <w:rPr>
          <w:rFonts w:hint="eastAsia" w:ascii="宋体" w:hAnsi="宋体" w:cs="宋体"/>
          <w:bCs/>
          <w:sz w:val="20"/>
          <w:highlight w:val="none"/>
          <w:lang w:val="zh-CN"/>
        </w:rPr>
        <w:t>（前款所称成交供应商）     住所：</w:t>
      </w:r>
    </w:p>
    <w:p w14:paraId="63EC8EE3">
      <w:pPr>
        <w:adjustRightInd w:val="0"/>
        <w:snapToGrid w:val="0"/>
        <w:spacing w:line="358" w:lineRule="auto"/>
        <w:ind w:firstLine="402" w:firstLineChars="200"/>
        <w:rPr>
          <w:rFonts w:hint="eastAsia" w:ascii="宋体" w:hAnsi="宋体" w:cs="宋体"/>
          <w:b/>
          <w:sz w:val="20"/>
          <w:highlight w:val="none"/>
        </w:rPr>
      </w:pPr>
      <w:r>
        <w:rPr>
          <w:rFonts w:hint="eastAsia" w:ascii="宋体" w:hAnsi="宋体" w:cs="宋体"/>
          <w:b/>
          <w:sz w:val="20"/>
          <w:highlight w:val="none"/>
        </w:rPr>
        <w:t>一、合同内容</w:t>
      </w:r>
    </w:p>
    <w:p w14:paraId="0EA82523">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（标的、数量、质量等）:</w:t>
      </w:r>
    </w:p>
    <w:p w14:paraId="312B580A">
      <w:pPr>
        <w:adjustRightInd w:val="0"/>
        <w:snapToGrid w:val="0"/>
        <w:spacing w:line="358" w:lineRule="auto"/>
        <w:ind w:firstLine="402" w:firstLineChars="200"/>
        <w:rPr>
          <w:rFonts w:hint="eastAsia" w:ascii="宋体" w:hAnsi="宋体" w:cs="宋体"/>
          <w:b/>
          <w:sz w:val="20"/>
          <w:highlight w:val="none"/>
        </w:rPr>
      </w:pPr>
      <w:r>
        <w:rPr>
          <w:rFonts w:hint="eastAsia" w:ascii="宋体" w:hAnsi="宋体" w:cs="宋体"/>
          <w:b/>
          <w:sz w:val="20"/>
          <w:highlight w:val="none"/>
        </w:rPr>
        <w:t>二、合同价款</w:t>
      </w:r>
    </w:p>
    <w:p w14:paraId="293669F0">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 xml:space="preserve">1、合同总价： </w:t>
      </w:r>
    </w:p>
    <w:p w14:paraId="11AFBA0B">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2、合同总价包括：响应报价是完成磋商内容所需的全部费用，包括完成项目所需的场地费、人员费、策划费、税金及其它相关的费用。</w:t>
      </w:r>
    </w:p>
    <w:p w14:paraId="67EF86F4">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3、合同总价一次包死，不受市场价变化的影响。</w:t>
      </w:r>
    </w:p>
    <w:p w14:paraId="29EC08B4">
      <w:pPr>
        <w:adjustRightInd w:val="0"/>
        <w:snapToGrid w:val="0"/>
        <w:spacing w:line="358" w:lineRule="auto"/>
        <w:ind w:firstLine="402" w:firstLineChars="200"/>
        <w:rPr>
          <w:rFonts w:hint="eastAsia" w:ascii="宋体" w:hAnsi="宋体" w:cs="宋体"/>
          <w:b/>
          <w:sz w:val="20"/>
          <w:highlight w:val="none"/>
        </w:rPr>
      </w:pPr>
      <w:r>
        <w:rPr>
          <w:rFonts w:hint="eastAsia" w:ascii="宋体" w:hAnsi="宋体" w:cs="宋体"/>
          <w:b/>
          <w:sz w:val="20"/>
          <w:highlight w:val="none"/>
        </w:rPr>
        <w:t>三、合同结算</w:t>
      </w:r>
    </w:p>
    <w:p w14:paraId="3E358B94">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1、资金支付条件及时间：</w:t>
      </w:r>
    </w:p>
    <w:p w14:paraId="6755064B">
      <w:pPr>
        <w:adjustRightInd w:val="0"/>
        <w:snapToGrid w:val="0"/>
        <w:spacing w:line="358" w:lineRule="auto"/>
        <w:ind w:firstLine="420" w:firstLineChars="200"/>
        <w:rPr>
          <w:rFonts w:hint="eastAsia" w:ascii="宋体" w:hAnsi="宋体" w:eastAsia="宋体" w:cs="宋体"/>
          <w:sz w:val="20"/>
          <w:highlight w:val="none"/>
          <w:lang w:eastAsia="zh-CN"/>
        </w:rPr>
      </w:pPr>
      <w:r>
        <w:rPr>
          <w:rFonts w:hint="eastAsia"/>
          <w:highlight w:val="none"/>
        </w:rPr>
        <w:t>待乙方完成服务内容，提供成果，按照甲方要求验收合格并</w:t>
      </w:r>
      <w:r>
        <w:rPr>
          <w:rFonts w:hint="eastAsia"/>
          <w:highlight w:val="none"/>
          <w:lang w:val="en-US" w:eastAsia="zh-CN"/>
        </w:rPr>
        <w:t>完成</w:t>
      </w:r>
      <w:r>
        <w:rPr>
          <w:rFonts w:hint="eastAsia"/>
          <w:highlight w:val="none"/>
        </w:rPr>
        <w:t>绩效评价</w:t>
      </w:r>
      <w:r>
        <w:rPr>
          <w:highlight w:val="none"/>
        </w:rPr>
        <w:t>，达到付款条件起 30 日内，支付合同总金额的</w:t>
      </w:r>
      <w:r>
        <w:rPr>
          <w:rFonts w:hint="eastAsia"/>
          <w:highlight w:val="none"/>
          <w:lang w:val="en-US" w:eastAsia="zh-CN"/>
        </w:rPr>
        <w:t>100</w:t>
      </w:r>
      <w:r>
        <w:rPr>
          <w:highlight w:val="none"/>
        </w:rPr>
        <w:t>.00%</w:t>
      </w:r>
      <w:r>
        <w:rPr>
          <w:rFonts w:hint="eastAsia"/>
          <w:highlight w:val="none"/>
          <w:lang w:eastAsia="zh-CN"/>
        </w:rPr>
        <w:t>。</w:t>
      </w:r>
    </w:p>
    <w:p w14:paraId="1848C99E">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2、结算方式：银行转账。</w:t>
      </w:r>
    </w:p>
    <w:p w14:paraId="3FC877FD">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3、结算单位：由</w:t>
      </w:r>
      <w:r>
        <w:rPr>
          <w:rFonts w:hint="eastAsia" w:ascii="宋体" w:hAnsi="宋体" w:cs="宋体"/>
          <w:sz w:val="20"/>
          <w:highlight w:val="none"/>
          <w:u w:val="single"/>
        </w:rPr>
        <w:t>甲方</w:t>
      </w:r>
      <w:r>
        <w:rPr>
          <w:rFonts w:hint="eastAsia" w:ascii="宋体" w:hAnsi="宋体" w:cs="宋体"/>
          <w:sz w:val="20"/>
          <w:highlight w:val="none"/>
        </w:rPr>
        <w:t>负责结算，乙方开具合同总价数的全额发票交采购人。</w:t>
      </w:r>
    </w:p>
    <w:p w14:paraId="77D3AE25">
      <w:pPr>
        <w:adjustRightInd w:val="0"/>
        <w:snapToGrid w:val="0"/>
        <w:spacing w:line="358" w:lineRule="auto"/>
        <w:ind w:firstLine="402" w:firstLineChars="200"/>
        <w:rPr>
          <w:rFonts w:hint="eastAsia" w:ascii="宋体" w:hAnsi="宋体" w:cs="宋体"/>
          <w:b/>
          <w:sz w:val="20"/>
          <w:highlight w:val="none"/>
        </w:rPr>
      </w:pPr>
      <w:r>
        <w:rPr>
          <w:rFonts w:hint="eastAsia" w:ascii="宋体" w:hAnsi="宋体" w:cs="宋体"/>
          <w:b/>
          <w:sz w:val="20"/>
          <w:highlight w:val="none"/>
        </w:rPr>
        <w:t>四、服务期、地点及方式:</w:t>
      </w:r>
    </w:p>
    <w:p w14:paraId="2612DA61">
      <w:pPr>
        <w:adjustRightInd w:val="0"/>
        <w:snapToGrid w:val="0"/>
        <w:spacing w:line="358" w:lineRule="auto"/>
        <w:ind w:firstLine="400" w:firstLineChars="200"/>
        <w:rPr>
          <w:rFonts w:hint="eastAsia" w:ascii="宋体" w:hAnsi="宋体" w:cs="宋体"/>
          <w:sz w:val="20"/>
          <w:highlight w:val="none"/>
          <w:lang w:eastAsia="zh-CN"/>
        </w:rPr>
      </w:pPr>
      <w:r>
        <w:rPr>
          <w:rFonts w:hint="eastAsia" w:ascii="宋体" w:hAnsi="宋体" w:cs="宋体"/>
          <w:sz w:val="20"/>
          <w:highlight w:val="none"/>
        </w:rPr>
        <w:t>1、服务期：</w:t>
      </w:r>
      <w:r>
        <w:rPr>
          <w:rFonts w:hint="eastAsia" w:ascii="宋体" w:hAnsi="宋体" w:cs="宋体"/>
          <w:sz w:val="20"/>
          <w:highlight w:val="none"/>
          <w:lang w:eastAsia="zh-CN"/>
        </w:rPr>
        <w:t>2025年11月20日前完成所有比赛策划服务</w:t>
      </w:r>
    </w:p>
    <w:p w14:paraId="33ED12F2">
      <w:pPr>
        <w:adjustRightInd w:val="0"/>
        <w:snapToGrid w:val="0"/>
        <w:spacing w:line="358" w:lineRule="auto"/>
        <w:ind w:firstLine="400" w:firstLineChars="200"/>
        <w:rPr>
          <w:rFonts w:hint="eastAsia" w:ascii="宋体" w:hAnsi="宋体" w:cs="宋体"/>
          <w:sz w:val="20"/>
          <w:highlight w:val="none"/>
        </w:rPr>
      </w:pPr>
      <w:r>
        <w:rPr>
          <w:rFonts w:hint="eastAsia" w:ascii="宋体" w:hAnsi="宋体" w:cs="宋体"/>
          <w:sz w:val="20"/>
          <w:highlight w:val="none"/>
        </w:rPr>
        <w:t>2、地点：</w:t>
      </w:r>
      <w:r>
        <w:rPr>
          <w:rFonts w:hint="eastAsia" w:ascii="宋体" w:hAnsi="宋体" w:cs="宋体"/>
          <w:bCs/>
          <w:sz w:val="20"/>
          <w:highlight w:val="none"/>
        </w:rPr>
        <w:t>西安市曲江新区</w:t>
      </w:r>
    </w:p>
    <w:p w14:paraId="3761D75B">
      <w:pPr>
        <w:adjustRightInd w:val="0"/>
        <w:snapToGrid w:val="0"/>
        <w:spacing w:line="358" w:lineRule="auto"/>
        <w:ind w:firstLine="400" w:firstLineChars="200"/>
        <w:rPr>
          <w:rFonts w:hint="eastAsia" w:ascii="宋体" w:hAnsi="宋体" w:cs="宋体"/>
          <w:bCs/>
          <w:sz w:val="20"/>
          <w:highlight w:val="none"/>
          <w:lang w:val="zh-CN"/>
        </w:rPr>
      </w:pPr>
      <w:r>
        <w:rPr>
          <w:rFonts w:hint="eastAsia" w:ascii="宋体" w:hAnsi="宋体" w:cs="宋体"/>
          <w:sz w:val="20"/>
          <w:highlight w:val="none"/>
        </w:rPr>
        <w:t>3、方式：</w:t>
      </w:r>
      <w:r>
        <w:rPr>
          <w:rFonts w:hint="eastAsia" w:ascii="宋体" w:hAnsi="宋体" w:cs="宋体"/>
          <w:bCs/>
          <w:sz w:val="20"/>
          <w:highlight w:val="none"/>
          <w:lang w:val="zh-CN"/>
        </w:rPr>
        <w:t>按照采购人要求</w:t>
      </w:r>
    </w:p>
    <w:p w14:paraId="279C0AAC">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五、甲方的权利和义务</w:t>
      </w:r>
    </w:p>
    <w:p w14:paraId="7779E229">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1、甲方有权督促乙方完成合同中协议的所有工作内容及其工作进度；</w:t>
      </w:r>
    </w:p>
    <w:p w14:paraId="550FC854">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2、甲方应主动提供有利于项目顺利执行实施的相关资源及便利；</w:t>
      </w:r>
    </w:p>
    <w:p w14:paraId="098E2CCE">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3、甲方有权向乙方提出整改建议和意见。</w:t>
      </w:r>
    </w:p>
    <w:p w14:paraId="7D2971D8">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4、甲方负责监督、检查乙方提供服务的工作进度、质量情况。</w:t>
      </w:r>
    </w:p>
    <w:p w14:paraId="1BCA4929">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六、乙方的权利和义务</w:t>
      </w:r>
    </w:p>
    <w:p w14:paraId="3A926AE1">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1、对本合同规定的委托范围内的项目享有管理权及服务义务。</w:t>
      </w:r>
    </w:p>
    <w:p w14:paraId="2FA891F3">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2、根据本合同的规定向甲方收取相关服务费用，并有权在本项目管理范围内管理及合理使用。</w:t>
      </w:r>
    </w:p>
    <w:p w14:paraId="217A618A">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3、及时向甲方通告本项目执行范围内有关的重大事项，及时配合处理投诉。</w:t>
      </w:r>
    </w:p>
    <w:p w14:paraId="533E1558">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4、接受项目行业管理部门及政府有关部门的指导，接受甲方的监督。</w:t>
      </w:r>
    </w:p>
    <w:p w14:paraId="41269A9B">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5、国家法律、法规所规定由乙方承担的其它责任。</w:t>
      </w:r>
    </w:p>
    <w:p w14:paraId="56D13FCE">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七、保密条款</w:t>
      </w:r>
    </w:p>
    <w:p w14:paraId="6AB23C02">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1、合同双方在订立合同过程中知悉的对方商业秘密等资料，无论合同是否成立，不得泄密或不正当使用。</w:t>
      </w:r>
    </w:p>
    <w:p w14:paraId="75299579">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2、泄密或不正当使用对方商业秘密给对方造成损失的，应该承担赔偿责任。</w:t>
      </w:r>
    </w:p>
    <w:p w14:paraId="3BD21646">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3、保密责任不因合同履行完毕而解除。未经双方同意，任何一方不得以任何形式公开本合同及附件内容，以及在合同订立、履行中知悉的对方商业秘密等资料。</w:t>
      </w:r>
    </w:p>
    <w:p w14:paraId="0EAE3F9B">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4、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0E8C73EC">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八、违约责任</w:t>
      </w:r>
    </w:p>
    <w:p w14:paraId="4FE0267C">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1、按《民法典》中的相关条款执行。</w:t>
      </w:r>
    </w:p>
    <w:p w14:paraId="7E5F6A9D">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2、乙方履约延误</w:t>
      </w:r>
    </w:p>
    <w:p w14:paraId="33840A5B">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2-1、如乙方事先未征得甲方同意并得到甲方的谅解而单方面延迟服务期限，将按违约终止合同。</w:t>
      </w:r>
    </w:p>
    <w:p w14:paraId="47DEA85B">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服务时间或对乙方加收误期赔偿金。每延误一周的赔偿费按迟交或未提供服务的服务费用的百分之零点五（0.5%）计收，直至提供服务为止。误期赔偿费的最高限额为合同价格的百分之五（5%）。一旦达到误期赔偿费的最高限额，甲方可终止合同。</w:t>
      </w:r>
    </w:p>
    <w:p w14:paraId="0FBACBEA">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3、违约终止合同：未按合同要求提供服务，甲方会同监督机构有权终止合同，对乙方违约行为进行追究，同时按政府采购法的有关规定进行相应的处罚。</w:t>
      </w:r>
    </w:p>
    <w:p w14:paraId="08403CF9">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九、不可抗力事件处理</w:t>
      </w:r>
    </w:p>
    <w:p w14:paraId="24D16BB4">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若双方任何一方由于受诸如战争、严重火灾、洪水、台风、地震等不可抗力事故的影响而不能执行合同时，履约合同的期限应予以延长，延长的期限应相当于事故所影响的时间。不可抗力事故系指在缔结合同时所不能预见的，并且它的发生及其后果是无法避免和无法克服的事故。受阻一方应在不可抗力事故发生后立即通知对方，并于事故发生后叁天内将事故发生地有关组织出具的事故证明文件用特快专递寄给对方审阅确认。因不可抗力原因导致合同履行期过长，无法满足甲方服务需求的或无法实现甲方合同目的、影响甲方正常运营，甲方有权解除合同，双方不必承担违约责任。</w:t>
      </w:r>
    </w:p>
    <w:p w14:paraId="49F0A6BC">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十、合同组成</w:t>
      </w:r>
    </w:p>
    <w:p w14:paraId="69A13974">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1、成交通知书</w:t>
      </w:r>
    </w:p>
    <w:p w14:paraId="1B4EF1E6">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2、合同文件</w:t>
      </w:r>
    </w:p>
    <w:p w14:paraId="7F05BFD7">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3、国家相关规范及标准</w:t>
      </w:r>
    </w:p>
    <w:p w14:paraId="1D677098">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4、竞争性磋商文件</w:t>
      </w:r>
    </w:p>
    <w:p w14:paraId="52B42D8A">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5、磋商响应文件</w:t>
      </w:r>
    </w:p>
    <w:p w14:paraId="4FB8BC44">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十一、解决争议的方法</w:t>
      </w:r>
    </w:p>
    <w:p w14:paraId="075ECDCB">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凡因本合同引起的或与本合同有关的争议，双方应友好协商解决。协商不成时，双方均同意采用以下第（  ）种争议解决方式：</w:t>
      </w:r>
    </w:p>
    <w:p w14:paraId="6648C70A">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（1）甲、乙双方均同意向（甲方所在地人民法院）提起诉讼。</w:t>
      </w:r>
    </w:p>
    <w:p w14:paraId="4E6FCF65">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（2）甲、乙双方均同意向（仲裁委员会）提起仲裁。</w:t>
      </w:r>
    </w:p>
    <w:p w14:paraId="0CD141B1">
      <w:pPr>
        <w:adjustRightInd w:val="0"/>
        <w:snapToGrid w:val="0"/>
        <w:spacing w:line="360" w:lineRule="auto"/>
        <w:ind w:firstLine="402" w:firstLineChars="200"/>
        <w:rPr>
          <w:rFonts w:hint="eastAsia" w:ascii="宋体" w:hAnsi="宋体" w:cs="宋体"/>
          <w:b/>
          <w:sz w:val="20"/>
          <w:highlight w:val="none"/>
        </w:rPr>
      </w:pPr>
      <w:r>
        <w:rPr>
          <w:rFonts w:hint="eastAsia" w:ascii="宋体" w:hAnsi="宋体" w:cs="宋体"/>
          <w:b/>
          <w:sz w:val="20"/>
          <w:highlight w:val="none"/>
        </w:rPr>
        <w:t>十二、合同生效及其它</w:t>
      </w:r>
    </w:p>
    <w:p w14:paraId="1110BE41">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1、合同未尽事宜、由甲、乙双方协商，作为合同补充，与原合同具有同等法律效力。</w:t>
      </w:r>
    </w:p>
    <w:p w14:paraId="44CE4C4D">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 xml:space="preserve">2、 本合同一式 </w:t>
      </w:r>
      <w:r>
        <w:rPr>
          <w:rFonts w:hint="eastAsia" w:ascii="宋体" w:hAnsi="宋体" w:cs="宋体"/>
          <w:sz w:val="20"/>
          <w:highlight w:val="none"/>
          <w:u w:val="single"/>
        </w:rPr>
        <w:t xml:space="preserve">   </w:t>
      </w:r>
      <w:r>
        <w:rPr>
          <w:rFonts w:hint="eastAsia" w:ascii="宋体" w:hAnsi="宋体" w:cs="宋体"/>
          <w:sz w:val="20"/>
          <w:highlight w:val="none"/>
        </w:rPr>
        <w:t>份，甲方、乙方双方分别执</w:t>
      </w:r>
      <w:r>
        <w:rPr>
          <w:rFonts w:hint="eastAsia" w:ascii="宋体" w:hAnsi="宋体" w:cs="宋体"/>
          <w:sz w:val="20"/>
          <w:highlight w:val="none"/>
          <w:u w:val="single"/>
        </w:rPr>
        <w:t xml:space="preserve">   </w:t>
      </w:r>
      <w:r>
        <w:rPr>
          <w:rFonts w:hint="eastAsia" w:ascii="宋体" w:hAnsi="宋体" w:cs="宋体"/>
          <w:sz w:val="20"/>
          <w:highlight w:val="none"/>
        </w:rPr>
        <w:t>份，</w:t>
      </w:r>
      <w:r>
        <w:rPr>
          <w:rFonts w:hint="eastAsia" w:ascii="宋体" w:hAnsi="宋体" w:cs="宋体"/>
          <w:sz w:val="20"/>
          <w:highlight w:val="none"/>
          <w:u w:val="single"/>
        </w:rPr>
        <w:t xml:space="preserve">    </w:t>
      </w:r>
      <w:r>
        <w:rPr>
          <w:rFonts w:hint="eastAsia" w:ascii="宋体" w:hAnsi="宋体" w:cs="宋体"/>
          <w:sz w:val="20"/>
          <w:highlight w:val="none"/>
        </w:rPr>
        <w:t>备案</w:t>
      </w:r>
      <w:r>
        <w:rPr>
          <w:rFonts w:hint="eastAsia" w:ascii="宋体" w:hAnsi="宋体" w:cs="宋体"/>
          <w:sz w:val="20"/>
          <w:highlight w:val="none"/>
          <w:u w:val="single"/>
        </w:rPr>
        <w:t xml:space="preserve">   </w:t>
      </w:r>
      <w:r>
        <w:rPr>
          <w:rFonts w:hint="eastAsia" w:ascii="宋体" w:hAnsi="宋体" w:cs="宋体"/>
          <w:sz w:val="20"/>
          <w:highlight w:val="none"/>
        </w:rPr>
        <w:t>份。</w:t>
      </w:r>
    </w:p>
    <w:p w14:paraId="51FEDB85">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3、合同经甲乙双方盖章、签字后生效，合同签订地点为</w:t>
      </w:r>
      <w:r>
        <w:rPr>
          <w:rFonts w:hint="eastAsia" w:ascii="宋体" w:hAnsi="宋体" w:cs="宋体"/>
          <w:sz w:val="20"/>
          <w:highlight w:val="none"/>
          <w:u w:val="single"/>
        </w:rPr>
        <w:t xml:space="preserve">      </w:t>
      </w:r>
      <w:r>
        <w:rPr>
          <w:rFonts w:hint="eastAsia" w:ascii="宋体" w:hAnsi="宋体" w:cs="宋体"/>
          <w:sz w:val="20"/>
          <w:highlight w:val="none"/>
        </w:rPr>
        <w:t>。</w:t>
      </w:r>
    </w:p>
    <w:p w14:paraId="3013C329">
      <w:pPr>
        <w:adjustRightInd w:val="0"/>
        <w:snapToGrid w:val="0"/>
        <w:spacing w:line="360" w:lineRule="auto"/>
        <w:ind w:firstLine="400" w:firstLineChars="200"/>
        <w:rPr>
          <w:rFonts w:hint="eastAsia" w:ascii="宋体" w:hAnsi="宋体" w:cs="宋体"/>
          <w:sz w:val="20"/>
          <w:highlight w:val="none"/>
        </w:rPr>
      </w:pPr>
      <w:r>
        <w:rPr>
          <w:rFonts w:hint="eastAsia" w:ascii="宋体" w:hAnsi="宋体" w:cs="宋体"/>
          <w:sz w:val="20"/>
          <w:highlight w:val="none"/>
        </w:rPr>
        <w:t>4、生效时间：</w:t>
      </w:r>
      <w:r>
        <w:rPr>
          <w:rFonts w:hint="eastAsia" w:ascii="宋体" w:hAnsi="宋体" w:cs="宋体"/>
          <w:sz w:val="20"/>
          <w:highlight w:val="none"/>
          <w:u w:val="single"/>
        </w:rPr>
        <w:t xml:space="preserve">   </w:t>
      </w:r>
      <w:r>
        <w:rPr>
          <w:rFonts w:hint="eastAsia" w:ascii="宋体" w:hAnsi="宋体" w:cs="宋体"/>
          <w:sz w:val="20"/>
          <w:highlight w:val="none"/>
        </w:rPr>
        <w:t>年</w:t>
      </w:r>
      <w:r>
        <w:rPr>
          <w:rFonts w:hint="eastAsia" w:ascii="宋体" w:hAnsi="宋体" w:cs="宋体"/>
          <w:sz w:val="20"/>
          <w:highlight w:val="none"/>
          <w:u w:val="single"/>
        </w:rPr>
        <w:t xml:space="preserve">  </w:t>
      </w:r>
      <w:r>
        <w:rPr>
          <w:rFonts w:hint="eastAsia" w:ascii="宋体" w:hAnsi="宋体" w:cs="宋体"/>
          <w:sz w:val="20"/>
          <w:highlight w:val="none"/>
        </w:rPr>
        <w:t>月</w:t>
      </w:r>
      <w:r>
        <w:rPr>
          <w:rFonts w:hint="eastAsia" w:ascii="宋体" w:hAnsi="宋体" w:cs="宋体"/>
          <w:sz w:val="20"/>
          <w:highlight w:val="none"/>
          <w:u w:val="single"/>
        </w:rPr>
        <w:t xml:space="preserve">  </w:t>
      </w:r>
      <w:r>
        <w:rPr>
          <w:rFonts w:hint="eastAsia" w:ascii="宋体" w:hAnsi="宋体" w:cs="宋体"/>
          <w:sz w:val="20"/>
          <w:highlight w:val="none"/>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7CDA6E8F">
        <w:tblPrEx>
          <w:tblCellMar>
            <w:top w:w="0" w:type="dxa"/>
            <w:left w:w="108" w:type="dxa"/>
            <w:bottom w:w="0" w:type="dxa"/>
            <w:right w:w="108" w:type="dxa"/>
          </w:tblCellMar>
        </w:tblPrEx>
        <w:trPr>
          <w:jc w:val="center"/>
        </w:trPr>
        <w:tc>
          <w:tcPr>
            <w:tcW w:w="4643" w:type="dxa"/>
          </w:tcPr>
          <w:p w14:paraId="4C90E0F9">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甲方名称</w:t>
            </w:r>
            <w:r>
              <w:rPr>
                <w:rFonts w:hint="eastAsia" w:ascii="宋体" w:hAnsi="宋体" w:cs="宋体"/>
                <w:spacing w:val="-20"/>
                <w:kern w:val="0"/>
                <w:sz w:val="20"/>
                <w:highlight w:val="none"/>
              </w:rPr>
              <w:t>（盖章）</w:t>
            </w:r>
            <w:r>
              <w:rPr>
                <w:rFonts w:hint="eastAsia" w:ascii="宋体" w:hAnsi="宋体" w:cs="宋体"/>
                <w:kern w:val="0"/>
                <w:sz w:val="20"/>
                <w:highlight w:val="none"/>
              </w:rPr>
              <w:t>：</w:t>
            </w:r>
          </w:p>
          <w:p w14:paraId="30DBB08D">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地址：</w:t>
            </w:r>
          </w:p>
          <w:p w14:paraId="58E9BCB0">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代表人（签字）：</w:t>
            </w:r>
          </w:p>
          <w:p w14:paraId="77996555">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电话：</w:t>
            </w:r>
          </w:p>
          <w:p w14:paraId="236D08F6">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开户银行：</w:t>
            </w:r>
          </w:p>
          <w:p w14:paraId="271CE749">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帐号：</w:t>
            </w:r>
          </w:p>
        </w:tc>
        <w:tc>
          <w:tcPr>
            <w:tcW w:w="4643" w:type="dxa"/>
          </w:tcPr>
          <w:p w14:paraId="6423E500">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乙方名称</w:t>
            </w:r>
            <w:r>
              <w:rPr>
                <w:rFonts w:hint="eastAsia" w:ascii="宋体" w:hAnsi="宋体" w:cs="宋体"/>
                <w:spacing w:val="-20"/>
                <w:kern w:val="0"/>
                <w:sz w:val="20"/>
                <w:highlight w:val="none"/>
              </w:rPr>
              <w:t>（盖章）</w:t>
            </w:r>
            <w:r>
              <w:rPr>
                <w:rFonts w:hint="eastAsia" w:ascii="宋体" w:hAnsi="宋体" w:cs="宋体"/>
                <w:kern w:val="0"/>
                <w:sz w:val="20"/>
                <w:highlight w:val="none"/>
              </w:rPr>
              <w:t>:</w:t>
            </w:r>
          </w:p>
          <w:p w14:paraId="165FD04F">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地址：</w:t>
            </w:r>
          </w:p>
          <w:p w14:paraId="27DF24D4">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代表人（签字）：</w:t>
            </w:r>
          </w:p>
          <w:p w14:paraId="4EC26370">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电话：</w:t>
            </w:r>
          </w:p>
          <w:p w14:paraId="501FFFEA">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开户银行：</w:t>
            </w:r>
          </w:p>
          <w:p w14:paraId="3F399173">
            <w:pPr>
              <w:widowControl/>
              <w:autoSpaceDE w:val="0"/>
              <w:autoSpaceDN w:val="0"/>
              <w:snapToGrid w:val="0"/>
              <w:spacing w:line="358" w:lineRule="auto"/>
              <w:ind w:right="-154"/>
              <w:textAlignment w:val="bottom"/>
              <w:rPr>
                <w:rFonts w:hint="eastAsia" w:ascii="宋体" w:hAnsi="宋体" w:cs="宋体"/>
                <w:kern w:val="0"/>
                <w:sz w:val="20"/>
                <w:highlight w:val="none"/>
              </w:rPr>
            </w:pPr>
            <w:r>
              <w:rPr>
                <w:rFonts w:hint="eastAsia" w:ascii="宋体" w:hAnsi="宋体" w:cs="宋体"/>
                <w:kern w:val="0"/>
                <w:sz w:val="20"/>
                <w:highlight w:val="none"/>
              </w:rPr>
              <w:t>帐号：</w:t>
            </w:r>
          </w:p>
        </w:tc>
      </w:tr>
    </w:tbl>
    <w:p w14:paraId="44233D20">
      <w:pPr>
        <w:rPr>
          <w:rFonts w:hint="eastAsia" w:ascii="宋体" w:hAnsi="宋体" w:cs="宋体"/>
          <w:sz w:val="20"/>
          <w:highlight w:val="none"/>
        </w:rPr>
      </w:pPr>
    </w:p>
    <w:p w14:paraId="57A4D126">
      <w:pPr>
        <w:rPr>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464456"/>
    <w:rsid w:val="3D270439"/>
    <w:rsid w:val="41366CD5"/>
    <w:rsid w:val="70EE594B"/>
    <w:rsid w:val="7D6B6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1844</Words>
  <Characters>1864</Characters>
  <Lines>0</Lines>
  <Paragraphs>0</Paragraphs>
  <TotalTime>0</TotalTime>
  <ScaleCrop>false</ScaleCrop>
  <LinksUpToDate>false</LinksUpToDate>
  <CharactersWithSpaces>1911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2025-07-08T12:41:00Z</dcterms:created>
  <dc:creator>Lenovo</dc:creator>
  <cp:lastModifiedBy>皮卡期</cp:lastModifiedBy>
  <dcterms:modified xsi:type="dcterms:W3CDTF">2025-09-26T06:17:25Z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eyJoZGlkIjoiN2UwZjY4MTE0OTM1YmRkMDFhODdjZDEyZmMzNzhlYjQiLCJ1c2VySWQiOiIzNzAzNTU5MDQifQ==</vt:lpwstr>
  </property>
  <property fmtid="{D5CDD505-2E9C-101B-9397-08002B2CF9AE}" pid="4" name="ICV">
    <vt:lpwstr>2099C1350824417DAC9D761D01611CCA_12</vt:lpwstr>
  </property>
</Properties>
</file>