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版本号：ZCZX2026-ZB-00520260121001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曲江新区城市公园运营管理服务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ZCZX2026-ZB-005</w:t>
      </w:r>
      <w:r>
        <w:br/>
      </w:r>
      <w:r>
        <w:br/>
      </w:r>
      <w:r>
        <w:br/>
      </w:r>
    </w:p>
    <w:p>
      <w:pPr>
        <w:pStyle w:val="null3"/>
        <w:jc w:val="center"/>
        <w:outlineLvl w:val="2"/>
      </w:pPr>
      <w:r>
        <w:rPr>
          <w:rFonts w:ascii="仿宋_GB2312" w:hAnsi="仿宋_GB2312" w:cs="仿宋_GB2312" w:eastAsia="仿宋_GB2312"/>
          <w:sz w:val="28"/>
          <w:b/>
        </w:rPr>
        <w:t>西安曲江新区事业资产管理中心</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西安曲江新区事业资产管理中心</w:t>
      </w:r>
      <w:r>
        <w:rPr>
          <w:rFonts w:ascii="仿宋_GB2312" w:hAnsi="仿宋_GB2312" w:cs="仿宋_GB2312" w:eastAsia="仿宋_GB2312"/>
        </w:rPr>
        <w:t>委托，拟对</w:t>
      </w:r>
      <w:r>
        <w:rPr>
          <w:rFonts w:ascii="仿宋_GB2312" w:hAnsi="仿宋_GB2312" w:cs="仿宋_GB2312" w:eastAsia="仿宋_GB2312"/>
        </w:rPr>
        <w:t>曲江新区城市公园运营管理服务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ZCZX2026-ZB-005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曲江新区城市公园运营管理服务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曲江新区城市公园运营管理服务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采购包1（保洁及公厕管理服务）：属于专门面向中小企业采购。</w:t>
      </w:r>
    </w:p>
    <w:p>
      <w:pPr>
        <w:pStyle w:val="null3"/>
      </w:pPr>
      <w:r>
        <w:rPr>
          <w:rFonts w:ascii="仿宋_GB2312" w:hAnsi="仿宋_GB2312" w:cs="仿宋_GB2312" w:eastAsia="仿宋_GB2312"/>
        </w:rPr>
        <w:t>采购包2（绿化养护服务）：属于专门面向中小企业采购。</w:t>
      </w:r>
    </w:p>
    <w:p>
      <w:pPr>
        <w:pStyle w:val="null3"/>
      </w:pPr>
      <w:r>
        <w:rPr>
          <w:rFonts w:ascii="仿宋_GB2312" w:hAnsi="仿宋_GB2312" w:cs="仿宋_GB2312" w:eastAsia="仿宋_GB2312"/>
        </w:rPr>
        <w:t>采购包3（安保、 监控及工程维护维修服务）：属于专门面向中小企业采购。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及授权代表本单位证明：投标人应授权合法的人员参加投标全过程，法定代表人（或负责人）委托代理人参加投标时，应提供法定代表人委托授权书及被授权人的参保缴费证明（须赋可查询的验证编号或验证二维码）；法定代表人（或负责人）亲自参加投标时，应提供法定代表人（或负责人）身份证，并与营业执照上信息一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书及授权代表本单位证明：投标人应授权合法的人员参加投标全过程，法定代表人（或负责人）委托代理人参加投标时，应提供法定代表人委托授权书及被授权人的参保缴费证明（须赋可查询的验证编号或验证二维码）；法定代表人（或负责人）亲自参加投标时，应提供法定代表人（或负责人）身份证，并与营业执照上信息一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授权书及授权代表本单位证明：投标人应授权合法的人员参加投标全过程，法定代表人（或负责人）委托代理人参加投标时，应提供法定代表人委托授权书及被授权人的参保缴费证明（须赋可查询的验证编号或验证二维码）；法定代表人（或负责人）亲自参加投标时，应提供法定代表人（或负责人）身份证，并与营业执照上信息一致。</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西安曲江新区事业资产管理中心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029-68660125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高蕊玲 吴芳超 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029-89565998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采购包1：1,659,850.00元</w:t>
            </w:r>
          </w:p>
          <w:p>
            <w:pPr>
              <w:pStyle w:val="null3"/>
            </w:pPr>
            <w:r>
              <w:rPr>
                <w:rFonts w:ascii="仿宋_GB2312" w:hAnsi="仿宋_GB2312" w:cs="仿宋_GB2312" w:eastAsia="仿宋_GB2312"/>
              </w:rPr>
              <w:t>采购包2：694,300.00元</w:t>
            </w:r>
          </w:p>
          <w:p>
            <w:pPr>
              <w:pStyle w:val="null3"/>
            </w:pPr>
            <w:r>
              <w:rPr>
                <w:rFonts w:ascii="仿宋_GB2312" w:hAnsi="仿宋_GB2312" w:cs="仿宋_GB2312" w:eastAsia="仿宋_GB2312"/>
              </w:rPr>
              <w:t>采购包3：2,064,350.00元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按包向中标（成交）供应商收取代理服务费。每包不足8000按8000元收取。 2、成交单位的代理服务费交纳信息 银行户名：陕西众诚致信管理咨询有限公司 开户银行：北京银行股份有限公司西安分行营业部 账 号：20000042729000032633420 联系人：范道宏 联系电话：029-89565528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西安曲江新区事业资产管理中心</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西安曲江新区事业资产管理中心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西安曲江新区事业资产管理中心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联系人：高蕊玲 吴芳超 孟凌</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曲江新区城市公园运营管理服务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1,659,850.00</w:t>
      </w:r>
    </w:p>
    <w:p>
      <w:pPr>
        <w:pStyle w:val="null3"/>
      </w:pPr>
      <w:r>
        <w:rPr>
          <w:rFonts w:ascii="仿宋_GB2312" w:hAnsi="仿宋_GB2312" w:cs="仿宋_GB2312" w:eastAsia="仿宋_GB2312"/>
        </w:rPr>
        <w:t>采购包最高限价（元）: 1,659,850.00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保洁及公厕管理服务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1,659,850.00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694,300.00</w:t>
      </w:r>
    </w:p>
    <w:p>
      <w:pPr>
        <w:pStyle w:val="null3"/>
      </w:pPr>
      <w:r>
        <w:rPr>
          <w:rFonts w:ascii="仿宋_GB2312" w:hAnsi="仿宋_GB2312" w:cs="仿宋_GB2312" w:eastAsia="仿宋_GB2312"/>
        </w:rPr>
        <w:t>采购包最高限价（元）: 694,300.00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绿化养护服务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694,300.00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2,064,350.00</w:t>
      </w:r>
    </w:p>
    <w:p>
      <w:pPr>
        <w:pStyle w:val="null3"/>
      </w:pPr>
      <w:r>
        <w:rPr>
          <w:rFonts w:ascii="仿宋_GB2312" w:hAnsi="仿宋_GB2312" w:cs="仿宋_GB2312" w:eastAsia="仿宋_GB2312"/>
        </w:rPr>
        <w:t>采购包最高限价（元）: 2,064,350.00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安保 监控及工程维护维修服务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2,064,350.00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标的名称：保洁及公厕管理服务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一、标包概况</w:t>
            </w:r>
          </w:p>
          <w:tbl>
            <w:tblPr>
              <w:tblInd w:type="dxa" w:w="135"/>
              <w:tblBorders>
                <w:top w:val="none" w:color="000000" w:sz="4"/>
                <w:left w:val="none" w:color="000000" w:sz="4"/>
                <w:bottom w:val="none" w:color="000000" w:sz="4"/>
                <w:right w:val="none" w:color="000000" w:sz="4"/>
                <w:insideH w:val="none"/>
                <w:insideV w:val="none"/>
              </w:tblBorders>
            </w:tblPr>
            <w:tblGrid>
              <w:gridCol w:w="330"/>
              <w:gridCol w:w="330"/>
              <w:gridCol w:w="233"/>
              <w:gridCol w:w="763"/>
              <w:gridCol w:w="895"/>
            </w:tblGrid>
            <w:tr>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b/>
                    </w:rPr>
                    <w:t>序号</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b/>
                    </w:rPr>
                    <w:t>区域</w:t>
                  </w:r>
                </w:p>
              </w:tc>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b/>
                    </w:rPr>
                    <w:t>人员种类需求</w:t>
                  </w:r>
                </w:p>
              </w:tc>
              <w:tc>
                <w:tcPr>
                  <w:tcW w:type="dxa" w:w="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b/>
                    </w:rPr>
                    <w:t>作业人员数量要求</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b/>
                    </w:rPr>
                    <w:t>基本情况</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rPr>
                    <w:t>1</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天坛遗址公园</w:t>
                  </w:r>
                </w:p>
              </w:tc>
              <w:tc>
                <w:tcPr>
                  <w:tcW w:type="dxa" w:w="2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保洁</w:t>
                  </w:r>
                  <w:r>
                    <w:rPr>
                      <w:rFonts w:ascii="仿宋_GB2312" w:hAnsi="仿宋_GB2312" w:cs="仿宋_GB2312" w:eastAsia="仿宋_GB2312"/>
                      <w:sz w:val="20"/>
                    </w:rPr>
                    <w:t>人员</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保洁不少于</w:t>
                  </w:r>
                  <w:r>
                    <w:rPr>
                      <w:rFonts w:ascii="仿宋_GB2312" w:hAnsi="仿宋_GB2312" w:cs="仿宋_GB2312" w:eastAsia="仿宋_GB2312"/>
                      <w:sz w:val="20"/>
                    </w:rPr>
                    <w:t>2人。</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绿化区域面积</w:t>
                  </w:r>
                  <w:r>
                    <w:rPr>
                      <w:rFonts w:ascii="仿宋_GB2312" w:hAnsi="仿宋_GB2312" w:cs="仿宋_GB2312" w:eastAsia="仿宋_GB2312"/>
                      <w:sz w:val="20"/>
                    </w:rPr>
                    <w:t>13224.70平方米，硬覆盖面积25915.30平方米，公共卫生间1座。</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rPr>
                    <w:t>2</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杜邑遗址公园</w:t>
                  </w:r>
                </w:p>
              </w:tc>
              <w:tc>
                <w:tcPr>
                  <w:tcW w:type="dxa" w:w="233"/>
                  <w:vMerge/>
                  <w:tcBorders>
                    <w:top w:val="none" w:color="000000" w:sz="4"/>
                    <w:left w:val="single" w:color="000000" w:sz="4"/>
                    <w:bottom w:val="single" w:color="000000" w:sz="4"/>
                    <w:right w:val="single" w:color="000000" w:sz="4"/>
                  </w:tcBorders>
                </w:tcP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保洁不少于</w:t>
                  </w:r>
                  <w:r>
                    <w:rPr>
                      <w:rFonts w:ascii="仿宋_GB2312" w:hAnsi="仿宋_GB2312" w:cs="仿宋_GB2312" w:eastAsia="仿宋_GB2312"/>
                      <w:sz w:val="20"/>
                    </w:rPr>
                    <w:t>27人。</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杜邑遗址公园：硬覆盖面积</w:t>
                  </w:r>
                  <w:r>
                    <w:rPr>
                      <w:rFonts w:ascii="仿宋_GB2312" w:hAnsi="仿宋_GB2312" w:cs="仿宋_GB2312" w:eastAsia="仿宋_GB2312"/>
                      <w:sz w:val="20"/>
                    </w:rPr>
                    <w:t>142647.76平方米，绿化区域面积</w:t>
                  </w:r>
                  <w:r>
                    <w:rPr>
                      <w:rFonts w:ascii="仿宋_GB2312" w:hAnsi="仿宋_GB2312" w:cs="仿宋_GB2312" w:eastAsia="仿宋_GB2312"/>
                      <w:sz w:val="20"/>
                    </w:rPr>
                    <w:t>671767.48</w:t>
                  </w:r>
                  <w:r>
                    <w:rPr>
                      <w:rFonts w:ascii="仿宋_GB2312" w:hAnsi="仿宋_GB2312" w:cs="仿宋_GB2312" w:eastAsia="仿宋_GB2312"/>
                      <w:sz w:val="20"/>
                    </w:rPr>
                    <w:t>平方米，公共卫生间</w:t>
                  </w:r>
                  <w:r>
                    <w:rPr>
                      <w:rFonts w:ascii="仿宋_GB2312" w:hAnsi="仿宋_GB2312" w:cs="仿宋_GB2312" w:eastAsia="仿宋_GB2312"/>
                      <w:sz w:val="20"/>
                    </w:rPr>
                    <w:t>11座及5个出入口。</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rPr>
                    <w:t>3</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唐城墙遗址公园一区延伸段</w:t>
                  </w:r>
                </w:p>
              </w:tc>
              <w:tc>
                <w:tcPr>
                  <w:tcW w:type="dxa" w:w="233"/>
                  <w:vMerge/>
                  <w:tcBorders>
                    <w:top w:val="none" w:color="000000" w:sz="4"/>
                    <w:left w:val="single" w:color="000000" w:sz="4"/>
                    <w:bottom w:val="single" w:color="000000" w:sz="4"/>
                    <w:right w:val="single" w:color="000000" w:sz="4"/>
                  </w:tcBorders>
                </w:tcP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保洁不少于</w:t>
                  </w:r>
                  <w:r>
                    <w:rPr>
                      <w:rFonts w:ascii="仿宋_GB2312" w:hAnsi="仿宋_GB2312" w:cs="仿宋_GB2312" w:eastAsia="仿宋_GB2312"/>
                      <w:sz w:val="20"/>
                    </w:rPr>
                    <w:t>1人。</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绿化区域面积</w:t>
                  </w:r>
                  <w:r>
                    <w:rPr>
                      <w:rFonts w:ascii="仿宋_GB2312" w:hAnsi="仿宋_GB2312" w:cs="仿宋_GB2312" w:eastAsia="仿宋_GB2312"/>
                      <w:sz w:val="20"/>
                    </w:rPr>
                    <w:t>13766平方米，硬覆盖面积6234平方米。</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rPr>
                    <w:t>4</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唐城墙遗址公园九区</w:t>
                  </w:r>
                </w:p>
              </w:tc>
              <w:tc>
                <w:tcPr>
                  <w:tcW w:type="dxa" w:w="233"/>
                  <w:vMerge/>
                  <w:tcBorders>
                    <w:top w:val="none" w:color="000000" w:sz="4"/>
                    <w:left w:val="single" w:color="000000" w:sz="4"/>
                    <w:bottom w:val="single" w:color="000000" w:sz="4"/>
                    <w:right w:val="single" w:color="000000" w:sz="4"/>
                  </w:tcBorders>
                </w:tcP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保洁不少于</w:t>
                  </w:r>
                  <w:r>
                    <w:rPr>
                      <w:rFonts w:ascii="仿宋_GB2312" w:hAnsi="仿宋_GB2312" w:cs="仿宋_GB2312" w:eastAsia="仿宋_GB2312"/>
                      <w:sz w:val="20"/>
                    </w:rPr>
                    <w:t>4人。</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绿化区域面积</w:t>
                  </w:r>
                  <w:r>
                    <w:rPr>
                      <w:rFonts w:ascii="仿宋_GB2312" w:hAnsi="仿宋_GB2312" w:cs="仿宋_GB2312" w:eastAsia="仿宋_GB2312"/>
                      <w:sz w:val="20"/>
                    </w:rPr>
                    <w:t>19000.00 平方米，硬覆盖面积53000.00平方米，公共卫生间2座。</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rPr>
                    <w:t>5</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唐城墙遗址公园十区</w:t>
                  </w:r>
                </w:p>
              </w:tc>
              <w:tc>
                <w:tcPr>
                  <w:tcW w:type="dxa" w:w="233"/>
                  <w:vMerge/>
                  <w:tcBorders>
                    <w:top w:val="none" w:color="000000" w:sz="4"/>
                    <w:left w:val="single" w:color="000000" w:sz="4"/>
                    <w:bottom w:val="single" w:color="000000" w:sz="4"/>
                    <w:right w:val="single" w:color="000000" w:sz="4"/>
                  </w:tcBorders>
                </w:tcP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保洁不少于</w:t>
                  </w:r>
                  <w:r>
                    <w:rPr>
                      <w:rFonts w:ascii="仿宋_GB2312" w:hAnsi="仿宋_GB2312" w:cs="仿宋_GB2312" w:eastAsia="仿宋_GB2312"/>
                      <w:sz w:val="20"/>
                    </w:rPr>
                    <w:t>1人。</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绿化区域面积</w:t>
                  </w:r>
                  <w:r>
                    <w:rPr>
                      <w:rFonts w:ascii="仿宋_GB2312" w:hAnsi="仿宋_GB2312" w:cs="仿宋_GB2312" w:eastAsia="仿宋_GB2312"/>
                      <w:sz w:val="20"/>
                    </w:rPr>
                    <w:t>11136.90 平方米，硬覆盖面积5048.99平方米。</w:t>
                  </w:r>
                </w:p>
              </w:tc>
            </w:tr>
          </w:tbl>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人员</w:t>
            </w:r>
            <w:r>
              <w:rPr>
                <w:rFonts w:ascii="仿宋_GB2312" w:hAnsi="仿宋_GB2312" w:cs="仿宋_GB2312" w:eastAsia="仿宋_GB2312"/>
                <w:sz w:val="20"/>
                <w:b/>
              </w:rPr>
              <w:t>具体</w:t>
            </w:r>
            <w:r>
              <w:rPr>
                <w:rFonts w:ascii="仿宋_GB2312" w:hAnsi="仿宋_GB2312" w:cs="仿宋_GB2312" w:eastAsia="仿宋_GB2312"/>
                <w:sz w:val="20"/>
                <w:b/>
              </w:rPr>
              <w:t>要求</w:t>
            </w:r>
          </w:p>
          <w:p>
            <w:pPr>
              <w:pStyle w:val="null3"/>
              <w:ind w:firstLine="400"/>
              <w:jc w:val="both"/>
            </w:pPr>
            <w:r>
              <w:rPr>
                <w:rFonts w:ascii="仿宋_GB2312" w:hAnsi="仿宋_GB2312" w:cs="仿宋_GB2312" w:eastAsia="仿宋_GB2312"/>
                <w:sz w:val="20"/>
              </w:rPr>
              <w:t>1、管理人员</w:t>
            </w:r>
          </w:p>
          <w:p>
            <w:pPr>
              <w:pStyle w:val="null3"/>
              <w:ind w:firstLine="400"/>
              <w:jc w:val="both"/>
            </w:pPr>
            <w:r>
              <w:rPr>
                <w:rFonts w:ascii="仿宋_GB2312" w:hAnsi="仿宋_GB2312" w:cs="仿宋_GB2312" w:eastAsia="仿宋_GB2312"/>
                <w:sz w:val="20"/>
              </w:rPr>
              <w:t>1-1、分管领导：具有相关行业工作经验；熟悉行业动态及运营发展趋势，优秀的统筹、分析、综合、归纳能力，具备良好的人际交往能力、组织协调能力、沟通能力以及解决复杂问题的能力。</w:t>
            </w:r>
          </w:p>
          <w:p>
            <w:pPr>
              <w:pStyle w:val="null3"/>
              <w:ind w:firstLine="400"/>
              <w:jc w:val="both"/>
            </w:pPr>
            <w:r>
              <w:rPr>
                <w:rFonts w:ascii="仿宋_GB2312" w:hAnsi="仿宋_GB2312" w:cs="仿宋_GB2312" w:eastAsia="仿宋_GB2312"/>
                <w:sz w:val="20"/>
              </w:rPr>
              <w:t>1-2、项目经理：具有相关行业工作经验；具备与岗位所需的相关专业知识，较强的判断与决策能力、沟通能力、计划与执行能力，工作中善于创新，能承受较大工作压力，责任心强。</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、保洁主管：具有相关行业工作经验、有较强的管理能力。</w:t>
            </w:r>
          </w:p>
          <w:p>
            <w:pPr>
              <w:pStyle w:val="null3"/>
              <w:ind w:firstLine="400"/>
              <w:jc w:val="both"/>
            </w:pPr>
            <w:r>
              <w:rPr>
                <w:rFonts w:ascii="仿宋_GB2312" w:hAnsi="仿宋_GB2312" w:cs="仿宋_GB2312" w:eastAsia="仿宋_GB2312"/>
                <w:sz w:val="20"/>
              </w:rPr>
              <w:t>2、保洁</w:t>
            </w:r>
          </w:p>
          <w:p>
            <w:pPr>
              <w:pStyle w:val="null3"/>
              <w:ind w:firstLine="400"/>
              <w:jc w:val="both"/>
            </w:pPr>
            <w:r>
              <w:rPr>
                <w:rFonts w:ascii="仿宋_GB2312" w:hAnsi="仿宋_GB2312" w:cs="仿宋_GB2312" w:eastAsia="仿宋_GB2312"/>
                <w:sz w:val="20"/>
              </w:rPr>
              <w:t>2-1、保洁员年龄女性不超过55岁，男性不超过60岁，早晚班双班单休制。</w:t>
            </w:r>
          </w:p>
          <w:p>
            <w:pPr>
              <w:pStyle w:val="null3"/>
              <w:ind w:firstLine="400"/>
              <w:jc w:val="both"/>
            </w:pPr>
            <w:r>
              <w:rPr>
                <w:rFonts w:ascii="仿宋_GB2312" w:hAnsi="仿宋_GB2312" w:cs="仿宋_GB2312" w:eastAsia="仿宋_GB2312"/>
                <w:sz w:val="20"/>
              </w:rPr>
              <w:t>2-2、标准</w:t>
            </w:r>
          </w:p>
          <w:p>
            <w:pPr>
              <w:pStyle w:val="null3"/>
              <w:ind w:firstLine="400"/>
              <w:jc w:val="both"/>
            </w:pPr>
            <w:r>
              <w:rPr>
                <w:rFonts w:ascii="仿宋_GB2312" w:hAnsi="仿宋_GB2312" w:cs="仿宋_GB2312" w:eastAsia="仿宋_GB2312"/>
                <w:sz w:val="20"/>
              </w:rPr>
              <w:t>2-2-1、每日08:00前完成普扫，保洁作业时间为07:00-24：00。</w:t>
            </w:r>
          </w:p>
          <w:p>
            <w:pPr>
              <w:pStyle w:val="null3"/>
              <w:ind w:firstLine="400"/>
              <w:jc w:val="both"/>
            </w:pPr>
            <w:r>
              <w:rPr>
                <w:rFonts w:ascii="仿宋_GB2312" w:hAnsi="仿宋_GB2312" w:cs="仿宋_GB2312" w:eastAsia="仿宋_GB2312"/>
                <w:sz w:val="20"/>
              </w:rPr>
              <w:t>2-2-2、保洁人员上岗必须穿着统一工装、佩戴工牌。</w:t>
            </w:r>
          </w:p>
          <w:p>
            <w:pPr>
              <w:pStyle w:val="null3"/>
              <w:ind w:firstLine="400"/>
              <w:jc w:val="both"/>
            </w:pPr>
            <w:r>
              <w:rPr>
                <w:rFonts w:ascii="仿宋_GB2312" w:hAnsi="仿宋_GB2312" w:cs="仿宋_GB2312" w:eastAsia="仿宋_GB2312"/>
                <w:sz w:val="20"/>
              </w:rPr>
              <w:t>2-2-3、保洁人员发型、衣着必须干净整齐。</w:t>
            </w:r>
          </w:p>
          <w:p>
            <w:pPr>
              <w:pStyle w:val="null3"/>
              <w:ind w:firstLine="400"/>
              <w:jc w:val="both"/>
            </w:pPr>
            <w:r>
              <w:rPr>
                <w:rFonts w:ascii="仿宋_GB2312" w:hAnsi="仿宋_GB2312" w:cs="仿宋_GB2312" w:eastAsia="仿宋_GB2312"/>
                <w:sz w:val="20"/>
              </w:rPr>
              <w:t>2-2-4、保洁人员的聘用须符合国家的用工标准和甲方的要求。</w:t>
            </w:r>
          </w:p>
          <w:p>
            <w:pPr>
              <w:pStyle w:val="null3"/>
              <w:ind w:firstLine="400"/>
              <w:jc w:val="both"/>
            </w:pPr>
            <w:r>
              <w:rPr>
                <w:rFonts w:ascii="仿宋_GB2312" w:hAnsi="仿宋_GB2312" w:cs="仿宋_GB2312" w:eastAsia="仿宋_GB2312"/>
                <w:sz w:val="20"/>
              </w:rPr>
              <w:t>2-2-5、保洁人员上岗前须经过相关的专业操作技能培训。</w:t>
            </w:r>
          </w:p>
          <w:p>
            <w:pPr>
              <w:pStyle w:val="null3"/>
              <w:ind w:firstLine="400"/>
              <w:jc w:val="both"/>
            </w:pPr>
            <w:r>
              <w:rPr>
                <w:rFonts w:ascii="仿宋_GB2312" w:hAnsi="仿宋_GB2312" w:cs="仿宋_GB2312" w:eastAsia="仿宋_GB2312"/>
                <w:sz w:val="20"/>
              </w:rPr>
              <w:t>3、环境卫生管理</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、工作标准</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区域保洁：硬化场地（道路、广场）每日普扫</w:t>
            </w:r>
            <w:r>
              <w:rPr>
                <w:rFonts w:ascii="仿宋_GB2312" w:hAnsi="仿宋_GB2312" w:cs="仿宋_GB2312" w:eastAsia="仿宋_GB2312"/>
                <w:sz w:val="20"/>
              </w:rPr>
              <w:t>2次，巡回保洁不间断，垃圾清理滞留时间不超过20分钟，每百米漏洗漏扫长度不超过50米；绿地需随时捡拾垃圾，严禁将绿化垃圾扫入路面；无运营商管理的湖面，每日开展漂浮物打捞作业，确保水面无聚集性垃圾。</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设施维护：果皮箱、休闲座椅每日擦拭</w:t>
            </w:r>
            <w:r>
              <w:rPr>
                <w:rFonts w:ascii="仿宋_GB2312" w:hAnsi="仿宋_GB2312" w:cs="仿宋_GB2312" w:eastAsia="仿宋_GB2312"/>
                <w:sz w:val="20"/>
              </w:rPr>
              <w:t>≥4次，标识标牌每日擦拭≥2次；果皮箱垃圾不超过容积2/3，内套环保袋，清掏后扎袋清运并重新套袋，箱体及地面保洁。</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1-3、</w:t>
            </w:r>
            <w:r>
              <w:rPr>
                <w:rFonts w:ascii="仿宋_GB2312" w:hAnsi="仿宋_GB2312" w:cs="仿宋_GB2312" w:eastAsia="仿宋_GB2312"/>
                <w:sz w:val="20"/>
              </w:rPr>
              <w:t>特殊时段：落叶季＞</w:t>
            </w:r>
            <w:r>
              <w:rPr>
                <w:rFonts w:ascii="仿宋_GB2312" w:hAnsi="仿宋_GB2312" w:cs="仿宋_GB2312" w:eastAsia="仿宋_GB2312"/>
                <w:sz w:val="20"/>
              </w:rPr>
              <w:t>50㎡落叶1小时内清扫完毕；冬季普扫7点前结束（其他季节6:30前），普扫垃圾9点前清运；降雪季优先打通游客通道，小雪1日内清运积雪，中雪2日内，大雪3-4日内，融雪剂积雪不扫入绿地。</w:t>
            </w:r>
          </w:p>
          <w:p>
            <w:pPr>
              <w:pStyle w:val="null3"/>
              <w:ind w:firstLine="400"/>
              <w:jc w:val="both"/>
            </w:pPr>
            <w:r>
              <w:rPr>
                <w:rFonts w:ascii="仿宋_GB2312" w:hAnsi="仿宋_GB2312" w:cs="仿宋_GB2312" w:eastAsia="仿宋_GB2312"/>
                <w:sz w:val="20"/>
              </w:rPr>
              <w:t>3-2、</w:t>
            </w:r>
            <w:r>
              <w:rPr>
                <w:rFonts w:ascii="仿宋_GB2312" w:hAnsi="仿宋_GB2312" w:cs="仿宋_GB2312" w:eastAsia="仿宋_GB2312"/>
                <w:sz w:val="20"/>
              </w:rPr>
              <w:t>工作要求</w:t>
            </w:r>
          </w:p>
          <w:p>
            <w:pPr>
              <w:pStyle w:val="null3"/>
              <w:ind w:firstLine="400"/>
              <w:jc w:val="both"/>
            </w:pPr>
            <w:r>
              <w:rPr>
                <w:rFonts w:ascii="仿宋_GB2312" w:hAnsi="仿宋_GB2312" w:cs="仿宋_GB2312" w:eastAsia="仿宋_GB2312"/>
                <w:sz w:val="20"/>
              </w:rPr>
              <w:t>3-2-1、</w:t>
            </w:r>
            <w:r>
              <w:rPr>
                <w:rFonts w:ascii="仿宋_GB2312" w:hAnsi="仿宋_GB2312" w:cs="仿宋_GB2312" w:eastAsia="仿宋_GB2312"/>
                <w:sz w:val="20"/>
              </w:rPr>
              <w:t>环卫设施完好洁净无异味，园区无乱贴乱画、擅自占用及杂物堆放，公共设施保持洁净。</w:t>
            </w:r>
          </w:p>
          <w:p>
            <w:pPr>
              <w:pStyle w:val="null3"/>
              <w:ind w:firstLine="400"/>
              <w:jc w:val="both"/>
            </w:pPr>
            <w:r>
              <w:rPr>
                <w:rFonts w:ascii="仿宋_GB2312" w:hAnsi="仿宋_GB2312" w:cs="仿宋_GB2312" w:eastAsia="仿宋_GB2312"/>
                <w:sz w:val="20"/>
              </w:rPr>
              <w:t>3-2-2、</w:t>
            </w:r>
            <w:r>
              <w:rPr>
                <w:rFonts w:ascii="仿宋_GB2312" w:hAnsi="仿宋_GB2312" w:cs="仿宋_GB2312" w:eastAsia="仿宋_GB2312"/>
                <w:sz w:val="20"/>
              </w:rPr>
              <w:t>保洁用房、休息室不改变使用性质，室内配应急灭火设备，严禁私拉电源和使用大功率电器，内部整洁无杂乱，不存放无关物品。</w:t>
            </w:r>
          </w:p>
          <w:p>
            <w:pPr>
              <w:pStyle w:val="null3"/>
              <w:ind w:firstLine="400"/>
              <w:jc w:val="both"/>
            </w:pPr>
            <w:r>
              <w:rPr>
                <w:rFonts w:ascii="仿宋_GB2312" w:hAnsi="仿宋_GB2312" w:cs="仿宋_GB2312" w:eastAsia="仿宋_GB2312"/>
                <w:sz w:val="20"/>
              </w:rPr>
              <w:t>3-2-3、</w:t>
            </w:r>
            <w:r>
              <w:rPr>
                <w:rFonts w:ascii="仿宋_GB2312" w:hAnsi="仿宋_GB2312" w:cs="仿宋_GB2312" w:eastAsia="仿宋_GB2312"/>
                <w:sz w:val="20"/>
              </w:rPr>
              <w:t>垃圾清运车箱体密闭、表面清洁，无沿途抛洒、夹带、滴漏；园区出入口等密集区域，雨天积水影响通行或面积＞</w:t>
            </w:r>
            <w:r>
              <w:rPr>
                <w:rFonts w:ascii="仿宋_GB2312" w:hAnsi="仿宋_GB2312" w:cs="仿宋_GB2312" w:eastAsia="仿宋_GB2312"/>
                <w:sz w:val="20"/>
              </w:rPr>
              <w:t>5㎡时，1小时内清理完毕。</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公厕维护管理</w:t>
            </w:r>
          </w:p>
          <w:p>
            <w:pPr>
              <w:pStyle w:val="null3"/>
              <w:ind w:firstLine="400"/>
              <w:jc w:val="both"/>
            </w:pPr>
            <w:r>
              <w:rPr>
                <w:rFonts w:ascii="仿宋_GB2312" w:hAnsi="仿宋_GB2312" w:cs="仿宋_GB2312" w:eastAsia="仿宋_GB2312"/>
                <w:sz w:val="20"/>
              </w:rPr>
              <w:t>4-1、</w:t>
            </w:r>
            <w:r>
              <w:rPr>
                <w:rFonts w:ascii="仿宋_GB2312" w:hAnsi="仿宋_GB2312" w:cs="仿宋_GB2312" w:eastAsia="仿宋_GB2312"/>
                <w:sz w:val="20"/>
              </w:rPr>
              <w:t>工作标准</w:t>
            </w:r>
          </w:p>
          <w:p>
            <w:pPr>
              <w:pStyle w:val="null3"/>
              <w:ind w:firstLine="400"/>
              <w:jc w:val="both"/>
            </w:pPr>
            <w:r>
              <w:rPr>
                <w:rFonts w:ascii="仿宋_GB2312" w:hAnsi="仿宋_GB2312" w:cs="仿宋_GB2312" w:eastAsia="仿宋_GB2312"/>
                <w:sz w:val="20"/>
              </w:rPr>
              <w:t>4-1-1、</w:t>
            </w:r>
            <w:r>
              <w:rPr>
                <w:rFonts w:ascii="仿宋_GB2312" w:hAnsi="仿宋_GB2312" w:cs="仿宋_GB2312" w:eastAsia="仿宋_GB2312"/>
                <w:sz w:val="20"/>
              </w:rPr>
              <w:t>保洁频次：一类公厕（月均人流</w:t>
            </w:r>
            <w:r>
              <w:rPr>
                <w:rFonts w:ascii="仿宋_GB2312" w:hAnsi="仿宋_GB2312" w:cs="仿宋_GB2312" w:eastAsia="仿宋_GB2312"/>
                <w:sz w:val="20"/>
              </w:rPr>
              <w:t>≥2万）每30分钟巡回保洁1次，每日消毒≥3次；二类公厕（月均人流≈9千）每60-90分钟巡回保洁1次，每日消毒≥2次；两类公厕每日开放前、关闭后各全面清洁1次。</w:t>
            </w:r>
          </w:p>
          <w:p>
            <w:pPr>
              <w:pStyle w:val="null3"/>
              <w:ind w:firstLine="400"/>
              <w:jc w:val="both"/>
            </w:pPr>
            <w:r>
              <w:rPr>
                <w:rFonts w:ascii="仿宋_GB2312" w:hAnsi="仿宋_GB2312" w:cs="仿宋_GB2312" w:eastAsia="仿宋_GB2312"/>
                <w:sz w:val="20"/>
              </w:rPr>
              <w:t>4-1-2、</w:t>
            </w:r>
            <w:r>
              <w:rPr>
                <w:rFonts w:ascii="仿宋_GB2312" w:hAnsi="仿宋_GB2312" w:cs="仿宋_GB2312" w:eastAsia="仿宋_GB2312"/>
                <w:sz w:val="20"/>
              </w:rPr>
              <w:t>细节管理：纸篓垃圾一类随满随清、二类不超过</w:t>
            </w:r>
            <w:r>
              <w:rPr>
                <w:rFonts w:ascii="仿宋_GB2312" w:hAnsi="仿宋_GB2312" w:cs="仿宋_GB2312" w:eastAsia="仿宋_GB2312"/>
                <w:sz w:val="20"/>
              </w:rPr>
              <w:t>1/2；手纸、洗手液一类实时补充，二类缺货≤1小时；每日检查设施完好情况，每年清掏化粪池≥2次。</w:t>
            </w:r>
          </w:p>
          <w:p>
            <w:pPr>
              <w:pStyle w:val="null3"/>
              <w:ind w:firstLine="400"/>
              <w:jc w:val="both"/>
            </w:pPr>
            <w:r>
              <w:rPr>
                <w:rFonts w:ascii="仿宋_GB2312" w:hAnsi="仿宋_GB2312" w:cs="仿宋_GB2312" w:eastAsia="仿宋_GB2312"/>
                <w:sz w:val="20"/>
              </w:rPr>
              <w:t>4-2、</w:t>
            </w:r>
            <w:r>
              <w:rPr>
                <w:rFonts w:ascii="仿宋_GB2312" w:hAnsi="仿宋_GB2312" w:cs="仿宋_GB2312" w:eastAsia="仿宋_GB2312"/>
                <w:sz w:val="20"/>
              </w:rPr>
              <w:t>工作要求</w:t>
            </w:r>
          </w:p>
          <w:p>
            <w:pPr>
              <w:pStyle w:val="null3"/>
              <w:ind w:firstLine="400"/>
              <w:jc w:val="both"/>
            </w:pPr>
            <w:r>
              <w:rPr>
                <w:rFonts w:ascii="仿宋_GB2312" w:hAnsi="仿宋_GB2312" w:cs="仿宋_GB2312" w:eastAsia="仿宋_GB2312"/>
                <w:sz w:val="20"/>
              </w:rPr>
              <w:t>4-2-1、</w:t>
            </w:r>
            <w:r>
              <w:rPr>
                <w:rFonts w:ascii="仿宋_GB2312" w:hAnsi="仿宋_GB2312" w:cs="仿宋_GB2312" w:eastAsia="仿宋_GB2312"/>
                <w:sz w:val="20"/>
              </w:rPr>
              <w:t>公厕内无异味，地面、台面无积水杂物，镜面无水渍灰尘，墙面、门窗无涂鸦、蜘蛛网；公示责任人姓名及联系电话，管理人员着装规范，工具摆放整齐。</w:t>
            </w:r>
          </w:p>
          <w:p>
            <w:pPr>
              <w:pStyle w:val="null3"/>
              <w:ind w:firstLine="400"/>
              <w:jc w:val="both"/>
            </w:pPr>
            <w:r>
              <w:rPr>
                <w:rFonts w:ascii="仿宋_GB2312" w:hAnsi="仿宋_GB2312" w:cs="仿宋_GB2312" w:eastAsia="仿宋_GB2312"/>
                <w:sz w:val="20"/>
              </w:rPr>
              <w:t>4-2-2、</w:t>
            </w:r>
            <w:r>
              <w:rPr>
                <w:rFonts w:ascii="仿宋_GB2312" w:hAnsi="仿宋_GB2312" w:cs="仿宋_GB2312" w:eastAsia="仿宋_GB2312"/>
                <w:sz w:val="20"/>
              </w:rPr>
              <w:t>水龙头、冲水装置、照明灯、门锁等设施完好可用；地面设置防滑提示，无安全隐患，问题及时上报；保持空气流通，确保整体环境整洁卫生。</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、本次招标范围费用包含：</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-1、硬覆盖（水域）保洁费： 保洁仅包含公园中的广场道路、甬路、建筑物（卫生间除外）、硬覆盖（水域）的保洁费用，包括保洁措施、清雪、消杀和垃圾清运四个部分。</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、卫生间保洁费：包括卫生间的清扫保洁消毒，卫生间设备设施的保养，化粪池的清理等。</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、总价措施费、企业管理费、利润、规费、税费。</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、其他要求</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-1、投标人需在大型节日、活动期间提供氛围营造服务等，按采购人要求增加临时保洁服务人员，增加的各类费用经采购人审核后，根据实际发生费用据实结算。</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-2、大体量立面保洁费用经采购人审核后，根据实际发生费用据实结算。</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标的名称：绿化养护服务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一、标包概况</w:t>
            </w:r>
          </w:p>
          <w:tbl>
            <w:tblPr>
              <w:tblInd w:type="dxa" w:w="135"/>
              <w:tblBorders>
                <w:top w:val="none" w:color="000000" w:sz="4"/>
                <w:left w:val="none" w:color="000000" w:sz="4"/>
                <w:bottom w:val="none" w:color="000000" w:sz="4"/>
                <w:right w:val="none" w:color="000000" w:sz="4"/>
                <w:insideH w:val="none"/>
                <w:insideV w:val="none"/>
              </w:tblBorders>
            </w:tblPr>
            <w:tblGrid>
              <w:gridCol w:w="330"/>
              <w:gridCol w:w="330"/>
              <w:gridCol w:w="360"/>
              <w:gridCol w:w="565"/>
              <w:gridCol w:w="967"/>
            </w:tblGrid>
            <w:tr>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b/>
                    </w:rPr>
                    <w:t>序号</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b/>
                    </w:rPr>
                    <w:t>区域</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b/>
                    </w:rPr>
                    <w:t>人员种类需求</w:t>
                  </w:r>
                </w:p>
              </w:tc>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b/>
                    </w:rPr>
                    <w:t>作业人员数量要求</w:t>
                  </w:r>
                </w:p>
              </w:tc>
              <w:tc>
                <w:tcPr>
                  <w:tcW w:type="dxa" w:w="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b/>
                    </w:rPr>
                    <w:t>基本情况</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rPr>
                    <w:t>1</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天坛遗址公园</w:t>
                  </w:r>
                </w:p>
              </w:tc>
              <w:tc>
                <w:tcPr>
                  <w:tcW w:type="dxa" w:w="3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绿化</w:t>
                  </w:r>
                  <w:r>
                    <w:rPr>
                      <w:rFonts w:ascii="仿宋_GB2312" w:hAnsi="仿宋_GB2312" w:cs="仿宋_GB2312" w:eastAsia="仿宋_GB2312"/>
                      <w:sz w:val="20"/>
                    </w:rPr>
                    <w:t>人员</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绿化不少于</w:t>
                  </w:r>
                  <w:r>
                    <w:rPr>
                      <w:rFonts w:ascii="仿宋_GB2312" w:hAnsi="仿宋_GB2312" w:cs="仿宋_GB2312" w:eastAsia="仿宋_GB2312"/>
                      <w:sz w:val="20"/>
                    </w:rPr>
                    <w:t>2人。</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绿化区域面积</w:t>
                  </w:r>
                  <w:r>
                    <w:rPr>
                      <w:rFonts w:ascii="仿宋_GB2312" w:hAnsi="仿宋_GB2312" w:cs="仿宋_GB2312" w:eastAsia="仿宋_GB2312"/>
                      <w:sz w:val="20"/>
                    </w:rPr>
                    <w:t>13224.70平方米，硬覆盖面积25915.30平方米，公共卫生间1座。</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rPr>
                    <w:t>2</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杜邑遗址公园</w:t>
                  </w:r>
                </w:p>
              </w:tc>
              <w:tc>
                <w:tcPr>
                  <w:tcW w:type="dxa" w:w="360"/>
                  <w:vMerge/>
                  <w:tcBorders>
                    <w:top w:val="none" w:color="000000" w:sz="4"/>
                    <w:left w:val="single" w:color="000000" w:sz="4"/>
                    <w:bottom w:val="single" w:color="000000" w:sz="4"/>
                    <w:right w:val="single" w:color="000000" w:sz="4"/>
                  </w:tcBorders>
                </w:tcP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绿化不少于</w:t>
                  </w:r>
                  <w:r>
                    <w:rPr>
                      <w:rFonts w:ascii="仿宋_GB2312" w:hAnsi="仿宋_GB2312" w:cs="仿宋_GB2312" w:eastAsia="仿宋_GB2312"/>
                      <w:sz w:val="20"/>
                    </w:rPr>
                    <w:t>15人。</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杜邑遗址公园：硬覆盖面积</w:t>
                  </w:r>
                  <w:r>
                    <w:rPr>
                      <w:rFonts w:ascii="仿宋_GB2312" w:hAnsi="仿宋_GB2312" w:cs="仿宋_GB2312" w:eastAsia="仿宋_GB2312"/>
                      <w:sz w:val="20"/>
                    </w:rPr>
                    <w:t>142647.76平方米，绿化区域面积</w:t>
                  </w:r>
                  <w:r>
                    <w:rPr>
                      <w:rFonts w:ascii="仿宋_GB2312" w:hAnsi="仿宋_GB2312" w:cs="仿宋_GB2312" w:eastAsia="仿宋_GB2312"/>
                      <w:sz w:val="20"/>
                    </w:rPr>
                    <w:t>671767.48</w:t>
                  </w:r>
                  <w:r>
                    <w:rPr>
                      <w:rFonts w:ascii="仿宋_GB2312" w:hAnsi="仿宋_GB2312" w:cs="仿宋_GB2312" w:eastAsia="仿宋_GB2312"/>
                      <w:sz w:val="20"/>
                    </w:rPr>
                    <w:t>平方米，公共卫生间</w:t>
                  </w:r>
                  <w:r>
                    <w:rPr>
                      <w:rFonts w:ascii="仿宋_GB2312" w:hAnsi="仿宋_GB2312" w:cs="仿宋_GB2312" w:eastAsia="仿宋_GB2312"/>
                      <w:sz w:val="20"/>
                    </w:rPr>
                    <w:t>11座及5个出入口。</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rPr>
                    <w:t>3</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唐城墙遗址公园一区延伸段</w:t>
                  </w:r>
                </w:p>
              </w:tc>
              <w:tc>
                <w:tcPr>
                  <w:tcW w:type="dxa" w:w="360"/>
                  <w:vMerge/>
                  <w:tcBorders>
                    <w:top w:val="none" w:color="000000" w:sz="4"/>
                    <w:left w:val="single" w:color="000000" w:sz="4"/>
                    <w:bottom w:val="single" w:color="000000" w:sz="4"/>
                    <w:right w:val="single" w:color="000000" w:sz="4"/>
                  </w:tcBorders>
                </w:tcP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绿化不少于</w:t>
                  </w:r>
                  <w:r>
                    <w:rPr>
                      <w:rFonts w:ascii="仿宋_GB2312" w:hAnsi="仿宋_GB2312" w:cs="仿宋_GB2312" w:eastAsia="仿宋_GB2312"/>
                      <w:sz w:val="20"/>
                    </w:rPr>
                    <w:t>1人。</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绿化区域面积</w:t>
                  </w:r>
                  <w:r>
                    <w:rPr>
                      <w:rFonts w:ascii="仿宋_GB2312" w:hAnsi="仿宋_GB2312" w:cs="仿宋_GB2312" w:eastAsia="仿宋_GB2312"/>
                      <w:sz w:val="20"/>
                    </w:rPr>
                    <w:t>13766平方米，硬覆盖面积6234平方米。</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rPr>
                    <w:t>4</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唐城墙遗址公园九区</w:t>
                  </w:r>
                </w:p>
              </w:tc>
              <w:tc>
                <w:tcPr>
                  <w:tcW w:type="dxa" w:w="360"/>
                  <w:vMerge/>
                  <w:tcBorders>
                    <w:top w:val="none" w:color="000000" w:sz="4"/>
                    <w:left w:val="single" w:color="000000" w:sz="4"/>
                    <w:bottom w:val="single" w:color="000000" w:sz="4"/>
                    <w:right w:val="single" w:color="000000" w:sz="4"/>
                  </w:tcBorders>
                </w:tcP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绿化不少于</w:t>
                  </w:r>
                  <w:r>
                    <w:rPr>
                      <w:rFonts w:ascii="仿宋_GB2312" w:hAnsi="仿宋_GB2312" w:cs="仿宋_GB2312" w:eastAsia="仿宋_GB2312"/>
                      <w:sz w:val="20"/>
                    </w:rPr>
                    <w:t>4人。</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绿化区域面积</w:t>
                  </w:r>
                  <w:r>
                    <w:rPr>
                      <w:rFonts w:ascii="仿宋_GB2312" w:hAnsi="仿宋_GB2312" w:cs="仿宋_GB2312" w:eastAsia="仿宋_GB2312"/>
                      <w:sz w:val="20"/>
                    </w:rPr>
                    <w:t>19000.00 平方米，硬覆盖面积53000.00平方米，公共卫生间2座。</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rPr>
                    <w:t>5</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唐城墙遗址公园十区</w:t>
                  </w:r>
                </w:p>
              </w:tc>
              <w:tc>
                <w:tcPr>
                  <w:tcW w:type="dxa" w:w="360"/>
                  <w:vMerge/>
                  <w:tcBorders>
                    <w:top w:val="none" w:color="000000" w:sz="4"/>
                    <w:left w:val="single" w:color="000000" w:sz="4"/>
                    <w:bottom w:val="single" w:color="000000" w:sz="4"/>
                    <w:right w:val="single" w:color="000000" w:sz="4"/>
                  </w:tcBorders>
                </w:tcP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绿化不少于</w:t>
                  </w:r>
                  <w:r>
                    <w:rPr>
                      <w:rFonts w:ascii="仿宋_GB2312" w:hAnsi="仿宋_GB2312" w:cs="仿宋_GB2312" w:eastAsia="仿宋_GB2312"/>
                      <w:sz w:val="20"/>
                    </w:rPr>
                    <w:t>1人。</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绿化区域面积</w:t>
                  </w:r>
                  <w:r>
                    <w:rPr>
                      <w:rFonts w:ascii="仿宋_GB2312" w:hAnsi="仿宋_GB2312" w:cs="仿宋_GB2312" w:eastAsia="仿宋_GB2312"/>
                      <w:sz w:val="20"/>
                    </w:rPr>
                    <w:t>11136.90 平方米，硬覆盖面积5048.99平方米。</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人员</w:t>
            </w:r>
            <w:r>
              <w:rPr>
                <w:rFonts w:ascii="仿宋_GB2312" w:hAnsi="仿宋_GB2312" w:cs="仿宋_GB2312" w:eastAsia="仿宋_GB2312"/>
                <w:sz w:val="20"/>
                <w:b/>
              </w:rPr>
              <w:t>具体</w:t>
            </w:r>
            <w:r>
              <w:rPr>
                <w:rFonts w:ascii="仿宋_GB2312" w:hAnsi="仿宋_GB2312" w:cs="仿宋_GB2312" w:eastAsia="仿宋_GB2312"/>
                <w:sz w:val="20"/>
                <w:b/>
              </w:rPr>
              <w:t>要求</w:t>
            </w:r>
          </w:p>
          <w:p>
            <w:pPr>
              <w:pStyle w:val="null3"/>
              <w:ind w:firstLine="400"/>
              <w:jc w:val="both"/>
            </w:pPr>
            <w:r>
              <w:rPr>
                <w:rFonts w:ascii="仿宋_GB2312" w:hAnsi="仿宋_GB2312" w:cs="仿宋_GB2312" w:eastAsia="仿宋_GB2312"/>
                <w:sz w:val="20"/>
              </w:rPr>
              <w:t>1、管理人员</w:t>
            </w:r>
          </w:p>
          <w:p>
            <w:pPr>
              <w:pStyle w:val="null3"/>
              <w:ind w:firstLine="400"/>
              <w:jc w:val="both"/>
            </w:pPr>
            <w:r>
              <w:rPr>
                <w:rFonts w:ascii="仿宋_GB2312" w:hAnsi="仿宋_GB2312" w:cs="仿宋_GB2312" w:eastAsia="仿宋_GB2312"/>
                <w:sz w:val="20"/>
              </w:rPr>
              <w:t>1-1、分管领导：具有相关行业工作经验；熟悉行业动态及运营发展趋势，优秀的统筹、分析、综合、归纳能力，具备良好的人际交往能力、组织协调能力、沟通能力以及解决复杂问题的能力。</w:t>
            </w:r>
          </w:p>
          <w:p>
            <w:pPr>
              <w:pStyle w:val="null3"/>
              <w:ind w:firstLine="400"/>
              <w:jc w:val="both"/>
            </w:pPr>
            <w:r>
              <w:rPr>
                <w:rFonts w:ascii="仿宋_GB2312" w:hAnsi="仿宋_GB2312" w:cs="仿宋_GB2312" w:eastAsia="仿宋_GB2312"/>
                <w:sz w:val="20"/>
              </w:rPr>
              <w:t>1-2、项目经理：具有相关行业工作经验；具备与岗位所需的相关专业知识，较强的判断与决策能力、沟通能力、计划与执行能力，工作中善于创新，能承受较大工作压力，责任心强。</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、绿化主管：具有园林绿化养护经验及大型物业、景区园林绿化管理工作经验或具有中级以上园林相关技能证书，植保相关技能证书。</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、绿化养护</w:t>
            </w:r>
          </w:p>
          <w:p>
            <w:pPr>
              <w:pStyle w:val="null3"/>
              <w:ind w:firstLine="400"/>
              <w:jc w:val="both"/>
            </w:pPr>
            <w:r>
              <w:rPr>
                <w:rFonts w:ascii="仿宋_GB2312" w:hAnsi="仿宋_GB2312" w:cs="仿宋_GB2312" w:eastAsia="仿宋_GB2312"/>
                <w:sz w:val="20"/>
              </w:rPr>
              <w:t>2-1、工作标准</w:t>
            </w:r>
          </w:p>
          <w:p>
            <w:pPr>
              <w:pStyle w:val="null3"/>
              <w:ind w:firstLine="400"/>
              <w:jc w:val="both"/>
            </w:pPr>
            <w:r>
              <w:rPr>
                <w:rFonts w:ascii="仿宋_GB2312" w:hAnsi="仿宋_GB2312" w:cs="仿宋_GB2312" w:eastAsia="仿宋_GB2312"/>
                <w:sz w:val="20"/>
              </w:rPr>
              <w:t>2-1-1、绿地（草坪、绿篱等）：1-2月冬剪、清园、冬灌各1-2次，3月修剪+补植+返青水+春肥各1次；4-6月每月修剪2次、植保1次，5月除草率≥95%；7-8月每2月修剪1次，每周灌溉1次；9月修剪+补植+秋肥各1次；10-12月浇水1-2次，11月清落叶，12月防寒检查。</w:t>
            </w:r>
          </w:p>
          <w:p>
            <w:pPr>
              <w:pStyle w:val="null3"/>
              <w:ind w:firstLine="400"/>
              <w:jc w:val="both"/>
            </w:pPr>
            <w:r>
              <w:rPr>
                <w:rFonts w:ascii="仿宋_GB2312" w:hAnsi="仿宋_GB2312" w:cs="仿宋_GB2312" w:eastAsia="仿宋_GB2312"/>
                <w:sz w:val="20"/>
              </w:rPr>
              <w:t>2-1-2、成片林木（行道树等）：11月-次年1月冬剪1次，2-4月抹芽去蘖1次；3月浇返青水，7-8月防风防汛加固1次；11月浇冻水、树干涂白（高度1.2m），全年病虫害巡回防治。</w:t>
            </w:r>
          </w:p>
          <w:p>
            <w:pPr>
              <w:pStyle w:val="null3"/>
              <w:ind w:firstLine="400"/>
              <w:jc w:val="both"/>
            </w:pPr>
            <w:r>
              <w:rPr>
                <w:rFonts w:ascii="仿宋_GB2312" w:hAnsi="仿宋_GB2312" w:cs="仿宋_GB2312" w:eastAsia="仿宋_GB2312"/>
                <w:sz w:val="20"/>
              </w:rPr>
              <w:t>2-1-3、景观树：1-2月、12月各查1次防寒设施，3月拆防寒+浇水施肥，4月、9月各精细修剪1次；5-6月、9月施肥1次，7-8月干旱即浇水、随时修型，11月搭建防寒风障。</w:t>
            </w:r>
          </w:p>
          <w:p>
            <w:pPr>
              <w:pStyle w:val="null3"/>
              <w:ind w:firstLine="400"/>
              <w:jc w:val="both"/>
            </w:pPr>
            <w:r>
              <w:rPr>
                <w:rFonts w:ascii="仿宋_GB2312" w:hAnsi="仿宋_GB2312" w:cs="仿宋_GB2312" w:eastAsia="仿宋_GB2312"/>
                <w:sz w:val="20"/>
              </w:rPr>
              <w:t>2-2、工作要求</w:t>
            </w:r>
          </w:p>
          <w:p>
            <w:pPr>
              <w:pStyle w:val="null3"/>
              <w:ind w:firstLine="400"/>
              <w:jc w:val="both"/>
            </w:pPr>
            <w:r>
              <w:rPr>
                <w:rFonts w:ascii="仿宋_GB2312" w:hAnsi="仿宋_GB2312" w:cs="仿宋_GB2312" w:eastAsia="仿宋_GB2312"/>
                <w:sz w:val="20"/>
              </w:rPr>
              <w:t>2-2-1、灌木无枯死缺株，草坪覆盖率≥90%、高度≤8cm、修剪留茬3-5cm，杂草控制率≥95%，无明显白蚁危害；绿地土壤湿润无板结、鼠洞、便溺，植株下无垃圾杂物。</w:t>
            </w:r>
          </w:p>
          <w:p>
            <w:pPr>
              <w:pStyle w:val="null3"/>
              <w:ind w:firstLine="400"/>
              <w:jc w:val="both"/>
            </w:pPr>
            <w:r>
              <w:rPr>
                <w:rFonts w:ascii="仿宋_GB2312" w:hAnsi="仿宋_GB2312" w:cs="仿宋_GB2312" w:eastAsia="仿宋_GB2312"/>
                <w:sz w:val="20"/>
              </w:rPr>
              <w:t>2-2-2、花钵、花坛生长旺盛，无残花败叶，时令花卉及时更新；行道树树池无黄土裸露（栽地被或装篦子，篦子平整无破损）。</w:t>
            </w:r>
          </w:p>
          <w:p>
            <w:pPr>
              <w:pStyle w:val="null3"/>
              <w:ind w:firstLine="400"/>
              <w:jc w:val="both"/>
            </w:pPr>
            <w:r>
              <w:rPr>
                <w:rFonts w:ascii="仿宋_GB2312" w:hAnsi="仿宋_GB2312" w:cs="仿宋_GB2312" w:eastAsia="仿宋_GB2312"/>
                <w:sz w:val="20"/>
              </w:rPr>
              <w:t>2-2-3、树木无高空残枝、杂草缠缚，及时抹芽修剪、扶正老树；大树复壮每年2次（占乔木总量5%），春秋补植含常规养护，大型改造另行申报，林区自然死亡率控制在3%-5%。</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、修剪：绿篱必须三面经常整齐，接地部位，目的形状以外不留枝叶，比例协调，新生枝条整体高度不超过</w:t>
            </w:r>
            <w:r>
              <w:rPr>
                <w:rFonts w:ascii="仿宋_GB2312" w:hAnsi="仿宋_GB2312" w:cs="仿宋_GB2312" w:eastAsia="仿宋_GB2312"/>
                <w:sz w:val="20"/>
              </w:rPr>
              <w:t>10厘米，高度和宽度与环境比例协调；草坪修剪平整，没有明显的高低不平；</w:t>
            </w:r>
          </w:p>
          <w:p>
            <w:pPr>
              <w:pStyle w:val="null3"/>
              <w:ind w:firstLine="400"/>
              <w:jc w:val="both"/>
            </w:pPr>
            <w:r>
              <w:rPr>
                <w:rFonts w:ascii="仿宋_GB2312" w:hAnsi="仿宋_GB2312" w:cs="仿宋_GB2312" w:eastAsia="仿宋_GB2312"/>
                <w:sz w:val="20"/>
              </w:rPr>
              <w:t>灌木经常保持没有干枯枝叶、危枝（叶），枝叶不遮挡灯光（正常使用方向）、标识牌，无影响建筑、设备、设施的枝叶，树型饱满，枝叶空间分布合理，与周围环境比例协调。</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、施肥：草坪每年三次以上施肥，绿篱一次，花灌木、新栽和生长不良的植物进行每年</w:t>
            </w:r>
            <w:r>
              <w:rPr>
                <w:rFonts w:ascii="仿宋_GB2312" w:hAnsi="仿宋_GB2312" w:cs="仿宋_GB2312" w:eastAsia="仿宋_GB2312"/>
                <w:sz w:val="20"/>
              </w:rPr>
              <w:t>2—3次松土施肥，及时清理死株和没有观赏价值、濒死的植株，补充相同品种、规格的植株。绿篱的木本植物无秃脚，遮荫地段疏秃的草坪及时更换荫生植物，保证黄土不露天。</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杂草清除：杂草随发生随清除，消灭在发生的初期，杜绝蔓延。杂草清除采用人工拔除和化学除莠相结合，除草剂应有针对性选择，控制浓度，确保目的草种安全，用后无明显要害。新用的除草剂应做局部田间试验，筛选有效的配方方案和安全浓度。</w:t>
            </w:r>
          </w:p>
          <w:p>
            <w:pPr>
              <w:pStyle w:val="null3"/>
              <w:ind w:firstLine="400"/>
              <w:jc w:val="both"/>
            </w:pPr>
            <w:r>
              <w:rPr>
                <w:rFonts w:ascii="仿宋_GB2312" w:hAnsi="仿宋_GB2312" w:cs="仿宋_GB2312" w:eastAsia="仿宋_GB2312"/>
                <w:sz w:val="20"/>
              </w:rPr>
              <w:t>植物的新栽、更新和补植：及时清理死株和没有观赏价值、濒死的植株，补充相同品种、规格的植株。绿篱的木本植物无秃脚，遮荫地段疏秃的草坪及时更换荫生植物，保证黄土不露天。</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病虫害防治：经常检查监视病虫的发生动向，掌握病虫的发生规律和世代变化，提早施药预防，一旦病虫发生，及时施药，把病虫消灭在萌芽阶段，控制在允许范围之内，使植物没有明显的病虫害。施药作业需采取安全保护措施进行，保证游客的正常游览。严禁在景区使用国家规定的剧毒农药，如呋喃丹、甲胺磷等。</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、要求养护人员有</w:t>
            </w:r>
            <w:r>
              <w:rPr>
                <w:rFonts w:ascii="仿宋_GB2312" w:hAnsi="仿宋_GB2312" w:cs="仿宋_GB2312" w:eastAsia="仿宋_GB2312"/>
                <w:sz w:val="20"/>
              </w:rPr>
              <w:t>2年以上园林绿化养护经验，熟知植被名称及生长习性，上班期间统一着工装，男女不限，绿化工年龄女性不超过55岁，男性不超过60岁。</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、本次招标范围费用包含：</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-1、绿化养护费：包括浇水排水，施肥修剪、切边整形，松土除草，除虫除害，调整移植，绿地清理与保洁：保持绿地的干净整洁，植株下基本无垃圾、砖块等杂物，草坪上无明显的纸屑、落叶；修剪产生的枯枝及时收集，统一堆放等。</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、总价措施费、企业管理费、利润、规费、税费。</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、其他要求</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-1、投标人需在大型节日、活动期间提供氛围营造服务等，按采购人要求增加临时服务人员，增加的各类费用经采购人审核后，根据实际发生费用据实结算。</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标的名称：安保 监控及工程维护维修服务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一、标包概况</w:t>
            </w:r>
          </w:p>
          <w:tbl>
            <w:tblPr>
              <w:tblInd w:type="dxa" w:w="135"/>
              <w:tblBorders>
                <w:top w:val="none" w:color="000000" w:sz="4"/>
                <w:left w:val="none" w:color="000000" w:sz="4"/>
                <w:bottom w:val="none" w:color="000000" w:sz="4"/>
                <w:right w:val="none" w:color="000000" w:sz="4"/>
                <w:insideH w:val="none"/>
                <w:insideV w:val="none"/>
              </w:tblBorders>
            </w:tblPr>
            <w:tblGrid>
              <w:gridCol w:w="330"/>
              <w:gridCol w:w="330"/>
              <w:gridCol w:w="456"/>
              <w:gridCol w:w="773"/>
              <w:gridCol w:w="663"/>
            </w:tblGrid>
            <w:tr>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b/>
                    </w:rPr>
                    <w:t>序号</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b/>
                    </w:rPr>
                    <w:t>区域</w:t>
                  </w:r>
                </w:p>
              </w:tc>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b/>
                    </w:rPr>
                    <w:t>人员种类需求</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b/>
                    </w:rPr>
                    <w:t>作业人员数量要求</w:t>
                  </w:r>
                </w:p>
              </w:tc>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b/>
                    </w:rPr>
                    <w:t>基本情况</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rPr>
                    <w:t>1</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天坛遗址公园</w:t>
                  </w:r>
                </w:p>
              </w:tc>
              <w:tc>
                <w:tcPr>
                  <w:tcW w:type="dxa" w:w="4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安保</w:t>
                  </w:r>
                  <w:r>
                    <w:rPr>
                      <w:rFonts w:ascii="仿宋_GB2312" w:hAnsi="仿宋_GB2312" w:cs="仿宋_GB2312" w:eastAsia="仿宋_GB2312"/>
                      <w:sz w:val="20"/>
                    </w:rPr>
                    <w:t>、</w:t>
                  </w:r>
                  <w:r>
                    <w:rPr>
                      <w:rFonts w:ascii="仿宋_GB2312" w:hAnsi="仿宋_GB2312" w:cs="仿宋_GB2312" w:eastAsia="仿宋_GB2312"/>
                      <w:sz w:val="20"/>
                    </w:rPr>
                    <w:t>监控</w:t>
                  </w:r>
                  <w:r>
                    <w:rPr>
                      <w:rFonts w:ascii="仿宋_GB2312" w:hAnsi="仿宋_GB2312" w:cs="仿宋_GB2312" w:eastAsia="仿宋_GB2312"/>
                      <w:sz w:val="20"/>
                    </w:rPr>
                    <w:t>、</w:t>
                  </w:r>
                  <w:r>
                    <w:rPr>
                      <w:rFonts w:ascii="仿宋_GB2312" w:hAnsi="仿宋_GB2312" w:cs="仿宋_GB2312" w:eastAsia="仿宋_GB2312"/>
                      <w:sz w:val="20"/>
                    </w:rPr>
                    <w:t>工程维护维修</w:t>
                  </w:r>
                  <w:r>
                    <w:rPr>
                      <w:rFonts w:ascii="仿宋_GB2312" w:hAnsi="仿宋_GB2312" w:cs="仿宋_GB2312" w:eastAsia="仿宋_GB2312"/>
                      <w:sz w:val="20"/>
                    </w:rPr>
                    <w:t>人员等</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安保不少于</w:t>
                  </w:r>
                  <w:r>
                    <w:rPr>
                      <w:rFonts w:ascii="仿宋_GB2312" w:hAnsi="仿宋_GB2312" w:cs="仿宋_GB2312" w:eastAsia="仿宋_GB2312"/>
                      <w:sz w:val="20"/>
                    </w:rPr>
                    <w:t>2人、监控不少于4人、工程维护维修不少于1人。</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绿化区域面积</w:t>
                  </w:r>
                  <w:r>
                    <w:rPr>
                      <w:rFonts w:ascii="仿宋_GB2312" w:hAnsi="仿宋_GB2312" w:cs="仿宋_GB2312" w:eastAsia="仿宋_GB2312"/>
                      <w:sz w:val="20"/>
                    </w:rPr>
                    <w:t>13224.70平方米，硬覆盖面积25915.30平方米，公共卫生间1座。</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rPr>
                    <w:t>2</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杜邑遗址公园</w:t>
                  </w:r>
                </w:p>
              </w:tc>
              <w:tc>
                <w:tcPr>
                  <w:tcW w:type="dxa" w:w="456"/>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安保不少于</w:t>
                  </w:r>
                  <w:r>
                    <w:rPr>
                      <w:rFonts w:ascii="仿宋_GB2312" w:hAnsi="仿宋_GB2312" w:cs="仿宋_GB2312" w:eastAsia="仿宋_GB2312"/>
                      <w:sz w:val="20"/>
                    </w:rPr>
                    <w:t>23人、监控不少于4人、工程维护维修不少于6人。</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杜邑遗址公园：硬覆盖面积</w:t>
                  </w:r>
                  <w:r>
                    <w:rPr>
                      <w:rFonts w:ascii="仿宋_GB2312" w:hAnsi="仿宋_GB2312" w:cs="仿宋_GB2312" w:eastAsia="仿宋_GB2312"/>
                      <w:sz w:val="20"/>
                    </w:rPr>
                    <w:t>142647.76平方米，绿化区域面积</w:t>
                  </w:r>
                  <w:r>
                    <w:rPr>
                      <w:rFonts w:ascii="仿宋_GB2312" w:hAnsi="仿宋_GB2312" w:cs="仿宋_GB2312" w:eastAsia="仿宋_GB2312"/>
                      <w:sz w:val="20"/>
                    </w:rPr>
                    <w:t>671767.48</w:t>
                  </w:r>
                  <w:r>
                    <w:rPr>
                      <w:rFonts w:ascii="仿宋_GB2312" w:hAnsi="仿宋_GB2312" w:cs="仿宋_GB2312" w:eastAsia="仿宋_GB2312"/>
                      <w:sz w:val="20"/>
                    </w:rPr>
                    <w:t>平方米，公共卫生间</w:t>
                  </w:r>
                  <w:r>
                    <w:rPr>
                      <w:rFonts w:ascii="仿宋_GB2312" w:hAnsi="仿宋_GB2312" w:cs="仿宋_GB2312" w:eastAsia="仿宋_GB2312"/>
                      <w:sz w:val="20"/>
                    </w:rPr>
                    <w:t>11座及5个出入口。</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rPr>
                    <w:t>3</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唐城墙遗址公园一区延伸段</w:t>
                  </w:r>
                </w:p>
              </w:tc>
              <w:tc>
                <w:tcPr>
                  <w:tcW w:type="dxa" w:w="456"/>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安保不少于</w:t>
                  </w:r>
                  <w:r>
                    <w:rPr>
                      <w:rFonts w:ascii="仿宋_GB2312" w:hAnsi="仿宋_GB2312" w:cs="仿宋_GB2312" w:eastAsia="仿宋_GB2312"/>
                      <w:sz w:val="20"/>
                    </w:rPr>
                    <w:t>1人。</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绿化区域面积</w:t>
                  </w:r>
                  <w:r>
                    <w:rPr>
                      <w:rFonts w:ascii="仿宋_GB2312" w:hAnsi="仿宋_GB2312" w:cs="仿宋_GB2312" w:eastAsia="仿宋_GB2312"/>
                      <w:sz w:val="20"/>
                    </w:rPr>
                    <w:t>13766平方米，硬覆盖面积6234平方米。</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rPr>
                    <w:t>4</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唐城墙遗址公园九区</w:t>
                  </w:r>
                </w:p>
              </w:tc>
              <w:tc>
                <w:tcPr>
                  <w:tcW w:type="dxa" w:w="456"/>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安保不少于</w:t>
                  </w:r>
                  <w:r>
                    <w:rPr>
                      <w:rFonts w:ascii="仿宋_GB2312" w:hAnsi="仿宋_GB2312" w:cs="仿宋_GB2312" w:eastAsia="仿宋_GB2312"/>
                      <w:sz w:val="20"/>
                    </w:rPr>
                    <w:t>3人、工程维护维修不少于1人。</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绿化区域面积</w:t>
                  </w:r>
                  <w:r>
                    <w:rPr>
                      <w:rFonts w:ascii="仿宋_GB2312" w:hAnsi="仿宋_GB2312" w:cs="仿宋_GB2312" w:eastAsia="仿宋_GB2312"/>
                      <w:sz w:val="20"/>
                    </w:rPr>
                    <w:t>19000.00 平方米，硬覆盖面积53000.00平方米，公共卫生间2座。</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center"/>
                  </w:pPr>
                  <w:r>
                    <w:rPr>
                      <w:rFonts w:ascii="仿宋_GB2312" w:hAnsi="仿宋_GB2312" w:cs="仿宋_GB2312" w:eastAsia="仿宋_GB2312"/>
                      <w:sz w:val="20"/>
                    </w:rPr>
                    <w:t>5</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唐城墙遗址公园十区</w:t>
                  </w:r>
                </w:p>
              </w:tc>
              <w:tc>
                <w:tcPr>
                  <w:tcW w:type="dxa" w:w="456"/>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安保不少于</w:t>
                  </w:r>
                  <w:r>
                    <w:rPr>
                      <w:rFonts w:ascii="仿宋_GB2312" w:hAnsi="仿宋_GB2312" w:cs="仿宋_GB2312" w:eastAsia="仿宋_GB2312"/>
                      <w:sz w:val="20"/>
                    </w:rPr>
                    <w:t>1人。</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after="285"/>
                    <w:jc w:val="both"/>
                  </w:pPr>
                  <w:r>
                    <w:rPr>
                      <w:rFonts w:ascii="仿宋_GB2312" w:hAnsi="仿宋_GB2312" w:cs="仿宋_GB2312" w:eastAsia="仿宋_GB2312"/>
                      <w:sz w:val="20"/>
                    </w:rPr>
                    <w:t>绿化区域面积</w:t>
                  </w:r>
                  <w:r>
                    <w:rPr>
                      <w:rFonts w:ascii="仿宋_GB2312" w:hAnsi="仿宋_GB2312" w:cs="仿宋_GB2312" w:eastAsia="仿宋_GB2312"/>
                      <w:sz w:val="20"/>
                    </w:rPr>
                    <w:t>11136.90 平方米，硬覆盖面积5048.99平方米。</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人员</w:t>
            </w:r>
            <w:r>
              <w:rPr>
                <w:rFonts w:ascii="仿宋_GB2312" w:hAnsi="仿宋_GB2312" w:cs="仿宋_GB2312" w:eastAsia="仿宋_GB2312"/>
                <w:sz w:val="20"/>
                <w:b/>
              </w:rPr>
              <w:t>具体</w:t>
            </w:r>
            <w:r>
              <w:rPr>
                <w:rFonts w:ascii="仿宋_GB2312" w:hAnsi="仿宋_GB2312" w:cs="仿宋_GB2312" w:eastAsia="仿宋_GB2312"/>
                <w:sz w:val="20"/>
                <w:b/>
              </w:rPr>
              <w:t>要求</w:t>
            </w:r>
          </w:p>
          <w:p>
            <w:pPr>
              <w:pStyle w:val="null3"/>
              <w:ind w:firstLine="400"/>
              <w:jc w:val="both"/>
            </w:pPr>
            <w:r>
              <w:rPr>
                <w:rFonts w:ascii="仿宋_GB2312" w:hAnsi="仿宋_GB2312" w:cs="仿宋_GB2312" w:eastAsia="仿宋_GB2312"/>
                <w:sz w:val="20"/>
              </w:rPr>
              <w:t>1、管理人员</w:t>
            </w:r>
          </w:p>
          <w:p>
            <w:pPr>
              <w:pStyle w:val="null3"/>
              <w:ind w:firstLine="400"/>
              <w:jc w:val="both"/>
            </w:pPr>
            <w:r>
              <w:rPr>
                <w:rFonts w:ascii="仿宋_GB2312" w:hAnsi="仿宋_GB2312" w:cs="仿宋_GB2312" w:eastAsia="仿宋_GB2312"/>
                <w:sz w:val="20"/>
              </w:rPr>
              <w:t>1-1、分管领导：本科及以上学历，具有相关行业工作经验；熟悉行业动态及运营发展趋势，优秀的统筹、分析、综合、归纳能力，具备良好的人际交往能力、组织协调能力、沟通能力以及解决复杂问题的能力。</w:t>
            </w:r>
          </w:p>
          <w:p>
            <w:pPr>
              <w:pStyle w:val="null3"/>
              <w:ind w:firstLine="400"/>
              <w:jc w:val="both"/>
            </w:pPr>
            <w:r>
              <w:rPr>
                <w:rFonts w:ascii="仿宋_GB2312" w:hAnsi="仿宋_GB2312" w:cs="仿宋_GB2312" w:eastAsia="仿宋_GB2312"/>
                <w:sz w:val="20"/>
              </w:rPr>
              <w:t>1-2、项目经理：本科及以上学历，具有相关行业工作经验；具备与岗位所需的相关专业知识，较强的判断与决策能力、沟通能力、计划与执行能力，工作中善于创新，能承受较大工作压力，责任心强。</w:t>
            </w:r>
          </w:p>
          <w:p>
            <w:pPr>
              <w:pStyle w:val="null3"/>
              <w:ind w:firstLine="400"/>
              <w:jc w:val="both"/>
            </w:pPr>
            <w:r>
              <w:rPr>
                <w:rFonts w:ascii="仿宋_GB2312" w:hAnsi="仿宋_GB2312" w:cs="仿宋_GB2312" w:eastAsia="仿宋_GB2312"/>
                <w:sz w:val="20"/>
              </w:rPr>
              <w:t>1-3、工程主管：大专及以上学历、具有相关行业工作经验、有相关技能证书、有较强的管理能力。</w:t>
            </w:r>
          </w:p>
          <w:p>
            <w:pPr>
              <w:pStyle w:val="null3"/>
              <w:ind w:firstLine="400"/>
              <w:jc w:val="both"/>
            </w:pPr>
            <w:r>
              <w:rPr>
                <w:rFonts w:ascii="仿宋_GB2312" w:hAnsi="仿宋_GB2312" w:cs="仿宋_GB2312" w:eastAsia="仿宋_GB2312"/>
                <w:sz w:val="20"/>
              </w:rPr>
              <w:t>1-4、安保主管：大专及以上学历、具有相关行业工作经验、有较强的管理能力。</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游服接待：根据公园分级标准，配备游服接待人员。接待人员具备大专及以上学历，具有相关行业工作经验。普通话标准，形体较佳，仪容仪表良好。负责游客咨询、投诉处理、行李寄存，景点讲解等对客服务以及政务接待。</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、保安</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-1、要求看管好各自区域设施设备，上下班应做好每班次工作交接；作业时间为00:00-24:00。</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-2、标准</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-2-1、保安人员年龄在18-45周岁的男性守法公民，且具备良好的个人素质，着装规范，严格遵守执勤制度和纪律，文明礼貌待人，能够服从领导的正常工作安排和要求。</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-2-2、保安人员应严格履行规定的岗位职责要求，并模范遵守相关规章制度，自觉维护企业形象和良好声誉。对其所接触的商业、运行信息保守秘密，该保密职责即使合同终止和解除后仍然有效。</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-2-3、要做好员工岗前培训、在职培训及安全普及等工作，培训工作每月至少一次，并做好相关记录；保安人员应自觉保持自身良好形象，提高服务意识。</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秩序维护管理</w:t>
            </w:r>
          </w:p>
          <w:p>
            <w:pPr>
              <w:pStyle w:val="null3"/>
              <w:ind w:firstLine="400"/>
              <w:jc w:val="both"/>
            </w:pPr>
            <w:r>
              <w:rPr>
                <w:rFonts w:ascii="仿宋_GB2312" w:hAnsi="仿宋_GB2312" w:cs="仿宋_GB2312" w:eastAsia="仿宋_GB2312"/>
                <w:sz w:val="20"/>
              </w:rPr>
              <w:t>3-1、</w:t>
            </w:r>
            <w:r>
              <w:rPr>
                <w:rFonts w:ascii="仿宋_GB2312" w:hAnsi="仿宋_GB2312" w:cs="仿宋_GB2312" w:eastAsia="仿宋_GB2312"/>
                <w:sz w:val="20"/>
              </w:rPr>
              <w:t>工作标准</w:t>
            </w:r>
          </w:p>
          <w:p>
            <w:pPr>
              <w:pStyle w:val="null3"/>
              <w:ind w:firstLine="400"/>
              <w:jc w:val="both"/>
            </w:pPr>
            <w:r>
              <w:rPr>
                <w:rFonts w:ascii="仿宋_GB2312" w:hAnsi="仿宋_GB2312" w:cs="仿宋_GB2312" w:eastAsia="仿宋_GB2312"/>
                <w:sz w:val="20"/>
              </w:rPr>
              <w:t>3-1-1、</w:t>
            </w:r>
            <w:r>
              <w:rPr>
                <w:rFonts w:ascii="仿宋_GB2312" w:hAnsi="仿宋_GB2312" w:cs="仿宋_GB2312" w:eastAsia="仿宋_GB2312"/>
                <w:sz w:val="20"/>
              </w:rPr>
              <w:t>岗位管理：主出入口设固定岗（</w:t>
            </w:r>
            <w:r>
              <w:rPr>
                <w:rFonts w:ascii="仿宋_GB2312" w:hAnsi="仿宋_GB2312" w:cs="仿宋_GB2312" w:eastAsia="仿宋_GB2312"/>
                <w:sz w:val="20"/>
              </w:rPr>
              <w:t>2人+），次要/员工出入口设1人或巡逻岗定时巡查；巡逻岗按规模配置（小型公园1-2人/班，超大型公园14人+/班），“步巡为主、车巡为辅”，重点区域60-90分钟覆盖1次。</w:t>
            </w:r>
          </w:p>
          <w:p>
            <w:pPr>
              <w:pStyle w:val="null3"/>
              <w:ind w:firstLine="400"/>
              <w:jc w:val="both"/>
            </w:pPr>
            <w:r>
              <w:rPr>
                <w:rFonts w:ascii="仿宋_GB2312" w:hAnsi="仿宋_GB2312" w:cs="仿宋_GB2312" w:eastAsia="仿宋_GB2312"/>
                <w:sz w:val="20"/>
              </w:rPr>
              <w:t>3-1-2、</w:t>
            </w:r>
            <w:r>
              <w:rPr>
                <w:rFonts w:ascii="仿宋_GB2312" w:hAnsi="仿宋_GB2312" w:cs="仿宋_GB2312" w:eastAsia="仿宋_GB2312"/>
                <w:sz w:val="20"/>
              </w:rPr>
              <w:t>监控管理：监控岗至少</w:t>
            </w:r>
            <w:r>
              <w:rPr>
                <w:rFonts w:ascii="仿宋_GB2312" w:hAnsi="仿宋_GB2312" w:cs="仿宋_GB2312" w:eastAsia="仿宋_GB2312"/>
                <w:sz w:val="20"/>
              </w:rPr>
              <w:t>2人同时在岗，小型公园“1人主看+1人记录”，大型公园分区盯屏+调度，超大型公园专业化分工；监控室制度上墙，设备运行正常，录影硬盘规范保存，值班记录完整。</w:t>
            </w:r>
          </w:p>
          <w:p>
            <w:pPr>
              <w:pStyle w:val="null3"/>
              <w:ind w:firstLine="400"/>
              <w:jc w:val="both"/>
            </w:pPr>
            <w:r>
              <w:rPr>
                <w:rFonts w:ascii="仿宋_GB2312" w:hAnsi="仿宋_GB2312" w:cs="仿宋_GB2312" w:eastAsia="仿宋_GB2312"/>
                <w:sz w:val="20"/>
              </w:rPr>
              <w:t>3-2、</w:t>
            </w:r>
            <w:r>
              <w:rPr>
                <w:rFonts w:ascii="仿宋_GB2312" w:hAnsi="仿宋_GB2312" w:cs="仿宋_GB2312" w:eastAsia="仿宋_GB2312"/>
                <w:sz w:val="20"/>
              </w:rPr>
              <w:t>工作要求</w:t>
            </w:r>
          </w:p>
          <w:p>
            <w:pPr>
              <w:pStyle w:val="null3"/>
              <w:ind w:firstLine="400"/>
              <w:jc w:val="both"/>
            </w:pPr>
            <w:r>
              <w:rPr>
                <w:rFonts w:ascii="仿宋_GB2312" w:hAnsi="仿宋_GB2312" w:cs="仿宋_GB2312" w:eastAsia="仿宋_GB2312"/>
                <w:sz w:val="20"/>
              </w:rPr>
              <w:t>3-2-1、</w:t>
            </w:r>
            <w:r>
              <w:rPr>
                <w:rFonts w:ascii="仿宋_GB2312" w:hAnsi="仿宋_GB2312" w:cs="仿宋_GB2312" w:eastAsia="仿宋_GB2312"/>
                <w:sz w:val="20"/>
              </w:rPr>
              <w:t>制定公共秩序维护制度及应急预案，定期演练并优化，按季节、节日调整防范措施；治安事件及时报告、记录总结，全年无重大治安案件及安全隐患。</w:t>
            </w:r>
          </w:p>
          <w:p>
            <w:pPr>
              <w:pStyle w:val="null3"/>
              <w:ind w:firstLine="400"/>
              <w:jc w:val="both"/>
            </w:pPr>
            <w:r>
              <w:rPr>
                <w:rFonts w:ascii="仿宋_GB2312" w:hAnsi="仿宋_GB2312" w:cs="仿宋_GB2312" w:eastAsia="仿宋_GB2312"/>
                <w:sz w:val="20"/>
              </w:rPr>
              <w:t>3-2-2、</w:t>
            </w:r>
            <w:r>
              <w:rPr>
                <w:rFonts w:ascii="仿宋_GB2312" w:hAnsi="仿宋_GB2312" w:cs="仿宋_GB2312" w:eastAsia="仿宋_GB2312"/>
                <w:sz w:val="20"/>
              </w:rPr>
              <w:t>安保人员坚守岗位、无脱岗，着装整洁、仪表规范，服务主动热情，与游客无言语冲突、肢体冲突，突发状况响应迅速。</w:t>
            </w:r>
          </w:p>
          <w:p>
            <w:pPr>
              <w:pStyle w:val="null3"/>
              <w:ind w:firstLine="400"/>
              <w:jc w:val="both"/>
            </w:pPr>
            <w:r>
              <w:rPr>
                <w:rFonts w:ascii="仿宋_GB2312" w:hAnsi="仿宋_GB2312" w:cs="仿宋_GB2312" w:eastAsia="仿宋_GB2312"/>
                <w:sz w:val="20"/>
              </w:rPr>
              <w:t>3-2-3、</w:t>
            </w:r>
            <w:r>
              <w:rPr>
                <w:rFonts w:ascii="仿宋_GB2312" w:hAnsi="仿宋_GB2312" w:cs="仿宋_GB2312" w:eastAsia="仿宋_GB2312"/>
                <w:sz w:val="20"/>
              </w:rPr>
              <w:t>明确各区域防火责任人，定期开展消防培训演练；重大节假日前检查重点消防部位，及时整改问题；通过广播、画报宣传消防知识，提高游客意识。</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设施设备管理</w:t>
            </w:r>
          </w:p>
          <w:p>
            <w:pPr>
              <w:pStyle w:val="null3"/>
              <w:ind w:firstLine="400"/>
              <w:jc w:val="both"/>
            </w:pPr>
            <w:r>
              <w:rPr>
                <w:rFonts w:ascii="仿宋_GB2312" w:hAnsi="仿宋_GB2312" w:cs="仿宋_GB2312" w:eastAsia="仿宋_GB2312"/>
                <w:sz w:val="20"/>
              </w:rPr>
              <w:t>4-1、</w:t>
            </w:r>
            <w:r>
              <w:rPr>
                <w:rFonts w:ascii="仿宋_GB2312" w:hAnsi="仿宋_GB2312" w:cs="仿宋_GB2312" w:eastAsia="仿宋_GB2312"/>
                <w:sz w:val="20"/>
              </w:rPr>
              <w:t>工作标准</w:t>
            </w:r>
          </w:p>
          <w:p>
            <w:pPr>
              <w:pStyle w:val="null3"/>
              <w:ind w:firstLine="400"/>
              <w:jc w:val="both"/>
            </w:pPr>
            <w:r>
              <w:rPr>
                <w:rFonts w:ascii="仿宋_GB2312" w:hAnsi="仿宋_GB2312" w:cs="仿宋_GB2312" w:eastAsia="仿宋_GB2312"/>
                <w:sz w:val="20"/>
              </w:rPr>
              <w:t>4-1-1、</w:t>
            </w:r>
            <w:r>
              <w:rPr>
                <w:rFonts w:ascii="仿宋_GB2312" w:hAnsi="仿宋_GB2312" w:cs="仿宋_GB2312" w:eastAsia="仿宋_GB2312"/>
                <w:sz w:val="20"/>
              </w:rPr>
              <w:t>基础管理：制定设备检修维保计划、安全操作规范、应急预案及台账，分解至每日</w:t>
            </w:r>
            <w:r>
              <w:rPr>
                <w:rFonts w:ascii="仿宋_GB2312" w:hAnsi="仿宋_GB2312" w:cs="仿宋_GB2312" w:eastAsia="仿宋_GB2312"/>
                <w:sz w:val="20"/>
              </w:rPr>
              <w:t>/周/月执行；日常操作（停送电、检修等）严格按规程执行，设施台账与实际一致。</w:t>
            </w:r>
          </w:p>
          <w:p>
            <w:pPr>
              <w:pStyle w:val="null3"/>
              <w:ind w:firstLine="400"/>
              <w:jc w:val="both"/>
            </w:pPr>
            <w:r>
              <w:rPr>
                <w:rFonts w:ascii="仿宋_GB2312" w:hAnsi="仿宋_GB2312" w:cs="仿宋_GB2312" w:eastAsia="仿宋_GB2312"/>
                <w:sz w:val="20"/>
              </w:rPr>
              <w:t>4-1-2、</w:t>
            </w:r>
            <w:r>
              <w:rPr>
                <w:rFonts w:ascii="仿宋_GB2312" w:hAnsi="仿宋_GB2312" w:cs="仿宋_GB2312" w:eastAsia="仿宋_GB2312"/>
                <w:sz w:val="20"/>
              </w:rPr>
              <w:t>重点设施：电梯定期保养检测，无坠落、挤压事故；变配电设备记录完整，发电机可随时启动；水泵房、水池管理严格，防汛物资定期检查，排水系统通畅；照明设施亮灯率</w:t>
            </w:r>
            <w:r>
              <w:rPr>
                <w:rFonts w:ascii="仿宋_GB2312" w:hAnsi="仿宋_GB2312" w:cs="仿宋_GB2312" w:eastAsia="仿宋_GB2312"/>
                <w:sz w:val="20"/>
              </w:rPr>
              <w:t>≥98%，便民设施（果皮箱、座椅等）材质规格统一、无破损。</w:t>
            </w:r>
          </w:p>
          <w:p>
            <w:pPr>
              <w:pStyle w:val="null3"/>
              <w:ind w:firstLine="400"/>
              <w:jc w:val="both"/>
            </w:pPr>
            <w:r>
              <w:rPr>
                <w:rFonts w:ascii="仿宋_GB2312" w:hAnsi="仿宋_GB2312" w:cs="仿宋_GB2312" w:eastAsia="仿宋_GB2312"/>
                <w:sz w:val="20"/>
              </w:rPr>
              <w:t>4-2、</w:t>
            </w:r>
            <w:r>
              <w:rPr>
                <w:rFonts w:ascii="仿宋_GB2312" w:hAnsi="仿宋_GB2312" w:cs="仿宋_GB2312" w:eastAsia="仿宋_GB2312"/>
                <w:sz w:val="20"/>
              </w:rPr>
              <w:t>工作要求</w:t>
            </w:r>
          </w:p>
          <w:p>
            <w:pPr>
              <w:pStyle w:val="null3"/>
              <w:ind w:firstLine="400"/>
              <w:jc w:val="both"/>
            </w:pPr>
            <w:r>
              <w:rPr>
                <w:rFonts w:ascii="仿宋_GB2312" w:hAnsi="仿宋_GB2312" w:cs="仿宋_GB2312" w:eastAsia="仿宋_GB2312"/>
                <w:sz w:val="20"/>
              </w:rPr>
              <w:t>4-2-1、</w:t>
            </w:r>
            <w:r>
              <w:rPr>
                <w:rFonts w:ascii="仿宋_GB2312" w:hAnsi="仿宋_GB2312" w:cs="仿宋_GB2312" w:eastAsia="仿宋_GB2312"/>
                <w:sz w:val="20"/>
              </w:rPr>
              <w:t>针对停水停电、线路老化、设备故障等险情，定期开展应急演练，专人抢险排障，优先保障人员安全；各场所标识明显、导向合理，内容符合文化风俗及使用规范。</w:t>
            </w:r>
          </w:p>
          <w:p>
            <w:pPr>
              <w:pStyle w:val="null3"/>
              <w:ind w:firstLine="400"/>
              <w:jc w:val="both"/>
            </w:pPr>
            <w:r>
              <w:rPr>
                <w:rFonts w:ascii="仿宋_GB2312" w:hAnsi="仿宋_GB2312" w:cs="仿宋_GB2312" w:eastAsia="仿宋_GB2312"/>
                <w:sz w:val="20"/>
              </w:rPr>
              <w:t>4-2-2、</w:t>
            </w:r>
            <w:r>
              <w:rPr>
                <w:rFonts w:ascii="仿宋_GB2312" w:hAnsi="仿宋_GB2312" w:cs="仿宋_GB2312" w:eastAsia="仿宋_GB2312"/>
                <w:sz w:val="20"/>
              </w:rPr>
              <w:t>室外箱式变压器、配电箱保护罩牢固美观、无污渍，接地良好，箱内无杂物；游乐健身设施、护栏等定期检查，及时更换磨损部件，除锈刷漆，确保安全。</w:t>
            </w:r>
          </w:p>
          <w:p>
            <w:pPr>
              <w:pStyle w:val="null3"/>
              <w:ind w:firstLine="400"/>
              <w:jc w:val="both"/>
            </w:pPr>
            <w:r>
              <w:rPr>
                <w:rFonts w:ascii="仿宋_GB2312" w:hAnsi="仿宋_GB2312" w:cs="仿宋_GB2312" w:eastAsia="仿宋_GB2312"/>
                <w:sz w:val="20"/>
              </w:rPr>
              <w:t>4-2-3、</w:t>
            </w:r>
            <w:r>
              <w:rPr>
                <w:rFonts w:ascii="仿宋_GB2312" w:hAnsi="仿宋_GB2312" w:cs="仿宋_GB2312" w:eastAsia="仿宋_GB2312"/>
                <w:sz w:val="20"/>
              </w:rPr>
              <w:t>车行道、主园路路面平整，平石、侧石无破损；井盖、收水井完好通畅，无积水、下陷；修复人行道、路面时，使用同材质、同色彩材料，保障视野内统一。</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、工程维修</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-1、负责公园内庭院灯、射树灯、草坪灯配电箱等亮化设施，室外课堂、足球场、轮滑区、攀岩运动设施等器材，彩色水泥路面、铺装地面等硬覆盖修缮维护工作，巡查发现各类设施损坏，第一时间进行维修，确保维护工作的及时性。</w:t>
            </w:r>
          </w:p>
          <w:p>
            <w:pPr>
              <w:pStyle w:val="null3"/>
              <w:ind w:firstLine="400"/>
              <w:jc w:val="both"/>
            </w:pPr>
            <w:r>
              <w:rPr>
                <w:rFonts w:ascii="仿宋_GB2312" w:hAnsi="仿宋_GB2312" w:cs="仿宋_GB2312" w:eastAsia="仿宋_GB2312"/>
                <w:sz w:val="20"/>
              </w:rPr>
              <w:t>公共设施设备按照项目配套建设管理责任分工运转正常，有设备台账、运行记录、检查记录、维修记录、保养记录；对设备故障及重大或突发事件有应急方案和现场处理措施、处理记录。</w:t>
            </w:r>
          </w:p>
          <w:p>
            <w:pPr>
              <w:pStyle w:val="null3"/>
              <w:ind w:firstLine="400"/>
              <w:jc w:val="both"/>
            </w:pPr>
            <w:r>
              <w:rPr>
                <w:rFonts w:ascii="仿宋_GB2312" w:hAnsi="仿宋_GB2312" w:cs="仿宋_GB2312" w:eastAsia="仿宋_GB2312"/>
                <w:sz w:val="20"/>
              </w:rPr>
              <w:t>实行</w:t>
            </w:r>
            <w:r>
              <w:rPr>
                <w:rFonts w:ascii="仿宋_GB2312" w:hAnsi="仿宋_GB2312" w:cs="仿宋_GB2312" w:eastAsia="仿宋_GB2312"/>
                <w:sz w:val="20"/>
              </w:rPr>
              <w:t>24小时检查维修值班制度。</w:t>
            </w:r>
          </w:p>
          <w:p>
            <w:pPr>
              <w:pStyle w:val="null3"/>
              <w:ind w:firstLine="400"/>
              <w:jc w:val="both"/>
            </w:pPr>
            <w:r>
              <w:rPr>
                <w:rFonts w:ascii="仿宋_GB2312" w:hAnsi="仿宋_GB2312" w:cs="仿宋_GB2312" w:eastAsia="仿宋_GB2312"/>
                <w:sz w:val="20"/>
              </w:rPr>
              <w:t>水、电、监控等设备运行人员技能熟练，严格遵守操作规程及保养规范。</w:t>
            </w:r>
          </w:p>
          <w:p>
            <w:pPr>
              <w:pStyle w:val="null3"/>
              <w:ind w:firstLine="400"/>
              <w:jc w:val="both"/>
            </w:pPr>
            <w:r>
              <w:rPr>
                <w:rFonts w:ascii="仿宋_GB2312" w:hAnsi="仿宋_GB2312" w:cs="仿宋_GB2312" w:eastAsia="仿宋_GB2312"/>
                <w:sz w:val="20"/>
              </w:rPr>
              <w:t>道路平整畅通，交通等指示标志齐全规范。</w:t>
            </w:r>
          </w:p>
          <w:p>
            <w:pPr>
              <w:pStyle w:val="null3"/>
              <w:ind w:firstLine="400"/>
              <w:jc w:val="both"/>
            </w:pPr>
            <w:r>
              <w:rPr>
                <w:rFonts w:ascii="仿宋_GB2312" w:hAnsi="仿宋_GB2312" w:cs="仿宋_GB2312" w:eastAsia="仿宋_GB2312"/>
                <w:sz w:val="20"/>
              </w:rPr>
              <w:t>景观灯等公共照明设备完好率</w:t>
            </w:r>
            <w:r>
              <w:rPr>
                <w:rFonts w:ascii="仿宋_GB2312" w:hAnsi="仿宋_GB2312" w:cs="仿宋_GB2312" w:eastAsia="仿宋_GB2312"/>
                <w:sz w:val="20"/>
              </w:rPr>
              <w:t>98%以上。</w:t>
            </w:r>
          </w:p>
          <w:p>
            <w:pPr>
              <w:pStyle w:val="null3"/>
              <w:ind w:firstLine="400"/>
              <w:jc w:val="both"/>
            </w:pPr>
            <w:r>
              <w:rPr>
                <w:rFonts w:ascii="仿宋_GB2312" w:hAnsi="仿宋_GB2312" w:cs="仿宋_GB2312" w:eastAsia="仿宋_GB2312"/>
                <w:sz w:val="20"/>
              </w:rPr>
              <w:t>设备用房整洁，主要设施设备标示清楚齐全，危及人身安全隐患处有明显标志和防范措施。</w:t>
            </w:r>
          </w:p>
          <w:p>
            <w:pPr>
              <w:pStyle w:val="null3"/>
              <w:ind w:firstLine="400"/>
              <w:jc w:val="both"/>
            </w:pPr>
            <w:r>
              <w:rPr>
                <w:rFonts w:ascii="仿宋_GB2312" w:hAnsi="仿宋_GB2312" w:cs="仿宋_GB2312" w:eastAsia="仿宋_GB2312"/>
                <w:sz w:val="20"/>
              </w:rPr>
              <w:t>雨水井、化粪井每月检查一次，根据需要定期清理疏通，保持通畅，无堵塞外溢。</w:t>
            </w:r>
          </w:p>
          <w:p>
            <w:pPr>
              <w:pStyle w:val="null3"/>
              <w:ind w:firstLine="400"/>
              <w:jc w:val="both"/>
            </w:pPr>
            <w:r>
              <w:rPr>
                <w:rFonts w:ascii="仿宋_GB2312" w:hAnsi="仿宋_GB2312" w:cs="仿宋_GB2312" w:eastAsia="仿宋_GB2312"/>
                <w:sz w:val="20"/>
              </w:rPr>
              <w:t>在接到相关部门停水、停电通知后，提前做好告知及游客解释服务工作。</w:t>
            </w:r>
          </w:p>
          <w:p>
            <w:pPr>
              <w:pStyle w:val="null3"/>
              <w:ind w:firstLine="400"/>
              <w:jc w:val="both"/>
            </w:pPr>
            <w:r>
              <w:rPr>
                <w:rFonts w:ascii="仿宋_GB2312" w:hAnsi="仿宋_GB2312" w:cs="仿宋_GB2312" w:eastAsia="仿宋_GB2312"/>
                <w:sz w:val="20"/>
              </w:rPr>
              <w:t>提供日常景观照明及景区公共照明服务。</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-2、工程维修人员年纪要求在60岁以下，性别男性，持有相关作业证件，如：工程人员低压维修电工证、电瓶车操作证等，上班期间统一着工装。</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-3、日常维修：城市家具小面积破损掉漆、局部路面及石材破损、灯泡低压线路及开关、卫生间设施设备建筑空调及化粪池、水龙头、感应器、脚踩阀、小便池、坐便盖、衣帽钩、门锁、标示牌、给排水管道、斑秃草坪、枯死乔灌木、刷漆及导视系统零星更换维修；消防系统个别探测器、应急灯、疏散指示灯损坏；监控设备、道闸设备个别故障；木栈道木平台小面积破损等。</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、本次招标范围费用包含：</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、安保费：包括病虫害防治巡视、水面巡视、防火巡视、治安巡视、重点区域安全保卫等。</w:t>
            </w:r>
          </w:p>
          <w:p>
            <w:pPr>
              <w:pStyle w:val="null3"/>
              <w:ind w:firstLine="400"/>
              <w:jc w:val="both"/>
            </w:pPr>
            <w:r>
              <w:rPr>
                <w:rFonts w:ascii="仿宋_GB2312" w:hAnsi="仿宋_GB2312" w:cs="仿宋_GB2312" w:eastAsia="仿宋_GB2312"/>
                <w:sz w:val="20"/>
              </w:rPr>
              <w:t>6-2</w:t>
            </w:r>
            <w:r>
              <w:rPr>
                <w:rFonts w:ascii="仿宋_GB2312" w:hAnsi="仿宋_GB2312" w:cs="仿宋_GB2312" w:eastAsia="仿宋_GB2312"/>
                <w:sz w:val="20"/>
              </w:rPr>
              <w:t>、建筑小品维护费：包括园林各类建筑、园林小品（花架、花廊、假山、峰石、附壁石、景石墙、零星石结构、园桥、栏杆、园路广场、围墙、雕塑、水池底壁）的维护。</w:t>
            </w:r>
          </w:p>
          <w:p>
            <w:pPr>
              <w:pStyle w:val="null3"/>
              <w:ind w:firstLine="400"/>
              <w:jc w:val="both"/>
            </w:pPr>
            <w:r>
              <w:rPr>
                <w:rFonts w:ascii="仿宋_GB2312" w:hAnsi="仿宋_GB2312" w:cs="仿宋_GB2312" w:eastAsia="仿宋_GB2312"/>
                <w:sz w:val="20"/>
              </w:rPr>
              <w:t>6-3</w:t>
            </w:r>
            <w:r>
              <w:rPr>
                <w:rFonts w:ascii="仿宋_GB2312" w:hAnsi="仿宋_GB2312" w:cs="仿宋_GB2312" w:eastAsia="仿宋_GB2312"/>
                <w:sz w:val="20"/>
              </w:rPr>
              <w:t>、设施设备维护：设备维护、设施维护、其他零星维护。</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、游客服务中心：讲解、咨询、租赁、形象展示、设施管理；材料消耗（接待物品）。</w:t>
            </w:r>
          </w:p>
          <w:p>
            <w:pPr>
              <w:pStyle w:val="null3"/>
              <w:ind w:firstLine="400"/>
              <w:jc w:val="both"/>
            </w:pPr>
            <w:r>
              <w:rPr>
                <w:rFonts w:ascii="仿宋_GB2312" w:hAnsi="仿宋_GB2312" w:cs="仿宋_GB2312" w:eastAsia="仿宋_GB2312"/>
                <w:sz w:val="20"/>
              </w:rPr>
              <w:t>6-5</w:t>
            </w:r>
            <w:r>
              <w:rPr>
                <w:rFonts w:ascii="仿宋_GB2312" w:hAnsi="仿宋_GB2312" w:cs="仿宋_GB2312" w:eastAsia="仿宋_GB2312"/>
                <w:sz w:val="20"/>
              </w:rPr>
              <w:t>、总价措施费、企业管理费、利润、规费、税费。</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、其他要求</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-1、投标人需在大型节日、活动期间提供氛围营造服务等，按采购人要求增加临时安保及其他服务人员，增加的各类费用经采购人审核后，根据实际发生费用据实结算。</w:t>
            </w:r>
          </w:p>
          <w:p>
            <w:pPr>
              <w:pStyle w:val="null3"/>
              <w:ind w:firstLine="400"/>
              <w:jc w:val="both"/>
            </w:pPr>
            <w:r>
              <w:rPr>
                <w:rFonts w:ascii="仿宋_GB2312" w:hAnsi="仿宋_GB2312" w:cs="仿宋_GB2312" w:eastAsia="仿宋_GB2312"/>
                <w:sz w:val="20"/>
              </w:rPr>
              <w:t>7-2、本标段投标人负责公园日常经营管理、经营资产的维护，经营收入分成按照招标人相关规定、政策、条例执行。</w:t>
            </w:r>
          </w:p>
          <w:p>
            <w:pPr>
              <w:pStyle w:val="null3"/>
              <w:ind w:firstLine="400"/>
              <w:jc w:val="both"/>
            </w:pPr>
            <w:r>
              <w:rPr>
                <w:rFonts w:ascii="仿宋_GB2312" w:hAnsi="仿宋_GB2312" w:cs="仿宋_GB2312" w:eastAsia="仿宋_GB2312"/>
                <w:sz w:val="20"/>
              </w:rPr>
              <w:t>7-3、本标段投标人需根据公园管理实际情况及委托人要求为园区购买公众责任险等相关险种。</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4个月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4个月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甲方次月对乙方上一月的物业管理服务进行考核，按照《曲江新区公园管理考核办法》、《曲江新区公园管理维护标准》的内容进行考核，每月15日之前甲方按照考核结果，确认金额支付上月管理服务费用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中标供应商在领取中标通知书前，需向采购代理机构提交纸质版响应文件2份，纸质版文件须为电子响应文件的打印版。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2024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2024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2024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授权书及授权代表本单位证明</w:t>
            </w:r>
          </w:p>
        </w:tc>
        <w:tc>
          <w:tcPr>
            <w:tcW w:type="dxa" w:w="3322"/>
          </w:tcPr>
          <w:p>
            <w:pPr>
              <w:pStyle w:val="null3"/>
            </w:pPr>
            <w:r>
              <w:rPr>
                <w:rFonts w:ascii="仿宋_GB2312" w:hAnsi="仿宋_GB2312" w:cs="仿宋_GB2312" w:eastAsia="仿宋_GB2312"/>
              </w:rPr>
              <w:t>投标人应授权合法的人员参加投标全过程，法定代表人（或负责人）委托代理人参加投标时，应提供法定代表人委托授权书及被授权人的参保缴费证明（须赋可查询的验证编号或验证二维码）；法定代表人（或负责人）亲自参加投标时，应提供法定代表人（或负责人）身份证，并与营业执照上信息一致。</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授权书及授权代表本单位证明</w:t>
            </w:r>
          </w:p>
        </w:tc>
        <w:tc>
          <w:tcPr>
            <w:tcW w:type="dxa" w:w="3322"/>
          </w:tcPr>
          <w:p>
            <w:pPr>
              <w:pStyle w:val="null3"/>
            </w:pPr>
            <w:r>
              <w:rPr>
                <w:rFonts w:ascii="仿宋_GB2312" w:hAnsi="仿宋_GB2312" w:cs="仿宋_GB2312" w:eastAsia="仿宋_GB2312"/>
              </w:rPr>
              <w:t>投标人应授权合法的人员参加投标全过程，法定代表人（或负责人）委托代理人参加投标时，应提供法定代表人委托授权书及被授权人的参保缴费证明（须赋可查询的验证编号或验证二维码）；法定代表人（或负责人）亲自参加投标时，应提供法定代表人（或负责人）身份证，并与营业执照上信息一致。</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授权书及授权代表本单位证明</w:t>
            </w:r>
          </w:p>
        </w:tc>
        <w:tc>
          <w:tcPr>
            <w:tcW w:type="dxa" w:w="3322"/>
          </w:tcPr>
          <w:p>
            <w:pPr>
              <w:pStyle w:val="null3"/>
            </w:pPr>
            <w:r>
              <w:rPr>
                <w:rFonts w:ascii="仿宋_GB2312" w:hAnsi="仿宋_GB2312" w:cs="仿宋_GB2312" w:eastAsia="仿宋_GB2312"/>
              </w:rPr>
              <w:t>投标人应授权合法的人员参加投标全过程，法定代表人（或负责人）委托代理人参加投标时，应提供法定代表人委托授权书及被授权人的参保缴费证明（须赋可查询的验证编号或验证二维码）；法定代表人（或负责人）亲自参加投标时，应提供法定代表人（或负责人）身份证，并与营业执照上信息一致。</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按招标文件要求签字或盖章。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采购预算或最高限价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数量</w:t>
            </w:r>
          </w:p>
        </w:tc>
        <w:tc>
          <w:tcPr>
            <w:tcW w:type="dxa" w:w="3322"/>
          </w:tcPr>
          <w:p>
            <w:pPr>
              <w:pStyle w:val="null3"/>
            </w:pPr>
            <w:r>
              <w:rPr>
                <w:rFonts w:ascii="仿宋_GB2312" w:hAnsi="仿宋_GB2312" w:cs="仿宋_GB2312" w:eastAsia="仿宋_GB2312"/>
              </w:rPr>
              <w:t>投标内容未出现漏项或数量与要求不符。</w:t>
            </w:r>
          </w:p>
        </w:tc>
        <w:tc>
          <w:tcPr>
            <w:tcW w:type="dxa" w:w="1661"/>
          </w:tcPr>
          <w:p>
            <w:pPr>
              <w:pStyle w:val="null3"/>
            </w:pPr>
            <w:r>
              <w:rPr>
                <w:rFonts w:ascii="仿宋_GB2312" w:hAnsi="仿宋_GB2312" w:cs="仿宋_GB2312" w:eastAsia="仿宋_GB2312"/>
              </w:rPr>
              <w:t>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实质性偏离</w:t>
            </w:r>
          </w:p>
        </w:tc>
        <w:tc>
          <w:tcPr>
            <w:tcW w:type="dxa" w:w="3322"/>
          </w:tcPr>
          <w:p>
            <w:pPr>
              <w:pStyle w:val="null3"/>
            </w:pPr>
            <w:r>
              <w:rPr>
                <w:rFonts w:ascii="仿宋_GB2312" w:hAnsi="仿宋_GB2312" w:cs="仿宋_GB2312" w:eastAsia="仿宋_GB2312"/>
              </w:rPr>
              <w:t>完全响应招标文件要求的各项技术（服务）、商务实质性条款。</w:t>
            </w:r>
          </w:p>
        </w:tc>
        <w:tc>
          <w:tcPr>
            <w:tcW w:type="dxa" w:w="1661"/>
          </w:tcPr>
          <w:p>
            <w:pPr>
              <w:pStyle w:val="null3"/>
            </w:pPr>
            <w:r>
              <w:rPr>
                <w:rFonts w:ascii="仿宋_GB2312" w:hAnsi="仿宋_GB2312" w:cs="仿宋_GB2312" w:eastAsia="仿宋_GB2312"/>
              </w:rPr>
              <w:t>商务条款（合同条款）偏离表.docx 技术偏离表.docx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按招标文件要求签字或盖章。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采购预算或最高限价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数量</w:t>
            </w:r>
          </w:p>
        </w:tc>
        <w:tc>
          <w:tcPr>
            <w:tcW w:type="dxa" w:w="3322"/>
          </w:tcPr>
          <w:p>
            <w:pPr>
              <w:pStyle w:val="null3"/>
            </w:pPr>
            <w:r>
              <w:rPr>
                <w:rFonts w:ascii="仿宋_GB2312" w:hAnsi="仿宋_GB2312" w:cs="仿宋_GB2312" w:eastAsia="仿宋_GB2312"/>
              </w:rPr>
              <w:t>投标内容未出现漏项或数量与要求不符。</w:t>
            </w:r>
          </w:p>
        </w:tc>
        <w:tc>
          <w:tcPr>
            <w:tcW w:type="dxa" w:w="1661"/>
          </w:tcPr>
          <w:p>
            <w:pPr>
              <w:pStyle w:val="null3"/>
            </w:pPr>
            <w:r>
              <w:rPr>
                <w:rFonts w:ascii="仿宋_GB2312" w:hAnsi="仿宋_GB2312" w:cs="仿宋_GB2312" w:eastAsia="仿宋_GB2312"/>
              </w:rPr>
              <w:t>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实质性偏离</w:t>
            </w:r>
          </w:p>
        </w:tc>
        <w:tc>
          <w:tcPr>
            <w:tcW w:type="dxa" w:w="3322"/>
          </w:tcPr>
          <w:p>
            <w:pPr>
              <w:pStyle w:val="null3"/>
            </w:pPr>
            <w:r>
              <w:rPr>
                <w:rFonts w:ascii="仿宋_GB2312" w:hAnsi="仿宋_GB2312" w:cs="仿宋_GB2312" w:eastAsia="仿宋_GB2312"/>
              </w:rPr>
              <w:t>完全响应招标文件要求的各项技术（服务）、商务实质性条款。</w:t>
            </w:r>
          </w:p>
        </w:tc>
        <w:tc>
          <w:tcPr>
            <w:tcW w:type="dxa" w:w="1661"/>
          </w:tcPr>
          <w:p>
            <w:pPr>
              <w:pStyle w:val="null3"/>
            </w:pPr>
            <w:r>
              <w:rPr>
                <w:rFonts w:ascii="仿宋_GB2312" w:hAnsi="仿宋_GB2312" w:cs="仿宋_GB2312" w:eastAsia="仿宋_GB2312"/>
              </w:rPr>
              <w:t>商务条款（合同条款）偏离表.docx 技术偏离表.docx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按招标文件要求签字或盖章。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采购预算或最高限价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数量</w:t>
            </w:r>
          </w:p>
        </w:tc>
        <w:tc>
          <w:tcPr>
            <w:tcW w:type="dxa" w:w="3322"/>
          </w:tcPr>
          <w:p>
            <w:pPr>
              <w:pStyle w:val="null3"/>
            </w:pPr>
            <w:r>
              <w:rPr>
                <w:rFonts w:ascii="仿宋_GB2312" w:hAnsi="仿宋_GB2312" w:cs="仿宋_GB2312" w:eastAsia="仿宋_GB2312"/>
              </w:rPr>
              <w:t>投标内容未出现漏项或数量与要求不符。</w:t>
            </w:r>
          </w:p>
        </w:tc>
        <w:tc>
          <w:tcPr>
            <w:tcW w:type="dxa" w:w="1661"/>
          </w:tcPr>
          <w:p>
            <w:pPr>
              <w:pStyle w:val="null3"/>
            </w:pPr>
            <w:r>
              <w:rPr>
                <w:rFonts w:ascii="仿宋_GB2312" w:hAnsi="仿宋_GB2312" w:cs="仿宋_GB2312" w:eastAsia="仿宋_GB2312"/>
              </w:rPr>
              <w:t>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实质性偏离</w:t>
            </w:r>
          </w:p>
        </w:tc>
        <w:tc>
          <w:tcPr>
            <w:tcW w:type="dxa" w:w="3322"/>
          </w:tcPr>
          <w:p>
            <w:pPr>
              <w:pStyle w:val="null3"/>
            </w:pPr>
            <w:r>
              <w:rPr>
                <w:rFonts w:ascii="仿宋_GB2312" w:hAnsi="仿宋_GB2312" w:cs="仿宋_GB2312" w:eastAsia="仿宋_GB2312"/>
              </w:rPr>
              <w:t>完全响应招标文件要求的各项技术（服务）、商务实质性条款。</w:t>
            </w:r>
          </w:p>
        </w:tc>
        <w:tc>
          <w:tcPr>
            <w:tcW w:type="dxa" w:w="1661"/>
          </w:tcPr>
          <w:p>
            <w:pPr>
              <w:pStyle w:val="null3"/>
            </w:pPr>
            <w:r>
              <w:rPr>
                <w:rFonts w:ascii="仿宋_GB2312" w:hAnsi="仿宋_GB2312" w:cs="仿宋_GB2312" w:eastAsia="仿宋_GB2312"/>
              </w:rPr>
              <w:t>商务条款（合同条款）偏离表.docx 技术偏离表.docx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针对本项目提供实施服务方案： 1、本项目整体实施方案 2、公园保洁服务措施 3、公园保洁工作计划 4、公园保洁服务拟投入设备情况 5、公厕日常管理方案 6、公厕日常维护方案 7、提供重大活动、节日期间和灾害天气服务方案 8、提供突发事件（包括火灾、地震、洪涝灾害等自然灾害，及公共卫生安全事件等）的应急预案 9、提供景区重点区域服务方案 完整提供上述9项内容的得45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针对本项目提供人员配置方案： 1、人员岗位设置方案。 2、企业管理人员相关经验。 3、人员服装配置方案。 4、人员管理方案。 完整提供上述4项内容的得20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针对本项目提供服务质量保障方案： 1、组织保障方案； 2、相关设备保障方案； 完整提供上述2项内容的得10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针对本项目服务承诺， 1、项目实施服务承诺； 2、服务质量目标承诺； 3、针对本项目提出合理化建议。 完整提供上述3项内容的得15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针对本项目提供实施服务方案： 1、本项目整体实施计划。 2、公园绿化修剪方案。 3、公园草坪施肥方案。 4、公园绿植病虫害防治方案。 5、公园杂草清除服务方案。 6、公园景观日常维护方案。 7、提供重大活动、节日期间服务方案。 8、提供突发事件（包括火灾、地震、洪涝灾害等自然灾害，及公共卫生安全事件等）的应急预案。 9、提供景区重点区域服务方案。 完整提供上述9项内容的得45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针对本项目提供人员配置方案： 1、人员岗位设置方案。 2、企业管理人员相关经验。 3、人员组织架构配置方案。 4、人员服装配置方案。 完整提供上述4项内容的得20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针对本项目提供服务质量保障方案： 1、组织保障方案； 2、相关设备保障方案； 完整提供上述2项内容的得10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针对本项目服务承诺， 1、项目实施服务承诺； 2、服务质量目标承诺； 3、针对本项目提出合理化建议。 完整提供上述3项内容的得15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针对本项目提供实施服务方案： 1、本项目整体实施计划。 2、公园安保巡逻服务方案。 3、公园监控服务方案。 4、公园公共设施维护方案。 5、公园公共设施设备运行台账记录方案。 6、公园硬覆盖修缮维护方案。 7、提供重大活动、节日期间服务方案。 8、提供突发事件（包括火灾、地震、洪涝灾害等自然灾害，及公共卫生安全事件等）的应急预案。 9、提供景区重点区域服务方案。 完整提供上述9项内容的得45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针对本项目提供人员配置方案： 1、人员岗位设置方案。 2、企业管理人员相关经验。 3、人员组织架构配置方案。 4、人员服装配置方案。 完整提供上述4项内容的得20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针对本项目提供服务质量保障方案： 1、组织保障方案； 2、相关设备保障方案； 完整提供上述2项内容的得10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针对本项目服务承诺， 1、项目实施服务承诺； 2、服务质量目标承诺； 3、针对本项目提出合理化建议。 完整提供上述3项内容的得15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详见附件：商务条款（合同条款）偏离表.docx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详见附件：商务条款（合同条款）偏离表.docx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详见附件：技术偏离表.docx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详见附件：商务条款（合同条款）偏离表.docx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