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CC558">
      <w:pPr>
        <w:adjustRightInd w:val="0"/>
        <w:snapToGrid w:val="0"/>
        <w:spacing w:line="360" w:lineRule="auto"/>
        <w:ind w:left="105" w:leftChars="50" w:firstLine="402" w:firstLineChars="200"/>
        <w:rPr>
          <w:rFonts w:ascii="宋体" w:hAnsi="宋体" w:eastAsia="宋体" w:cs="Times New Roman"/>
          <w:sz w:val="20"/>
          <w:szCs w:val="20"/>
        </w:rPr>
      </w:pPr>
      <w:r>
        <w:rPr>
          <w:rFonts w:ascii="宋体" w:hAnsi="宋体" w:eastAsia="宋体" w:cs="Times New Roman"/>
          <w:b/>
          <w:sz w:val="20"/>
          <w:szCs w:val="20"/>
        </w:rPr>
        <w:t>甲方：（</w:t>
      </w:r>
      <w:r>
        <w:rPr>
          <w:rFonts w:ascii="宋体" w:hAnsi="宋体" w:eastAsia="宋体" w:cs="Times New Roman"/>
          <w:sz w:val="20"/>
          <w:szCs w:val="20"/>
        </w:rPr>
        <w:t>前款所称采购人）         住所：</w:t>
      </w:r>
    </w:p>
    <w:p w14:paraId="0E4F166E">
      <w:pPr>
        <w:adjustRightInd w:val="0"/>
        <w:snapToGrid w:val="0"/>
        <w:spacing w:line="360" w:lineRule="auto"/>
        <w:ind w:left="105" w:leftChars="50" w:firstLine="402" w:firstLineChars="200"/>
        <w:rPr>
          <w:rFonts w:ascii="宋体" w:hAnsi="宋体" w:eastAsia="宋体" w:cs="Times New Roman"/>
          <w:sz w:val="20"/>
          <w:szCs w:val="20"/>
        </w:rPr>
      </w:pPr>
      <w:r>
        <w:rPr>
          <w:rFonts w:ascii="宋体" w:hAnsi="宋体" w:eastAsia="宋体" w:cs="Times New Roman"/>
          <w:b/>
          <w:sz w:val="20"/>
          <w:szCs w:val="20"/>
        </w:rPr>
        <w:t>乙方：</w:t>
      </w:r>
      <w:r>
        <w:rPr>
          <w:rFonts w:ascii="宋体" w:hAnsi="宋体" w:eastAsia="宋体" w:cs="Times New Roman"/>
          <w:sz w:val="20"/>
          <w:szCs w:val="20"/>
        </w:rPr>
        <w:t>（前款所称成交供应商）     住所：</w:t>
      </w:r>
    </w:p>
    <w:p w14:paraId="5FF1D8B4">
      <w:pPr>
        <w:adjustRightInd w:val="0"/>
        <w:snapToGrid w:val="0"/>
        <w:spacing w:line="360" w:lineRule="auto"/>
        <w:ind w:firstLine="402" w:firstLineChars="200"/>
        <w:rPr>
          <w:rFonts w:ascii="宋体" w:hAnsi="宋体" w:eastAsia="宋体" w:cs="Times New Roman"/>
          <w:b/>
          <w:sz w:val="20"/>
          <w:szCs w:val="20"/>
        </w:rPr>
      </w:pPr>
      <w:bookmarkStart w:id="0" w:name="_Toc19515384"/>
      <w:r>
        <w:rPr>
          <w:rFonts w:ascii="宋体" w:hAnsi="宋体" w:eastAsia="宋体" w:cs="Times New Roman"/>
          <w:b/>
          <w:sz w:val="20"/>
          <w:szCs w:val="20"/>
        </w:rPr>
        <w:t>一、合同内容</w:t>
      </w:r>
    </w:p>
    <w:p w14:paraId="0C67F091">
      <w:pPr>
        <w:adjustRightInd w:val="0"/>
        <w:snapToGrid w:val="0"/>
        <w:spacing w:line="360" w:lineRule="auto"/>
        <w:ind w:left="105" w:leftChars="50" w:firstLine="400" w:firstLineChars="200"/>
        <w:rPr>
          <w:rFonts w:ascii="宋体" w:hAnsi="宋体" w:eastAsia="宋体" w:cs="Times New Roman"/>
          <w:sz w:val="20"/>
          <w:szCs w:val="20"/>
        </w:rPr>
      </w:pPr>
      <w:r>
        <w:rPr>
          <w:rFonts w:ascii="宋体" w:hAnsi="宋体" w:eastAsia="宋体" w:cs="Times New Roman"/>
          <w:sz w:val="20"/>
          <w:szCs w:val="20"/>
        </w:rPr>
        <w:t>（标的、数量、质量等）</w:t>
      </w:r>
      <w:bookmarkEnd w:id="0"/>
      <w:bookmarkStart w:id="1" w:name="_Toc19515385"/>
    </w:p>
    <w:p w14:paraId="52955139">
      <w:pPr>
        <w:adjustRightInd w:val="0"/>
        <w:snapToGrid w:val="0"/>
        <w:spacing w:line="360" w:lineRule="auto"/>
        <w:ind w:firstLine="402" w:firstLineChars="200"/>
        <w:rPr>
          <w:rFonts w:ascii="宋体" w:hAnsi="宋体" w:eastAsia="宋体" w:cs="Times New Roman"/>
          <w:b/>
          <w:sz w:val="20"/>
          <w:szCs w:val="20"/>
        </w:rPr>
      </w:pPr>
      <w:r>
        <w:rPr>
          <w:rFonts w:ascii="宋体" w:hAnsi="宋体" w:eastAsia="宋体" w:cs="Times New Roman"/>
          <w:b/>
          <w:sz w:val="20"/>
          <w:szCs w:val="20"/>
        </w:rPr>
        <w:t>二、合同价款</w:t>
      </w:r>
      <w:bookmarkEnd w:id="1"/>
    </w:p>
    <w:p w14:paraId="3BD02002">
      <w:pPr>
        <w:adjustRightInd w:val="0"/>
        <w:snapToGrid w:val="0"/>
        <w:spacing w:line="360" w:lineRule="auto"/>
        <w:ind w:left="105" w:leftChars="50" w:firstLine="400" w:firstLineChars="200"/>
        <w:rPr>
          <w:rFonts w:ascii="宋体" w:hAnsi="宋体" w:eastAsia="宋体" w:cs="Times New Roman"/>
          <w:sz w:val="20"/>
          <w:szCs w:val="20"/>
        </w:rPr>
      </w:pPr>
      <w:r>
        <w:rPr>
          <w:rFonts w:ascii="宋体" w:hAnsi="宋体" w:eastAsia="宋体" w:cs="Times New Roman"/>
          <w:sz w:val="20"/>
          <w:szCs w:val="20"/>
        </w:rPr>
        <w:t>1、合同总价：</w:t>
      </w:r>
    </w:p>
    <w:p w14:paraId="1DE8EFB1">
      <w:pPr>
        <w:adjustRightInd w:val="0"/>
        <w:snapToGrid w:val="0"/>
        <w:spacing w:line="360" w:lineRule="auto"/>
        <w:ind w:left="105" w:leftChars="50" w:firstLine="400" w:firstLineChars="200"/>
        <w:rPr>
          <w:rFonts w:ascii="宋体" w:hAnsi="宋体" w:eastAsia="宋体" w:cs="Times New Roman"/>
          <w:color w:val="000000" w:themeColor="text1"/>
          <w:sz w:val="20"/>
          <w:szCs w:val="20"/>
          <w14:textFill>
            <w14:solidFill>
              <w14:schemeClr w14:val="tx1"/>
            </w14:solidFill>
          </w14:textFill>
        </w:rPr>
      </w:pPr>
      <w:r>
        <w:rPr>
          <w:rFonts w:ascii="宋体" w:hAnsi="宋体" w:eastAsia="宋体" w:cs="Times New Roman"/>
          <w:sz w:val="20"/>
          <w:szCs w:val="20"/>
        </w:rPr>
        <w:t>2、合同总价包括：</w:t>
      </w:r>
      <w:r>
        <w:rPr>
          <w:rFonts w:hint="eastAsia" w:ascii="宋体" w:hAnsi="宋体" w:eastAsia="宋体" w:cs="Times New Roman"/>
          <w:color w:val="000000" w:themeColor="text1"/>
          <w:sz w:val="20"/>
          <w:szCs w:val="20"/>
          <w14:textFill>
            <w14:solidFill>
              <w14:schemeClr w14:val="tx1"/>
            </w14:solidFill>
          </w14:textFill>
        </w:rPr>
        <w:t>完成本项目所需的全部费用，包含但不限于设计费、策划与制作费、运营服务费等。</w:t>
      </w:r>
    </w:p>
    <w:p w14:paraId="0A39CAE7">
      <w:pPr>
        <w:adjustRightInd w:val="0"/>
        <w:snapToGrid w:val="0"/>
        <w:spacing w:line="360" w:lineRule="auto"/>
        <w:ind w:left="105" w:leftChars="50" w:firstLine="400" w:firstLineChars="200"/>
        <w:rPr>
          <w:rFonts w:ascii="宋体" w:hAnsi="宋体" w:eastAsia="宋体" w:cs="Times New Roman"/>
          <w:color w:val="000000" w:themeColor="text1"/>
          <w:sz w:val="20"/>
          <w:szCs w:val="20"/>
          <w14:textFill>
            <w14:solidFill>
              <w14:schemeClr w14:val="tx1"/>
            </w14:solidFill>
          </w14:textFill>
        </w:rPr>
      </w:pPr>
      <w:r>
        <w:rPr>
          <w:rFonts w:ascii="宋体" w:hAnsi="宋体" w:eastAsia="宋体" w:cs="Times New Roman"/>
          <w:color w:val="000000" w:themeColor="text1"/>
          <w:sz w:val="20"/>
          <w:szCs w:val="20"/>
          <w14:textFill>
            <w14:solidFill>
              <w14:schemeClr w14:val="tx1"/>
            </w14:solidFill>
          </w14:textFill>
        </w:rPr>
        <w:t>3、合同总价一次包死，不受市场价变化的影响。</w:t>
      </w:r>
      <w:bookmarkStart w:id="2" w:name="_Toc19515386"/>
    </w:p>
    <w:p w14:paraId="056121D0">
      <w:pPr>
        <w:adjustRightInd w:val="0"/>
        <w:snapToGrid w:val="0"/>
        <w:spacing w:line="360" w:lineRule="auto"/>
        <w:ind w:firstLine="402" w:firstLineChars="200"/>
        <w:rPr>
          <w:rFonts w:ascii="宋体" w:hAnsi="宋体" w:eastAsia="宋体" w:cs="Times New Roman"/>
          <w:b/>
          <w:color w:val="auto"/>
          <w:sz w:val="20"/>
          <w:szCs w:val="20"/>
        </w:rPr>
      </w:pPr>
      <w:r>
        <w:rPr>
          <w:rFonts w:ascii="宋体" w:hAnsi="宋体" w:eastAsia="宋体" w:cs="Times New Roman"/>
          <w:b/>
          <w:color w:val="auto"/>
          <w:sz w:val="20"/>
          <w:szCs w:val="20"/>
        </w:rPr>
        <w:t>三、合同结算</w:t>
      </w:r>
      <w:bookmarkEnd w:id="2"/>
    </w:p>
    <w:p w14:paraId="712E544F">
      <w:pPr>
        <w:adjustRightInd w:val="0"/>
        <w:snapToGrid w:val="0"/>
        <w:spacing w:line="360" w:lineRule="auto"/>
        <w:ind w:left="105" w:leftChars="50" w:firstLine="400" w:firstLineChars="200"/>
        <w:rPr>
          <w:rFonts w:ascii="宋体" w:hAnsi="宋体" w:eastAsia="宋体" w:cs="Times New Roman"/>
          <w:color w:val="000000" w:themeColor="text1"/>
          <w:sz w:val="20"/>
          <w:szCs w:val="20"/>
          <w14:textFill>
            <w14:solidFill>
              <w14:schemeClr w14:val="tx1"/>
            </w14:solidFill>
          </w14:textFill>
        </w:rPr>
      </w:pPr>
      <w:r>
        <w:rPr>
          <w:rFonts w:ascii="宋体" w:hAnsi="宋体" w:eastAsia="宋体" w:cs="Times New Roman"/>
          <w:color w:val="000000" w:themeColor="text1"/>
          <w:sz w:val="20"/>
          <w:szCs w:val="20"/>
          <w14:textFill>
            <w14:solidFill>
              <w14:schemeClr w14:val="tx1"/>
            </w14:solidFill>
          </w14:textFill>
        </w:rPr>
        <w:t>1、资金支付条件及时间：</w:t>
      </w:r>
    </w:p>
    <w:p w14:paraId="7D8FC7EC">
      <w:pPr>
        <w:widowControl/>
        <w:spacing w:line="312" w:lineRule="auto"/>
        <w:ind w:firstLine="400" w:firstLineChars="200"/>
        <w:jc w:val="left"/>
        <w:rPr>
          <w:rFonts w:hint="eastAsia"/>
          <w:color w:val="000000" w:themeColor="text1"/>
          <w:kern w:val="0"/>
          <w:sz w:val="20"/>
          <w:szCs w:val="20"/>
          <w:lang w:val="zh-CN" w:eastAsia="zh-Hans"/>
          <w14:textFill>
            <w14:solidFill>
              <w14:schemeClr w14:val="tx1"/>
            </w14:solidFill>
          </w14:textFill>
        </w:rPr>
      </w:pPr>
      <w:r>
        <w:rPr>
          <w:rFonts w:hint="eastAsia"/>
          <w:color w:val="000000" w:themeColor="text1"/>
          <w:kern w:val="0"/>
          <w:sz w:val="20"/>
          <w:szCs w:val="20"/>
          <w:lang w:val="zh-CN" w:eastAsia="zh-Hans"/>
          <w14:textFill>
            <w14:solidFill>
              <w14:schemeClr w14:val="tx1"/>
            </w14:solidFill>
          </w14:textFill>
        </w:rPr>
        <w:t>采购包1：付款条件说明：合同签订后15个工作日 ，达到付款条件起 30 日内，支付合同总金额的 40.00%。</w:t>
      </w:r>
    </w:p>
    <w:p w14:paraId="095632B2">
      <w:pPr>
        <w:widowControl/>
        <w:spacing w:line="312" w:lineRule="auto"/>
        <w:ind w:firstLine="400" w:firstLineChars="200"/>
        <w:jc w:val="left"/>
        <w:rPr>
          <w:rFonts w:hint="eastAsia"/>
          <w:color w:val="000000" w:themeColor="text1"/>
          <w:kern w:val="0"/>
          <w:sz w:val="20"/>
          <w:szCs w:val="20"/>
          <w:lang w:val="zh-CN" w:eastAsia="zh-Hans"/>
          <w14:textFill>
            <w14:solidFill>
              <w14:schemeClr w14:val="tx1"/>
            </w14:solidFill>
          </w14:textFill>
        </w:rPr>
      </w:pPr>
      <w:r>
        <w:rPr>
          <w:rFonts w:hint="eastAsia"/>
          <w:color w:val="000000" w:themeColor="text1"/>
          <w:kern w:val="0"/>
          <w:sz w:val="20"/>
          <w:szCs w:val="20"/>
          <w:lang w:val="zh-CN" w:eastAsia="zh-Hans"/>
          <w14:textFill>
            <w14:solidFill>
              <w14:schemeClr w14:val="tx1"/>
            </w14:solidFill>
          </w14:textFill>
        </w:rPr>
        <w:t>采购包1： 付款条件说明： 工作完成总体成果的50.00%，提交阶段性工作总结经过考核合格后 ，达到付款条件起 30 日内，支付合同总金额的 50.00%。</w:t>
      </w:r>
    </w:p>
    <w:p w14:paraId="379FCBB6">
      <w:pPr>
        <w:widowControl/>
        <w:spacing w:line="312" w:lineRule="auto"/>
        <w:ind w:firstLine="400" w:firstLineChars="200"/>
        <w:jc w:val="left"/>
        <w:rPr>
          <w:rFonts w:hint="eastAsia"/>
          <w:color w:val="000000" w:themeColor="text1"/>
          <w:kern w:val="0"/>
          <w:sz w:val="20"/>
          <w:szCs w:val="20"/>
          <w:lang w:val="zh-CN" w:eastAsia="zh-Hans"/>
          <w14:textFill>
            <w14:solidFill>
              <w14:schemeClr w14:val="tx1"/>
            </w14:solidFill>
          </w14:textFill>
        </w:rPr>
      </w:pPr>
      <w:r>
        <w:rPr>
          <w:rFonts w:hint="eastAsia"/>
          <w:color w:val="000000" w:themeColor="text1"/>
          <w:kern w:val="0"/>
          <w:sz w:val="20"/>
          <w:szCs w:val="20"/>
          <w:lang w:val="zh-CN" w:eastAsia="zh-Hans"/>
          <w14:textFill>
            <w14:solidFill>
              <w14:schemeClr w14:val="tx1"/>
            </w14:solidFill>
          </w14:textFill>
        </w:rPr>
        <w:t>采购包1： 付款条件说明：服务期满后，且剩余工作成果经验收合格后 ，达到付款条件起 30 日内，支付合同总金额的 10.00%。</w:t>
      </w:r>
      <w:bookmarkStart w:id="5" w:name="_GoBack"/>
      <w:bookmarkEnd w:id="5"/>
    </w:p>
    <w:p w14:paraId="4E02012A">
      <w:pPr>
        <w:widowControl/>
        <w:adjustRightInd/>
        <w:snapToGrid/>
        <w:spacing w:line="312" w:lineRule="auto"/>
        <w:ind w:firstLine="400" w:firstLineChars="200"/>
        <w:jc w:val="left"/>
        <w:rPr>
          <w:rFonts w:hint="eastAsia" w:asciiTheme="minorHAnsi" w:hAnsiTheme="minorHAnsi" w:cstheme="minorBidi"/>
          <w:color w:val="000000" w:themeColor="text1"/>
          <w:kern w:val="0"/>
          <w:sz w:val="20"/>
          <w:szCs w:val="20"/>
          <w:lang w:val="zh-CN" w:eastAsia="zh-Hans"/>
          <w14:textFill>
            <w14:solidFill>
              <w14:schemeClr w14:val="tx1"/>
            </w14:solidFill>
          </w14:textFill>
        </w:rPr>
      </w:pPr>
      <w:r>
        <w:rPr>
          <w:rFonts w:hint="eastAsia" w:asciiTheme="minorHAnsi" w:hAnsiTheme="minorHAnsi" w:cstheme="minorBidi"/>
          <w:color w:val="000000" w:themeColor="text1"/>
          <w:kern w:val="0"/>
          <w:sz w:val="20"/>
          <w:szCs w:val="20"/>
          <w:lang w:val="zh-CN" w:eastAsia="zh-Hans"/>
          <w14:textFill>
            <w14:solidFill>
              <w14:schemeClr w14:val="tx1"/>
            </w14:solidFill>
          </w14:textFill>
        </w:rPr>
        <w:t>2、项目考核标准</w:t>
      </w:r>
    </w:p>
    <w:p w14:paraId="7AC6CA87">
      <w:pPr>
        <w:widowControl/>
        <w:spacing w:line="312" w:lineRule="auto"/>
        <w:ind w:firstLine="400" w:firstLineChars="200"/>
        <w:jc w:val="left"/>
        <w:rPr>
          <w:color w:val="000000" w:themeColor="text1"/>
          <w:kern w:val="0"/>
          <w:sz w:val="20"/>
          <w:szCs w:val="20"/>
          <w:lang w:val="zh-CN" w:eastAsia="zh-Hans"/>
          <w14:textFill>
            <w14:solidFill>
              <w14:schemeClr w14:val="tx1"/>
            </w14:solidFill>
          </w14:textFill>
        </w:rPr>
      </w:pPr>
      <w:r>
        <w:rPr>
          <w:rFonts w:hint="eastAsia"/>
          <w:color w:val="000000" w:themeColor="text1"/>
          <w:kern w:val="0"/>
          <w:sz w:val="20"/>
          <w:szCs w:val="20"/>
          <w:lang w:val="zh-CN" w:eastAsia="zh-Hans"/>
          <w14:textFill>
            <w14:solidFill>
              <w14:schemeClr w14:val="tx1"/>
            </w14:solidFill>
          </w14:textFill>
        </w:rPr>
        <w:t>（1）根据项目总体情况完成相关比例项目，未完成考核不通过。</w:t>
      </w:r>
    </w:p>
    <w:p w14:paraId="0CB6E689">
      <w:pPr>
        <w:widowControl/>
        <w:spacing w:line="312" w:lineRule="auto"/>
        <w:ind w:firstLine="400" w:firstLineChars="200"/>
        <w:jc w:val="left"/>
        <w:rPr>
          <w:color w:val="000000" w:themeColor="text1"/>
          <w:kern w:val="0"/>
          <w:sz w:val="20"/>
          <w:szCs w:val="20"/>
          <w:lang w:val="zh-CN" w:eastAsia="zh-Hans"/>
          <w14:textFill>
            <w14:solidFill>
              <w14:schemeClr w14:val="tx1"/>
            </w14:solidFill>
          </w14:textFill>
        </w:rPr>
      </w:pPr>
      <w:r>
        <w:rPr>
          <w:rFonts w:hint="eastAsia"/>
          <w:color w:val="000000" w:themeColor="text1"/>
          <w:kern w:val="0"/>
          <w:sz w:val="20"/>
          <w:szCs w:val="20"/>
          <w:lang w:val="zh-CN" w:eastAsia="zh-Hans"/>
          <w14:textFill>
            <w14:solidFill>
              <w14:schemeClr w14:val="tx1"/>
            </w14:solidFill>
          </w14:textFill>
        </w:rPr>
        <w:t>（2）人员到位情况需与执行方投标文件一致。</w:t>
      </w:r>
    </w:p>
    <w:p w14:paraId="7874506B">
      <w:pPr>
        <w:widowControl/>
        <w:spacing w:line="312" w:lineRule="auto"/>
        <w:ind w:firstLine="400" w:firstLineChars="200"/>
        <w:jc w:val="left"/>
        <w:rPr>
          <w:color w:val="000000" w:themeColor="text1"/>
          <w:kern w:val="0"/>
          <w:sz w:val="20"/>
          <w:szCs w:val="20"/>
          <w:lang w:val="zh-CN" w:eastAsia="zh-Hans"/>
          <w14:textFill>
            <w14:solidFill>
              <w14:schemeClr w14:val="tx1"/>
            </w14:solidFill>
          </w14:textFill>
        </w:rPr>
      </w:pPr>
      <w:r>
        <w:rPr>
          <w:rFonts w:hint="eastAsia"/>
          <w:color w:val="000000" w:themeColor="text1"/>
          <w:kern w:val="0"/>
          <w:sz w:val="20"/>
          <w:szCs w:val="20"/>
          <w:lang w:val="zh-CN" w:eastAsia="zh-Hans"/>
          <w14:textFill>
            <w14:solidFill>
              <w14:schemeClr w14:val="tx1"/>
            </w14:solidFill>
          </w14:textFill>
        </w:rPr>
        <w:t>（3）能够在下达诉求24小时内做出服务响应。</w:t>
      </w:r>
    </w:p>
    <w:p w14:paraId="6CC74251">
      <w:pPr>
        <w:widowControl/>
        <w:spacing w:line="312" w:lineRule="auto"/>
        <w:ind w:firstLine="400" w:firstLineChars="200"/>
        <w:jc w:val="left"/>
        <w:rPr>
          <w:color w:val="000000" w:themeColor="text1"/>
          <w:kern w:val="0"/>
          <w:sz w:val="20"/>
          <w:szCs w:val="20"/>
          <w:lang w:val="zh-CN" w:eastAsia="zh-Hans"/>
          <w14:textFill>
            <w14:solidFill>
              <w14:schemeClr w14:val="tx1"/>
            </w14:solidFill>
          </w14:textFill>
        </w:rPr>
      </w:pPr>
      <w:r>
        <w:rPr>
          <w:rFonts w:hint="eastAsia"/>
          <w:color w:val="000000" w:themeColor="text1"/>
          <w:kern w:val="0"/>
          <w:sz w:val="20"/>
          <w:szCs w:val="20"/>
          <w:lang w:val="zh-CN" w:eastAsia="zh-Hans"/>
          <w14:textFill>
            <w14:solidFill>
              <w14:schemeClr w14:val="tx1"/>
            </w14:solidFill>
          </w14:textFill>
        </w:rPr>
        <w:t>（4）重要的新闻稿件，需要根据三审三校制度严格审核，无错误。</w:t>
      </w:r>
    </w:p>
    <w:p w14:paraId="6D0A191A">
      <w:pPr>
        <w:widowControl/>
        <w:spacing w:line="312" w:lineRule="auto"/>
        <w:ind w:firstLine="400" w:firstLineChars="200"/>
        <w:jc w:val="left"/>
        <w:rPr>
          <w:color w:val="000000" w:themeColor="text1"/>
          <w:kern w:val="0"/>
          <w:sz w:val="20"/>
          <w:szCs w:val="20"/>
          <w:lang w:val="zh-CN" w:eastAsia="zh-Hans"/>
          <w14:textFill>
            <w14:solidFill>
              <w14:schemeClr w14:val="tx1"/>
            </w14:solidFill>
          </w14:textFill>
        </w:rPr>
      </w:pPr>
      <w:r>
        <w:rPr>
          <w:rFonts w:hint="eastAsia"/>
          <w:color w:val="000000" w:themeColor="text1"/>
          <w:kern w:val="0"/>
          <w:sz w:val="20"/>
          <w:szCs w:val="20"/>
          <w:lang w:val="zh-CN" w:eastAsia="zh-Hans"/>
          <w14:textFill>
            <w14:solidFill>
              <w14:schemeClr w14:val="tx1"/>
            </w14:solidFill>
          </w14:textFill>
        </w:rPr>
        <w:t>（5）平台运营过程中，各平台日常运营不涉及敏感话题。</w:t>
      </w:r>
    </w:p>
    <w:p w14:paraId="34803D15">
      <w:pPr>
        <w:widowControl/>
        <w:spacing w:line="312" w:lineRule="auto"/>
        <w:ind w:firstLine="400" w:firstLineChars="200"/>
        <w:jc w:val="left"/>
        <w:rPr>
          <w:color w:val="000000" w:themeColor="text1"/>
          <w:kern w:val="0"/>
          <w:sz w:val="20"/>
          <w:szCs w:val="20"/>
          <w:lang w:val="zh-CN" w:eastAsia="zh-Hans"/>
          <w14:textFill>
            <w14:solidFill>
              <w14:schemeClr w14:val="tx1"/>
            </w14:solidFill>
          </w14:textFill>
        </w:rPr>
      </w:pPr>
      <w:r>
        <w:rPr>
          <w:rFonts w:hint="eastAsia"/>
          <w:color w:val="000000" w:themeColor="text1"/>
          <w:kern w:val="0"/>
          <w:sz w:val="20"/>
          <w:szCs w:val="20"/>
          <w:lang w:val="zh-CN" w:eastAsia="zh-Hans"/>
          <w14:textFill>
            <w14:solidFill>
              <w14:schemeClr w14:val="tx1"/>
            </w14:solidFill>
          </w14:textFill>
        </w:rPr>
        <w:t>（6）积极配合和协助采购人完成文件的审查、技术答疑和评审等工作。</w:t>
      </w:r>
    </w:p>
    <w:p w14:paraId="7615E789">
      <w:pPr>
        <w:widowControl/>
        <w:spacing w:line="312" w:lineRule="auto"/>
        <w:ind w:firstLine="400" w:firstLineChars="200"/>
        <w:jc w:val="left"/>
        <w:rPr>
          <w:color w:val="000000" w:themeColor="text1"/>
          <w:kern w:val="0"/>
          <w:sz w:val="20"/>
          <w:szCs w:val="20"/>
          <w:lang w:val="zh-CN" w:eastAsia="zh-Hans"/>
          <w14:textFill>
            <w14:solidFill>
              <w14:schemeClr w14:val="tx1"/>
            </w14:solidFill>
          </w14:textFill>
        </w:rPr>
      </w:pPr>
      <w:r>
        <w:rPr>
          <w:rFonts w:hint="eastAsia"/>
          <w:color w:val="000000" w:themeColor="text1"/>
          <w:kern w:val="0"/>
          <w:sz w:val="20"/>
          <w:szCs w:val="20"/>
          <w:lang w:val="zh-CN" w:eastAsia="zh-Hans"/>
          <w14:textFill>
            <w14:solidFill>
              <w14:schemeClr w14:val="tx1"/>
            </w14:solidFill>
          </w14:textFill>
        </w:rPr>
        <w:t>（7）所提供的服务及递交的成果具有或已取得合法知识产权，保证所供产品及服务不会出现因第三方提出侵犯其专利权、商标权或其它知识产权而引发法律或经济纠纷。</w:t>
      </w:r>
    </w:p>
    <w:p w14:paraId="1CA0BB6B">
      <w:pPr>
        <w:widowControl/>
        <w:spacing w:line="312" w:lineRule="auto"/>
        <w:ind w:firstLine="400" w:firstLineChars="200"/>
        <w:jc w:val="left"/>
        <w:rPr>
          <w:color w:val="000000" w:themeColor="text1"/>
          <w:kern w:val="0"/>
          <w:sz w:val="20"/>
          <w:szCs w:val="20"/>
          <w:lang w:val="zh-CN" w:eastAsia="zh-Hans"/>
          <w14:textFill>
            <w14:solidFill>
              <w14:schemeClr w14:val="tx1"/>
            </w14:solidFill>
          </w14:textFill>
        </w:rPr>
      </w:pPr>
      <w:r>
        <w:rPr>
          <w:rFonts w:hint="eastAsia"/>
          <w:color w:val="000000" w:themeColor="text1"/>
          <w:kern w:val="0"/>
          <w:sz w:val="20"/>
          <w:szCs w:val="20"/>
          <w:lang w:val="zh-CN" w:eastAsia="zh-Hans"/>
          <w14:textFill>
            <w14:solidFill>
              <w14:schemeClr w14:val="tx1"/>
            </w14:solidFill>
          </w14:textFill>
        </w:rPr>
        <w:t>（8）项目考核不合格不予支付相关款项，待执行方进行整改合格后方可支付。</w:t>
      </w:r>
    </w:p>
    <w:p w14:paraId="0718B8FC">
      <w:pPr>
        <w:widowControl/>
        <w:spacing w:line="312" w:lineRule="auto"/>
        <w:ind w:firstLine="600" w:firstLineChars="300"/>
        <w:jc w:val="left"/>
        <w:rPr>
          <w:color w:val="000000" w:themeColor="text1"/>
          <w:kern w:val="0"/>
          <w:sz w:val="20"/>
          <w:szCs w:val="20"/>
          <w:lang w:val="zh-CN" w:eastAsia="zh-Hans"/>
          <w14:textFill>
            <w14:solidFill>
              <w14:schemeClr w14:val="tx1"/>
            </w14:solidFill>
          </w14:textFill>
        </w:rPr>
      </w:pPr>
      <w:r>
        <w:rPr>
          <w:rFonts w:hint="eastAsia"/>
          <w:color w:val="000000" w:themeColor="text1"/>
          <w:kern w:val="0"/>
          <w:sz w:val="20"/>
          <w:szCs w:val="20"/>
          <w:lang w:val="zh-CN" w:eastAsia="zh-Hans"/>
          <w14:textFill>
            <w14:solidFill>
              <w14:schemeClr w14:val="tx1"/>
            </w14:solidFill>
          </w14:textFill>
        </w:rPr>
        <w:t>项目阶段性工作量的确认，控制在总量的上下10%范围之内。项目执行的形式、主题及内容可根据宣传需求进行调整，以招标方最终工程量确认单为准。以上，具体考核细则以最终合同约定为准。</w:t>
      </w:r>
    </w:p>
    <w:p w14:paraId="35C4C707">
      <w:pPr>
        <w:adjustRightInd w:val="0"/>
        <w:snapToGrid w:val="0"/>
        <w:spacing w:line="360" w:lineRule="auto"/>
        <w:ind w:left="105" w:leftChars="50" w:firstLine="400" w:firstLineChars="200"/>
        <w:rPr>
          <w:rFonts w:ascii="宋体" w:hAnsi="宋体" w:eastAsia="宋体" w:cs="Times New Roman"/>
          <w:color w:val="000000" w:themeColor="text1"/>
          <w:sz w:val="20"/>
          <w:szCs w:val="20"/>
          <w14:textFill>
            <w14:solidFill>
              <w14:schemeClr w14:val="tx1"/>
            </w14:solidFill>
          </w14:textFill>
        </w:rPr>
      </w:pPr>
      <w:r>
        <w:rPr>
          <w:rFonts w:hint="eastAsia" w:ascii="宋体" w:hAnsi="宋体" w:eastAsia="宋体" w:cs="Times New Roman"/>
          <w:color w:val="000000" w:themeColor="text1"/>
          <w:sz w:val="20"/>
          <w:szCs w:val="20"/>
          <w:lang w:val="en-US" w:eastAsia="zh-CN"/>
          <w14:textFill>
            <w14:solidFill>
              <w14:schemeClr w14:val="tx1"/>
            </w14:solidFill>
          </w14:textFill>
        </w:rPr>
        <w:t>3</w:t>
      </w:r>
      <w:r>
        <w:rPr>
          <w:rFonts w:ascii="宋体" w:hAnsi="宋体" w:eastAsia="宋体" w:cs="Times New Roman"/>
          <w:color w:val="000000" w:themeColor="text1"/>
          <w:sz w:val="20"/>
          <w:szCs w:val="20"/>
          <w14:textFill>
            <w14:solidFill>
              <w14:schemeClr w14:val="tx1"/>
            </w14:solidFill>
          </w14:textFill>
        </w:rPr>
        <w:t>、结算方式：银行转账。</w:t>
      </w:r>
    </w:p>
    <w:p w14:paraId="0909DBF8">
      <w:pPr>
        <w:adjustRightInd w:val="0"/>
        <w:snapToGrid w:val="0"/>
        <w:spacing w:line="360" w:lineRule="auto"/>
        <w:ind w:left="105" w:leftChars="50" w:firstLine="400" w:firstLineChars="200"/>
        <w:rPr>
          <w:rFonts w:ascii="宋体" w:hAnsi="宋体" w:eastAsia="宋体" w:cs="Times New Roman"/>
          <w:color w:val="000000" w:themeColor="text1"/>
          <w:sz w:val="20"/>
          <w:szCs w:val="20"/>
          <w14:textFill>
            <w14:solidFill>
              <w14:schemeClr w14:val="tx1"/>
            </w14:solidFill>
          </w14:textFill>
        </w:rPr>
      </w:pPr>
      <w:r>
        <w:rPr>
          <w:rFonts w:hint="eastAsia" w:ascii="宋体" w:hAnsi="宋体" w:eastAsia="宋体" w:cs="Times New Roman"/>
          <w:color w:val="000000" w:themeColor="text1"/>
          <w:sz w:val="20"/>
          <w:szCs w:val="20"/>
          <w:lang w:val="en-US" w:eastAsia="zh-CN"/>
          <w14:textFill>
            <w14:solidFill>
              <w14:schemeClr w14:val="tx1"/>
            </w14:solidFill>
          </w14:textFill>
        </w:rPr>
        <w:t>4</w:t>
      </w:r>
      <w:r>
        <w:rPr>
          <w:rFonts w:ascii="宋体" w:hAnsi="宋体" w:eastAsia="宋体" w:cs="Times New Roman"/>
          <w:color w:val="000000" w:themeColor="text1"/>
          <w:sz w:val="20"/>
          <w:szCs w:val="20"/>
          <w14:textFill>
            <w14:solidFill>
              <w14:schemeClr w14:val="tx1"/>
            </w14:solidFill>
          </w14:textFill>
        </w:rPr>
        <w:t>、结算单位：由</w:t>
      </w:r>
      <w:r>
        <w:rPr>
          <w:rFonts w:ascii="宋体" w:hAnsi="宋体" w:eastAsia="宋体" w:cs="Times New Roman"/>
          <w:color w:val="000000" w:themeColor="text1"/>
          <w:sz w:val="20"/>
          <w:szCs w:val="20"/>
          <w:u w:val="single"/>
          <w14:textFill>
            <w14:solidFill>
              <w14:schemeClr w14:val="tx1"/>
            </w14:solidFill>
          </w14:textFill>
        </w:rPr>
        <w:t>甲方</w:t>
      </w:r>
      <w:r>
        <w:rPr>
          <w:rFonts w:ascii="宋体" w:hAnsi="宋体" w:eastAsia="宋体" w:cs="Times New Roman"/>
          <w:color w:val="000000" w:themeColor="text1"/>
          <w:sz w:val="20"/>
          <w:szCs w:val="20"/>
          <w14:textFill>
            <w14:solidFill>
              <w14:schemeClr w14:val="tx1"/>
            </w14:solidFill>
          </w14:textFill>
        </w:rPr>
        <w:t>负责结算，乙方开具合同总价数的全额发票交采购人。</w:t>
      </w:r>
      <w:bookmarkStart w:id="3" w:name="_Toc19515387"/>
    </w:p>
    <w:p w14:paraId="77C4F854">
      <w:pPr>
        <w:adjustRightInd w:val="0"/>
        <w:snapToGrid w:val="0"/>
        <w:spacing w:line="360" w:lineRule="auto"/>
        <w:ind w:firstLine="402" w:firstLineChars="200"/>
        <w:rPr>
          <w:rFonts w:ascii="宋体" w:hAnsi="宋体" w:eastAsia="宋体" w:cs="Times New Roman"/>
          <w:sz w:val="20"/>
          <w:szCs w:val="20"/>
        </w:rPr>
      </w:pPr>
      <w:r>
        <w:rPr>
          <w:rFonts w:ascii="宋体" w:hAnsi="宋体" w:eastAsia="宋体" w:cs="Times New Roman"/>
          <w:b/>
          <w:color w:val="000000" w:themeColor="text1"/>
          <w:sz w:val="20"/>
          <w:szCs w:val="20"/>
          <w14:textFill>
            <w14:solidFill>
              <w14:schemeClr w14:val="tx1"/>
            </w14:solidFill>
          </w14:textFill>
        </w:rPr>
        <w:t>四、履行期限、地点及方式：</w:t>
      </w:r>
      <w:bookmarkEnd w:id="3"/>
    </w:p>
    <w:p w14:paraId="461EA090">
      <w:pPr>
        <w:adjustRightInd w:val="0"/>
        <w:snapToGrid w:val="0"/>
        <w:spacing w:line="360" w:lineRule="auto"/>
        <w:ind w:firstLine="400" w:firstLineChars="200"/>
        <w:rPr>
          <w:rFonts w:ascii="宋体" w:hAnsi="宋体" w:eastAsia="宋体" w:cs="Times New Roman"/>
          <w:sz w:val="20"/>
          <w:szCs w:val="20"/>
        </w:rPr>
      </w:pPr>
      <w:r>
        <w:rPr>
          <w:rFonts w:ascii="宋体" w:hAnsi="宋体" w:eastAsia="宋体" w:cs="Times New Roman"/>
          <w:sz w:val="20"/>
          <w:szCs w:val="20"/>
        </w:rPr>
        <w:t>1、履行期限：</w:t>
      </w:r>
      <w:r>
        <w:rPr>
          <w:rFonts w:hint="default" w:ascii="宋体" w:hAnsi="宋体" w:eastAsia="宋体" w:cs="Times New Roman"/>
          <w:kern w:val="2"/>
          <w:sz w:val="20"/>
          <w:szCs w:val="20"/>
        </w:rPr>
        <w:t>自</w:t>
      </w:r>
      <w:r>
        <w:rPr>
          <w:rFonts w:hint="eastAsia" w:ascii="宋体" w:hAnsi="宋体" w:eastAsia="宋体" w:cs="Times New Roman"/>
          <w:kern w:val="2"/>
          <w:sz w:val="20"/>
          <w:szCs w:val="20"/>
          <w:lang w:eastAsia="zh-CN"/>
        </w:rPr>
        <w:t>成交达成之日</w:t>
      </w:r>
      <w:r>
        <w:rPr>
          <w:rFonts w:hint="default" w:ascii="宋体" w:hAnsi="宋体" w:eastAsia="宋体" w:cs="Times New Roman"/>
          <w:kern w:val="2"/>
          <w:sz w:val="20"/>
          <w:szCs w:val="20"/>
        </w:rPr>
        <w:t>起一年。</w:t>
      </w:r>
    </w:p>
    <w:p w14:paraId="59D2ADEF">
      <w:pPr>
        <w:adjustRightInd w:val="0"/>
        <w:snapToGrid w:val="0"/>
        <w:spacing w:line="360" w:lineRule="auto"/>
        <w:ind w:firstLine="400" w:firstLineChars="200"/>
        <w:rPr>
          <w:rFonts w:ascii="宋体" w:hAnsi="宋体" w:eastAsia="宋体" w:cs="Times New Roman"/>
          <w:sz w:val="20"/>
          <w:szCs w:val="20"/>
        </w:rPr>
      </w:pPr>
      <w:r>
        <w:rPr>
          <w:rFonts w:ascii="宋体" w:hAnsi="宋体" w:eastAsia="宋体" w:cs="Times New Roman"/>
          <w:sz w:val="20"/>
          <w:szCs w:val="20"/>
        </w:rPr>
        <w:t>2、地点：按照采购人要求</w:t>
      </w:r>
    </w:p>
    <w:p w14:paraId="74E04B5D">
      <w:pPr>
        <w:adjustRightInd w:val="0"/>
        <w:snapToGrid w:val="0"/>
        <w:spacing w:line="360" w:lineRule="auto"/>
        <w:ind w:left="0" w:leftChars="0" w:firstLine="400" w:firstLineChars="200"/>
        <w:rPr>
          <w:rFonts w:ascii="宋体" w:hAnsi="宋体" w:eastAsia="宋体" w:cs="Times New Roman"/>
          <w:sz w:val="20"/>
          <w:szCs w:val="20"/>
        </w:rPr>
      </w:pPr>
      <w:r>
        <w:rPr>
          <w:rFonts w:ascii="宋体" w:hAnsi="宋体" w:eastAsia="宋体" w:cs="Times New Roman"/>
          <w:sz w:val="20"/>
          <w:szCs w:val="20"/>
        </w:rPr>
        <w:t>3、方式：</w:t>
      </w:r>
      <w:bookmarkStart w:id="4" w:name="_Toc19515388"/>
      <w:r>
        <w:rPr>
          <w:rFonts w:ascii="宋体" w:hAnsi="宋体" w:eastAsia="宋体" w:cs="Times New Roman"/>
          <w:sz w:val="20"/>
          <w:szCs w:val="20"/>
        </w:rPr>
        <w:t>按照采购人要求</w:t>
      </w:r>
    </w:p>
    <w:p w14:paraId="019EA975">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五、服务工作要求和质量保证</w:t>
      </w:r>
    </w:p>
    <w:p w14:paraId="439066F6">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各项具体工作的质量标准和作业规范，按国家相关标准、规范执行。</w:t>
      </w:r>
    </w:p>
    <w:p w14:paraId="0E3067CD">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六、验收</w:t>
      </w:r>
    </w:p>
    <w:p w14:paraId="673D51EE">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1、服务完成后，由甲方负责验收。</w:t>
      </w:r>
    </w:p>
    <w:p w14:paraId="689A201F">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2、验收依据：合同文本、合同附件、磋商文件、响应文件。</w:t>
      </w:r>
    </w:p>
    <w:p w14:paraId="0FA87C8E">
      <w:pPr>
        <w:adjustRightInd w:val="0"/>
        <w:snapToGrid w:val="0"/>
        <w:spacing w:line="360" w:lineRule="auto"/>
        <w:ind w:firstLine="400" w:firstLineChars="200"/>
        <w:rPr>
          <w:rFonts w:hint="eastAsia" w:ascii="宋体" w:hAnsi="宋体" w:eastAsia="宋体" w:cs="Times New Roman"/>
          <w:sz w:val="20"/>
          <w:szCs w:val="20"/>
          <w:lang w:eastAsia="zh-CN"/>
        </w:rPr>
      </w:pPr>
      <w:r>
        <w:rPr>
          <w:rFonts w:hint="eastAsia" w:ascii="宋体" w:hAnsi="宋体" w:eastAsia="宋体" w:cs="Times New Roman"/>
          <w:sz w:val="20"/>
          <w:szCs w:val="20"/>
        </w:rPr>
        <w:t>3、验收标准：</w:t>
      </w:r>
      <w:r>
        <w:rPr>
          <w:rFonts w:ascii="宋体" w:hAnsi="宋体" w:eastAsia="宋体" w:cs="Times New Roman"/>
          <w:sz w:val="20"/>
          <w:szCs w:val="20"/>
        </w:rPr>
        <w:t>按照采购人要求</w:t>
      </w:r>
      <w:r>
        <w:rPr>
          <w:rFonts w:hint="eastAsia" w:ascii="宋体" w:hAnsi="宋体" w:eastAsia="宋体" w:cs="Times New Roman"/>
          <w:sz w:val="20"/>
          <w:szCs w:val="20"/>
          <w:lang w:eastAsia="zh-CN"/>
        </w:rPr>
        <w:t>。</w:t>
      </w:r>
    </w:p>
    <w:p w14:paraId="0CC020AC">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七、知识产权</w:t>
      </w:r>
    </w:p>
    <w:p w14:paraId="70BD8E50">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乙方在研究过程中出现剽窃、抄袭等侵犯他人知识产权的行为，由行为人承担相应责任。由此给甲方造成损失的，也应承担责任。</w:t>
      </w:r>
    </w:p>
    <w:p w14:paraId="2399CB10">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八、</w:t>
      </w:r>
      <w:r>
        <w:rPr>
          <w:rFonts w:ascii="宋体" w:hAnsi="宋体" w:eastAsia="宋体" w:cs="Times New Roman"/>
          <w:b/>
          <w:sz w:val="20"/>
          <w:szCs w:val="20"/>
        </w:rPr>
        <w:t>甲方的权利和义务</w:t>
      </w:r>
    </w:p>
    <w:p w14:paraId="742005F2">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1、甲方有权督促乙方完成合同中协议的所有工作内容及其工作进度；</w:t>
      </w:r>
    </w:p>
    <w:p w14:paraId="3E7F8F01">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2、甲方应主动提供有利于项目顺利执行实施的相关资源及便利；</w:t>
      </w:r>
    </w:p>
    <w:p w14:paraId="03624203">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3、甲方有权向乙方提出整改建议和意见。</w:t>
      </w:r>
    </w:p>
    <w:p w14:paraId="0964DA42">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4、甲方负责监督、检查乙方提供服务的工作进度、质量情况。</w:t>
      </w:r>
    </w:p>
    <w:p w14:paraId="0B6BC610">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九、</w:t>
      </w:r>
      <w:r>
        <w:rPr>
          <w:rFonts w:ascii="宋体" w:hAnsi="宋体" w:eastAsia="宋体" w:cs="Times New Roman"/>
          <w:b/>
          <w:sz w:val="20"/>
          <w:szCs w:val="20"/>
        </w:rPr>
        <w:t>乙方的权利和义务</w:t>
      </w:r>
    </w:p>
    <w:p w14:paraId="1979A46E">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w:t>
      </w:r>
      <w:r>
        <w:rPr>
          <w:rFonts w:ascii="宋体" w:hAnsi="宋体" w:eastAsia="宋体" w:cs="Times New Roman"/>
          <w:sz w:val="20"/>
          <w:szCs w:val="20"/>
        </w:rPr>
        <w:t>对本合同规定的委托范围内的</w:t>
      </w:r>
      <w:r>
        <w:rPr>
          <w:rFonts w:hint="eastAsia" w:ascii="宋体" w:hAnsi="宋体" w:eastAsia="宋体" w:cs="Times New Roman"/>
          <w:sz w:val="20"/>
          <w:szCs w:val="20"/>
        </w:rPr>
        <w:t>项目</w:t>
      </w:r>
      <w:r>
        <w:rPr>
          <w:rFonts w:ascii="宋体" w:hAnsi="宋体" w:eastAsia="宋体" w:cs="Times New Roman"/>
          <w:sz w:val="20"/>
          <w:szCs w:val="20"/>
        </w:rPr>
        <w:t>享有管理权及服务义务。</w:t>
      </w:r>
    </w:p>
    <w:p w14:paraId="07A7BEA6">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w:t>
      </w:r>
      <w:r>
        <w:rPr>
          <w:rFonts w:ascii="宋体" w:hAnsi="宋体" w:eastAsia="宋体" w:cs="Times New Roman"/>
          <w:sz w:val="20"/>
          <w:szCs w:val="20"/>
        </w:rPr>
        <w:t>根据本合同的规定向甲方收取相关</w:t>
      </w:r>
      <w:r>
        <w:rPr>
          <w:rFonts w:hint="eastAsia" w:ascii="宋体" w:hAnsi="宋体" w:eastAsia="宋体" w:cs="Times New Roman"/>
          <w:sz w:val="20"/>
          <w:szCs w:val="20"/>
        </w:rPr>
        <w:t>服务</w:t>
      </w:r>
      <w:r>
        <w:rPr>
          <w:rFonts w:ascii="宋体" w:hAnsi="宋体" w:eastAsia="宋体" w:cs="Times New Roman"/>
          <w:sz w:val="20"/>
          <w:szCs w:val="20"/>
        </w:rPr>
        <w:t>费用，并有权</w:t>
      </w:r>
      <w:r>
        <w:rPr>
          <w:rFonts w:hint="eastAsia" w:ascii="宋体" w:hAnsi="宋体" w:eastAsia="宋体" w:cs="Times New Roman"/>
          <w:sz w:val="20"/>
          <w:szCs w:val="20"/>
        </w:rPr>
        <w:t>在本项目管理范围内</w:t>
      </w:r>
      <w:r>
        <w:rPr>
          <w:rFonts w:ascii="宋体" w:hAnsi="宋体" w:eastAsia="宋体" w:cs="Times New Roman"/>
          <w:sz w:val="20"/>
          <w:szCs w:val="20"/>
        </w:rPr>
        <w:t>管理及合理使用。</w:t>
      </w:r>
    </w:p>
    <w:p w14:paraId="626CF60A">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3、及时向甲方通告本项目执行范围内有关的重大事项，及时配合处理投诉。</w:t>
      </w:r>
    </w:p>
    <w:p w14:paraId="0DB0E7E3">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w:t>
      </w:r>
      <w:r>
        <w:rPr>
          <w:rFonts w:ascii="宋体" w:hAnsi="宋体" w:eastAsia="宋体" w:cs="Times New Roman"/>
          <w:sz w:val="20"/>
          <w:szCs w:val="20"/>
        </w:rPr>
        <w:t>接受</w:t>
      </w:r>
      <w:r>
        <w:rPr>
          <w:rFonts w:hint="eastAsia" w:ascii="宋体" w:hAnsi="宋体" w:eastAsia="宋体" w:cs="Times New Roman"/>
          <w:sz w:val="20"/>
          <w:szCs w:val="20"/>
        </w:rPr>
        <w:t>项目行</w:t>
      </w:r>
      <w:r>
        <w:rPr>
          <w:rFonts w:ascii="宋体" w:hAnsi="宋体" w:eastAsia="宋体" w:cs="Times New Roman"/>
          <w:sz w:val="20"/>
          <w:szCs w:val="20"/>
        </w:rPr>
        <w:t>业管理部门及政府有关部门的指导，接受甲方的监督。</w:t>
      </w:r>
    </w:p>
    <w:p w14:paraId="511978F1">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5、</w:t>
      </w:r>
      <w:r>
        <w:rPr>
          <w:rFonts w:ascii="宋体" w:hAnsi="宋体" w:eastAsia="宋体" w:cs="Times New Roman"/>
          <w:sz w:val="20"/>
          <w:szCs w:val="20"/>
        </w:rPr>
        <w:t>国家法律、法规所规定由乙方承担的其它责任。</w:t>
      </w:r>
    </w:p>
    <w:p w14:paraId="1003B6FF">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十、保密条款</w:t>
      </w:r>
    </w:p>
    <w:p w14:paraId="0E8CB366">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1、乙方应妥善保管甲方所提供的有关资料，未经甲方书面同意不得泄露、发布或转让第三方，本合同的变更、解除或终止不影响乙方承担保密义务。</w:t>
      </w:r>
    </w:p>
    <w:p w14:paraId="18F8846C">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2、合同双方在订立合同过程中知悉的对方商业秘密等资料，无论合同是否成立，不得泄密或不正当使用。</w:t>
      </w:r>
    </w:p>
    <w:p w14:paraId="24801F1F">
      <w:pPr>
        <w:spacing w:line="360" w:lineRule="auto"/>
        <w:ind w:firstLine="400" w:firstLineChars="200"/>
        <w:rPr>
          <w:rFonts w:ascii="宋体" w:hAnsi="宋体" w:eastAsia="宋体" w:cs="Arial"/>
          <w:sz w:val="20"/>
          <w:szCs w:val="20"/>
        </w:rPr>
      </w:pPr>
      <w:r>
        <w:rPr>
          <w:rFonts w:hint="eastAsia" w:ascii="宋体" w:hAnsi="宋体" w:eastAsia="宋体" w:cs="Arial"/>
          <w:sz w:val="20"/>
          <w:szCs w:val="20"/>
        </w:rPr>
        <w:t>3、泄密或不正当使用对方商业秘密给对方造成损失的，应该承担赔偿责任。</w:t>
      </w:r>
    </w:p>
    <w:p w14:paraId="07485DF8">
      <w:pPr>
        <w:spacing w:line="360" w:lineRule="auto"/>
        <w:ind w:firstLine="400" w:firstLineChars="200"/>
        <w:rPr>
          <w:rFonts w:ascii="宋体" w:hAnsi="宋体" w:eastAsia="宋体" w:cs="Arial"/>
          <w:sz w:val="20"/>
          <w:szCs w:val="20"/>
        </w:rPr>
      </w:pPr>
      <w:r>
        <w:rPr>
          <w:rFonts w:hint="eastAsia" w:ascii="宋体" w:hAnsi="宋体" w:eastAsia="宋体" w:cs="Arial"/>
          <w:sz w:val="20"/>
          <w:szCs w:val="20"/>
        </w:rPr>
        <w:t>4、保密责任不因合同履行完毕而解除。未经双方同意，任何一方不得以任何形式公开本合同及附件内容，以及在合同订立、履行中知悉的对方商业秘密等资料。</w:t>
      </w:r>
    </w:p>
    <w:p w14:paraId="38275D74">
      <w:pPr>
        <w:spacing w:line="360" w:lineRule="auto"/>
        <w:ind w:firstLine="400" w:firstLineChars="200"/>
        <w:rPr>
          <w:rFonts w:ascii="宋体" w:hAnsi="宋体" w:eastAsia="宋体" w:cs="Times New Roman"/>
          <w:sz w:val="20"/>
          <w:szCs w:val="20"/>
        </w:rPr>
      </w:pPr>
      <w:r>
        <w:rPr>
          <w:rFonts w:hint="eastAsia" w:ascii="宋体" w:hAnsi="宋体" w:eastAsia="宋体" w:cs="Arial"/>
          <w:sz w:val="20"/>
          <w:szCs w:val="20"/>
        </w:rPr>
        <w:t>5、任何一方对在本合同履行过程中以任何方式获知的另一方商业秘密或其他技术及经营信息均负有保密义务，不得向任何其他第三方透露或泄露，但中国现行法律、法规另有规定或经另一方书面同意的除外，不论本合同是否变更、解除或终止，上述约定的效力不受影响。</w:t>
      </w:r>
    </w:p>
    <w:p w14:paraId="30A916F2">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十一、违约责任</w:t>
      </w:r>
    </w:p>
    <w:p w14:paraId="58FCF305">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1、违约责任按《中华人民共和国民法典》处理中的相关条款执行。</w:t>
      </w:r>
    </w:p>
    <w:p w14:paraId="1F6C36D8">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2、乙方应按合同约定时间完成各阶段合同义务，若发生延迟，甲方可以视情况向乙方收取不少于10%的违约金，且甲方有权单方解除本合同。但甲方书面同意延迟或因甲方原因导致延迟的，乙方不承担违约责任。</w:t>
      </w:r>
    </w:p>
    <w:p w14:paraId="1AB4DDC4">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3、如甲方未能在本合同约定时间内支付款项，每延迟一天，甲方须向乙方承担迟延支付费用的0.5‰作为违约金，并将服务周期予以相应顺延。</w:t>
      </w:r>
    </w:p>
    <w:p w14:paraId="3DFC0A1A">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4、本次活动因乙方原因导致侵害甲方或第三方合法权益的，应由乙方承担相应赔偿责任，并向甲方支付不少于合同总价款10%的违约金。</w:t>
      </w:r>
    </w:p>
    <w:p w14:paraId="71C5BE57">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5、若乙方未经甲方同意泄露本合同约定的任何秘密信息的，乙方应按照不少于合同总价款的10%向甲方支付违约金，并赔偿因此给甲方造成的损失。</w:t>
      </w:r>
    </w:p>
    <w:p w14:paraId="14082621">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26190194">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十二、不可抗力事件处理</w:t>
      </w:r>
    </w:p>
    <w:p w14:paraId="30CF8B17">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6BB894B4">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287DBD8C">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十三、合同组成</w:t>
      </w:r>
    </w:p>
    <w:p w14:paraId="7050A490">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1、成交通知书</w:t>
      </w:r>
    </w:p>
    <w:p w14:paraId="051B08E7">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2、合同文件</w:t>
      </w:r>
    </w:p>
    <w:p w14:paraId="35714CF4">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3、国家相关规范及标准</w:t>
      </w:r>
    </w:p>
    <w:p w14:paraId="6E9F0230">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4、竞争性磋商文件</w:t>
      </w:r>
    </w:p>
    <w:p w14:paraId="3ED14502">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5、磋商响应文件</w:t>
      </w:r>
    </w:p>
    <w:p w14:paraId="2287C0B0">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十四、解决争议的方法</w:t>
      </w:r>
    </w:p>
    <w:p w14:paraId="3F328429">
      <w:pPr>
        <w:widowControl/>
        <w:autoSpaceDE w:val="0"/>
        <w:autoSpaceDN w:val="0"/>
        <w:snapToGrid w:val="0"/>
        <w:spacing w:line="360" w:lineRule="auto"/>
        <w:ind w:right="-110"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凡因本合同引起的或与本合同有关的争议，双方应友好协商解决。协商不成时，双方均同意采用以下第（  ）种争议解决方式：</w:t>
      </w:r>
    </w:p>
    <w:p w14:paraId="6744A150">
      <w:pPr>
        <w:widowControl/>
        <w:autoSpaceDE w:val="0"/>
        <w:autoSpaceDN w:val="0"/>
        <w:snapToGrid w:val="0"/>
        <w:spacing w:line="360" w:lineRule="auto"/>
        <w:ind w:right="-110"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（1）甲、乙双方均同意向（甲方所在地人民法院）提起诉讼。</w:t>
      </w:r>
    </w:p>
    <w:p w14:paraId="77C88140">
      <w:pPr>
        <w:widowControl/>
        <w:autoSpaceDE w:val="0"/>
        <w:autoSpaceDN w:val="0"/>
        <w:snapToGrid w:val="0"/>
        <w:spacing w:line="360" w:lineRule="auto"/>
        <w:ind w:right="-110"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宋体" w:hAnsi="宋体" w:eastAsia="宋体" w:cs="Times New Roman"/>
          <w:kern w:val="0"/>
          <w:sz w:val="20"/>
          <w:szCs w:val="20"/>
        </w:rPr>
        <w:t>仲裁委员会</w:t>
      </w:r>
      <w:r>
        <w:rPr>
          <w:rFonts w:hint="eastAsia" w:ascii="宋体" w:hAnsi="宋体" w:eastAsia="宋体" w:cs="Times New Roman"/>
          <w:kern w:val="0"/>
          <w:sz w:val="20"/>
          <w:szCs w:val="20"/>
        </w:rPr>
        <w:fldChar w:fldCharType="end"/>
      </w:r>
      <w:r>
        <w:rPr>
          <w:rFonts w:hint="eastAsia" w:ascii="宋体" w:hAnsi="宋体" w:eastAsia="宋体" w:cs="Times New Roman"/>
          <w:kern w:val="0"/>
          <w:sz w:val="20"/>
          <w:szCs w:val="20"/>
        </w:rPr>
        <w:t>）提起仲裁。</w:t>
      </w:r>
    </w:p>
    <w:p w14:paraId="53A8C851">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十五、合同生效及其它</w:t>
      </w:r>
    </w:p>
    <w:p w14:paraId="01025DC9">
      <w:pPr>
        <w:widowControl/>
        <w:autoSpaceDE w:val="0"/>
        <w:autoSpaceDN w:val="0"/>
        <w:snapToGrid w:val="0"/>
        <w:spacing w:line="360" w:lineRule="auto"/>
        <w:ind w:right="-110"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1、合同未尽事宜、由甲、乙双方协商，作为合同补充，与原合同具有同等法律效力。</w:t>
      </w:r>
    </w:p>
    <w:p w14:paraId="6EAF9CC4">
      <w:pPr>
        <w:widowControl/>
        <w:tabs>
          <w:tab w:val="left" w:pos="8391"/>
        </w:tabs>
        <w:autoSpaceDE w:val="0"/>
        <w:autoSpaceDN w:val="0"/>
        <w:snapToGrid w:val="0"/>
        <w:spacing w:line="360" w:lineRule="auto"/>
        <w:ind w:right="-69"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2、 本合同一式</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份，甲、乙双方分别</w:t>
      </w:r>
      <w:r>
        <w:rPr>
          <w:rFonts w:hint="eastAsia" w:ascii="宋体" w:hAnsi="宋体" w:eastAsia="宋体" w:cs="Times New Roman"/>
          <w:kern w:val="0"/>
          <w:sz w:val="20"/>
          <w:szCs w:val="20"/>
          <w:lang w:val="en-US" w:eastAsia="zh-CN"/>
        </w:rPr>
        <w:t>各</w:t>
      </w:r>
      <w:r>
        <w:rPr>
          <w:rFonts w:hint="eastAsia" w:ascii="宋体" w:hAnsi="宋体" w:eastAsia="宋体" w:cs="Times New Roman"/>
          <w:kern w:val="0"/>
          <w:sz w:val="20"/>
          <w:szCs w:val="20"/>
        </w:rPr>
        <w:t>执</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hint="eastAsia" w:ascii="宋体" w:hAnsi="宋体" w:eastAsia="宋体" w:cs="Times New Roman"/>
          <w:kern w:val="0"/>
          <w:sz w:val="20"/>
          <w:szCs w:val="20"/>
          <w:u w:val="single"/>
          <w:lang w:val="en-US" w:eastAsia="zh-CN"/>
        </w:rPr>
        <w:t xml:space="preserve">  </w:t>
      </w:r>
      <w:r>
        <w:rPr>
          <w:rFonts w:hint="eastAsia" w:ascii="宋体" w:hAnsi="宋体" w:eastAsia="宋体" w:cs="Times New Roman"/>
          <w:kern w:val="0"/>
          <w:sz w:val="20"/>
          <w:szCs w:val="20"/>
        </w:rPr>
        <w:t>备案</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p>
    <w:p w14:paraId="12218AE8">
      <w:pPr>
        <w:widowControl/>
        <w:tabs>
          <w:tab w:val="left" w:pos="8391"/>
        </w:tabs>
        <w:autoSpaceDE w:val="0"/>
        <w:autoSpaceDN w:val="0"/>
        <w:snapToGrid w:val="0"/>
        <w:spacing w:line="360" w:lineRule="auto"/>
        <w:ind w:right="-69"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3、合同经甲乙双方盖章、签字后生效，合同签订地点为</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p w14:paraId="4E1759BB">
      <w:pPr>
        <w:widowControl/>
        <w:tabs>
          <w:tab w:val="left" w:pos="8391"/>
        </w:tabs>
        <w:autoSpaceDE w:val="0"/>
        <w:autoSpaceDN w:val="0"/>
        <w:snapToGrid w:val="0"/>
        <w:spacing w:line="360" w:lineRule="auto"/>
        <w:ind w:right="-69"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4、生效时间：</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年</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月</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日</w:t>
      </w:r>
    </w:p>
    <w:p w14:paraId="31DA3A9D">
      <w:pPr>
        <w:rPr>
          <w:rFonts w:ascii="宋体" w:hAnsi="宋体" w:eastAsia="宋体" w:cs="Times New Roman"/>
          <w:sz w:val="20"/>
          <w:szCs w:val="20"/>
        </w:rPr>
      </w:pPr>
    </w:p>
    <w:tbl>
      <w:tblPr>
        <w:tblStyle w:val="8"/>
        <w:tblW w:w="0" w:type="auto"/>
        <w:jc w:val="center"/>
        <w:tblLayout w:type="fixed"/>
        <w:tblCellMar>
          <w:top w:w="0" w:type="dxa"/>
          <w:left w:w="108" w:type="dxa"/>
          <w:bottom w:w="0" w:type="dxa"/>
          <w:right w:w="108" w:type="dxa"/>
        </w:tblCellMar>
      </w:tblPr>
      <w:tblGrid>
        <w:gridCol w:w="4643"/>
        <w:gridCol w:w="4643"/>
      </w:tblGrid>
      <w:tr w14:paraId="608CDDCD">
        <w:tblPrEx>
          <w:tblCellMar>
            <w:top w:w="0" w:type="dxa"/>
            <w:left w:w="108" w:type="dxa"/>
            <w:bottom w:w="0" w:type="dxa"/>
            <w:right w:w="108" w:type="dxa"/>
          </w:tblCellMar>
        </w:tblPrEx>
        <w:trPr>
          <w:jc w:val="center"/>
        </w:trPr>
        <w:tc>
          <w:tcPr>
            <w:tcW w:w="4643" w:type="dxa"/>
          </w:tcPr>
          <w:p w14:paraId="3C4C10BA">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甲方名称</w:t>
            </w:r>
            <w:r>
              <w:rPr>
                <w:rFonts w:hint="eastAsia" w:ascii="宋体" w:hAnsi="宋体" w:eastAsia="宋体" w:cs="Times New Roman"/>
                <w:spacing w:val="-20"/>
                <w:kern w:val="0"/>
                <w:sz w:val="20"/>
                <w:szCs w:val="20"/>
              </w:rPr>
              <w:t>（盖章）</w:t>
            </w:r>
            <w:r>
              <w:rPr>
                <w:rFonts w:hint="eastAsia" w:ascii="宋体" w:hAnsi="宋体" w:eastAsia="宋体" w:cs="Times New Roman"/>
                <w:kern w:val="0"/>
                <w:sz w:val="20"/>
                <w:szCs w:val="20"/>
              </w:rPr>
              <w:t>:</w:t>
            </w:r>
          </w:p>
          <w:p w14:paraId="7151ABA2">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地址：</w:t>
            </w:r>
          </w:p>
          <w:p w14:paraId="7E47EF49">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代表人（签字）：</w:t>
            </w:r>
          </w:p>
          <w:p w14:paraId="404B26BA">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电话：</w:t>
            </w:r>
          </w:p>
          <w:p w14:paraId="502A5E04">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开户银行：</w:t>
            </w:r>
          </w:p>
          <w:p w14:paraId="52AA54DE">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帐号：</w:t>
            </w:r>
          </w:p>
        </w:tc>
        <w:tc>
          <w:tcPr>
            <w:tcW w:w="4643" w:type="dxa"/>
          </w:tcPr>
          <w:p w14:paraId="7C199DC5">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乙方名称</w:t>
            </w:r>
            <w:r>
              <w:rPr>
                <w:rFonts w:hint="eastAsia" w:ascii="宋体" w:hAnsi="宋体" w:eastAsia="宋体" w:cs="Times New Roman"/>
                <w:spacing w:val="-20"/>
                <w:kern w:val="0"/>
                <w:sz w:val="20"/>
                <w:szCs w:val="20"/>
              </w:rPr>
              <w:t>（盖章）</w:t>
            </w:r>
            <w:r>
              <w:rPr>
                <w:rFonts w:hint="eastAsia" w:ascii="宋体" w:hAnsi="宋体" w:eastAsia="宋体" w:cs="Times New Roman"/>
                <w:kern w:val="0"/>
                <w:sz w:val="20"/>
                <w:szCs w:val="20"/>
              </w:rPr>
              <w:t>:</w:t>
            </w:r>
          </w:p>
          <w:p w14:paraId="33CF3C70">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地址：</w:t>
            </w:r>
          </w:p>
          <w:p w14:paraId="1F14A617">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代表人（签字）：</w:t>
            </w:r>
          </w:p>
          <w:p w14:paraId="0E3CBE9D">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电话：</w:t>
            </w:r>
          </w:p>
          <w:p w14:paraId="3DF90A3F">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开户银行：</w:t>
            </w:r>
          </w:p>
          <w:p w14:paraId="587A018A">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帐号：</w:t>
            </w:r>
          </w:p>
        </w:tc>
      </w:tr>
      <w:bookmarkEnd w:id="4"/>
    </w:tbl>
    <w:p w14:paraId="5E8731BD">
      <w:pPr>
        <w:autoSpaceDE w:val="0"/>
        <w:autoSpaceDN w:val="0"/>
        <w:adjustRightInd w:val="0"/>
        <w:snapToGrid w:val="0"/>
        <w:spacing w:line="360" w:lineRule="auto"/>
        <w:ind w:firstLine="400" w:firstLineChars="200"/>
        <w:rPr>
          <w:rFonts w:ascii="宋体" w:hAnsi="宋体" w:cs="黑体"/>
          <w:sz w:val="20"/>
        </w:rPr>
      </w:pPr>
    </w:p>
    <w:p w14:paraId="35D38BC1"/>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95944">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9525"/>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301FAB">
                          <w:pPr>
                            <w:pStyle w:val="6"/>
                            <w:jc w:val="center"/>
                          </w:pPr>
                          <w:r>
                            <w:fldChar w:fldCharType="begin"/>
                          </w:r>
                          <w:r>
                            <w:instrText xml:space="preserve">PAGE   \* MERGEFORMAT</w:instrText>
                          </w:r>
                          <w:r>
                            <w:fldChar w:fldCharType="separate"/>
                          </w:r>
                          <w:r>
                            <w:rPr>
                              <w:lang w:val="zh-CN"/>
                            </w:rPr>
                            <w:t>3</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4C301FAB">
                    <w:pPr>
                      <w:pStyle w:val="6"/>
                      <w:jc w:val="center"/>
                    </w:pPr>
                    <w:r>
                      <w:fldChar w:fldCharType="begin"/>
                    </w:r>
                    <w:r>
                      <w:instrText xml:space="preserve">PAGE   \* MERGEFORMAT</w:instrText>
                    </w:r>
                    <w:r>
                      <w:fldChar w:fldCharType="separate"/>
                    </w:r>
                    <w:r>
                      <w:rPr>
                        <w:lang w:val="zh-CN"/>
                      </w:rPr>
                      <w:t>3</w:t>
                    </w:r>
                    <w:r>
                      <w:fldChar w:fldCharType="end"/>
                    </w:r>
                  </w:p>
                </w:txbxContent>
              </v:textbox>
            </v:shape>
          </w:pict>
        </mc:Fallback>
      </mc:AlternateContent>
    </w:r>
  </w:p>
  <w:p w14:paraId="7EE46F58">
    <w:pPr>
      <w:pStyle w:val="6"/>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B941E">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46A"/>
    <w:rsid w:val="00096B43"/>
    <w:rsid w:val="00132B39"/>
    <w:rsid w:val="0046446A"/>
    <w:rsid w:val="00475A93"/>
    <w:rsid w:val="004F5EBD"/>
    <w:rsid w:val="007C0A8C"/>
    <w:rsid w:val="0081489C"/>
    <w:rsid w:val="00927272"/>
    <w:rsid w:val="00A8673A"/>
    <w:rsid w:val="00AB483C"/>
    <w:rsid w:val="00C17C28"/>
    <w:rsid w:val="00D11360"/>
    <w:rsid w:val="00E103D2"/>
    <w:rsid w:val="00FD5B07"/>
    <w:rsid w:val="23841D23"/>
    <w:rsid w:val="60E07891"/>
    <w:rsid w:val="61224006"/>
    <w:rsid w:val="73CB5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3"/>
    <w:link w:val="12"/>
    <w:qFormat/>
    <w:uiPriority w:val="0"/>
    <w:pPr>
      <w:keepNext/>
      <w:spacing w:line="720" w:lineRule="exact"/>
      <w:outlineLvl w:val="1"/>
    </w:pPr>
    <w:rPr>
      <w:rFonts w:ascii="黑体" w:hAnsi="Copperplate Gothic Bold" w:eastAsia="楷体_GB2312"/>
      <w:sz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3"/>
    <w:qFormat/>
    <w:uiPriority w:val="0"/>
    <w:pPr>
      <w:ind w:firstLine="420"/>
    </w:pPr>
  </w:style>
  <w:style w:type="paragraph" w:styleId="4">
    <w:name w:val="Body Text"/>
    <w:basedOn w:val="1"/>
    <w:link w:val="14"/>
    <w:qFormat/>
    <w:uiPriority w:val="0"/>
    <w:pPr>
      <w:jc w:val="left"/>
    </w:pPr>
    <w:rPr>
      <w:rFonts w:ascii="Copperplate Gothic Bold" w:hAnsi="Copperplate Gothic Bold"/>
      <w:sz w:val="28"/>
    </w:rPr>
  </w:style>
  <w:style w:type="paragraph" w:styleId="5">
    <w:name w:val="Balloon Text"/>
    <w:basedOn w:val="1"/>
    <w:link w:val="15"/>
    <w:semiHidden/>
    <w:unhideWhenUsed/>
    <w:qFormat/>
    <w:uiPriority w:val="99"/>
    <w:rPr>
      <w:sz w:val="18"/>
      <w:szCs w:val="18"/>
    </w:rPr>
  </w:style>
  <w:style w:type="paragraph" w:styleId="6">
    <w:name w:val="footer"/>
    <w:basedOn w:val="1"/>
    <w:next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character" w:customStyle="1" w:styleId="12">
    <w:name w:val="标题 2 Char"/>
    <w:basedOn w:val="9"/>
    <w:link w:val="2"/>
    <w:qFormat/>
    <w:uiPriority w:val="0"/>
    <w:rPr>
      <w:rFonts w:ascii="黑体" w:hAnsi="Copperplate Gothic Bold" w:eastAsia="楷体_GB2312" w:cs="Times New Roman"/>
      <w:sz w:val="28"/>
      <w:szCs w:val="20"/>
    </w:rPr>
  </w:style>
  <w:style w:type="character" w:customStyle="1" w:styleId="13">
    <w:name w:val="正文缩进 Char"/>
    <w:link w:val="3"/>
    <w:qFormat/>
    <w:uiPriority w:val="0"/>
    <w:rPr>
      <w:rFonts w:ascii="Times New Roman" w:hAnsi="Times New Roman" w:eastAsia="宋体" w:cs="Times New Roman"/>
      <w:szCs w:val="20"/>
    </w:rPr>
  </w:style>
  <w:style w:type="character" w:customStyle="1" w:styleId="14">
    <w:name w:val="正文文本 Char"/>
    <w:basedOn w:val="9"/>
    <w:link w:val="4"/>
    <w:qFormat/>
    <w:uiPriority w:val="0"/>
    <w:rPr>
      <w:rFonts w:ascii="Copperplate Gothic Bold" w:hAnsi="Copperplate Gothic Bold" w:eastAsia="宋体" w:cs="Times New Roman"/>
      <w:sz w:val="28"/>
      <w:szCs w:val="20"/>
    </w:rPr>
  </w:style>
  <w:style w:type="character" w:customStyle="1" w:styleId="15">
    <w:name w:val="批注框文本 Char"/>
    <w:basedOn w:val="9"/>
    <w:link w:val="5"/>
    <w:semiHidden/>
    <w:qFormat/>
    <w:uiPriority w:val="99"/>
    <w:rPr>
      <w:rFonts w:ascii="Times New Roman" w:hAnsi="Times New Roman" w:eastAsia="宋体" w:cs="Times New Roman"/>
      <w:sz w:val="18"/>
      <w:szCs w:val="18"/>
    </w:rPr>
  </w:style>
  <w:style w:type="paragraph" w:customStyle="1" w:styleId="16">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2155</Words>
  <Characters>2182</Characters>
  <Lines>13</Lines>
  <Paragraphs>3</Paragraphs>
  <TotalTime>0</TotalTime>
  <ScaleCrop>false</ScaleCrop>
  <LinksUpToDate>false</LinksUpToDate>
  <CharactersWithSpaces>2220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2024-05-20T01:45:00Z</dcterms:created>
  <dc:creator>Lenovo</dc:creator>
  <cp:lastModifiedBy>YY</cp:lastModifiedBy>
  <dcterms:modified xsi:type="dcterms:W3CDTF">2026-01-07T07:31:28Z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eyJoZGlkIjoiM2ZkYjQzNTI4OWMzMmU5NWFlMmU0MzVmNTg3MjlmMmMiLCJ1c2VySWQiOiIxNzUzNTMzNTQ0In0=</vt:lpwstr>
  </property>
  <property fmtid="{D5CDD505-2E9C-101B-9397-08002B2CF9AE}" pid="3" name="KSOProductBuildVer">
    <vt:lpwstr>2052-12.1.0.24034</vt:lpwstr>
  </property>
  <property fmtid="{D5CDD505-2E9C-101B-9397-08002B2CF9AE}" pid="4" name="ICV">
    <vt:lpwstr>03390C5100A2405AA2BA8B53E315F815_12</vt:lpwstr>
  </property>
</Properties>
</file>