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版本号：ZCZX2025-CS-242（T）20260212001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曲江新区核心区城市管理工作用车租赁服务项目(三次)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ZCZX2025-CS-242（T）</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曲江新区核心区城市管理工作用车租赁服务项目(三次)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ZCZX2025-CS-242（T）</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曲江新区核心区城市管理工作用车租赁服务项目(三次)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现有的执法车辆无法满足执法工作的正常开展，拟租赁车辆共计19台，其中面包车（7座）16台、皮卡（5座）2台，面包车（14座）1台。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采购包1（曲江新区核心区城市管理工作用车租赁服务项目）：属于专门面向中小企业采购。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赵泽浩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029-68660281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rPr>
        <w:t>现有的执法车辆无法满足执法工作的正常开展，拟租赁车辆共计19台，其中面包车（7座）16台、皮卡（5座）2台，面包车（14座）1台。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796,800.00</w:t>
      </w:r>
    </w:p>
    <w:p>
      <w:pPr>
        <w:pStyle w:val="null3"/>
      </w:pPr>
      <w:r>
        <w:rPr>
          <w:rFonts w:ascii="仿宋_GB2312" w:hAnsi="仿宋_GB2312" w:cs="仿宋_GB2312" w:eastAsia="仿宋_GB2312"/>
        </w:rPr>
        <w:t>采购包最高限价（元）: 796,800.00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车辆租赁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796,800.00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服务</w:t>
            </w:r>
            <w:r>
              <w:rPr>
                <w:rFonts w:ascii="仿宋_GB2312" w:hAnsi="仿宋_GB2312" w:cs="仿宋_GB2312" w:eastAsia="仿宋_GB2312"/>
                <w:sz w:val="20"/>
                <w:b/>
              </w:rPr>
              <w:t>内容</w:t>
            </w:r>
          </w:p>
          <w:p>
            <w:pPr>
              <w:pStyle w:val="null3"/>
            </w:pPr>
            <w:r>
              <w:rPr>
                <w:rFonts w:ascii="仿宋_GB2312" w:hAnsi="仿宋_GB2312" w:cs="仿宋_GB2312" w:eastAsia="仿宋_GB2312"/>
                <w:sz w:val="20"/>
              </w:rPr>
              <w:t>现有的执法车辆无法满足执法工作的正常开展，拟租赁车辆共计</w:t>
            </w:r>
            <w:r>
              <w:rPr>
                <w:rFonts w:ascii="仿宋_GB2312" w:hAnsi="仿宋_GB2312" w:cs="仿宋_GB2312" w:eastAsia="仿宋_GB2312"/>
                <w:sz w:val="20"/>
              </w:rPr>
              <w:t>19</w:t>
            </w:r>
            <w:r>
              <w:rPr>
                <w:rFonts w:ascii="仿宋_GB2312" w:hAnsi="仿宋_GB2312" w:cs="仿宋_GB2312" w:eastAsia="仿宋_GB2312"/>
                <w:sz w:val="20"/>
              </w:rPr>
              <w:t>台，其中面包车（</w:t>
            </w:r>
            <w:r>
              <w:rPr>
                <w:rFonts w:ascii="仿宋_GB2312" w:hAnsi="仿宋_GB2312" w:cs="仿宋_GB2312" w:eastAsia="仿宋_GB2312"/>
                <w:sz w:val="20"/>
              </w:rPr>
              <w:t>7</w:t>
            </w:r>
            <w:r>
              <w:rPr>
                <w:rFonts w:ascii="仿宋_GB2312" w:hAnsi="仿宋_GB2312" w:cs="仿宋_GB2312" w:eastAsia="仿宋_GB2312"/>
                <w:sz w:val="20"/>
              </w:rPr>
              <w:t>座）</w:t>
            </w:r>
            <w:r>
              <w:rPr>
                <w:rFonts w:ascii="仿宋_GB2312" w:hAnsi="仿宋_GB2312" w:cs="仿宋_GB2312" w:eastAsia="仿宋_GB2312"/>
                <w:sz w:val="20"/>
              </w:rPr>
              <w:t>16</w:t>
            </w:r>
            <w:r>
              <w:rPr>
                <w:rFonts w:ascii="仿宋_GB2312" w:hAnsi="仿宋_GB2312" w:cs="仿宋_GB2312" w:eastAsia="仿宋_GB2312"/>
                <w:sz w:val="20"/>
              </w:rPr>
              <w:t>台、皮卡（</w:t>
            </w:r>
            <w:r>
              <w:rPr>
                <w:rFonts w:ascii="仿宋_GB2312" w:hAnsi="仿宋_GB2312" w:cs="仿宋_GB2312" w:eastAsia="仿宋_GB2312"/>
                <w:sz w:val="20"/>
              </w:rPr>
              <w:t>5</w:t>
            </w:r>
            <w:r>
              <w:rPr>
                <w:rFonts w:ascii="仿宋_GB2312" w:hAnsi="仿宋_GB2312" w:cs="仿宋_GB2312" w:eastAsia="仿宋_GB2312"/>
                <w:sz w:val="20"/>
              </w:rPr>
              <w:t>座）</w:t>
            </w:r>
            <w:r>
              <w:rPr>
                <w:rFonts w:ascii="仿宋_GB2312" w:hAnsi="仿宋_GB2312" w:cs="仿宋_GB2312" w:eastAsia="仿宋_GB2312"/>
                <w:sz w:val="20"/>
              </w:rPr>
              <w:t>2</w:t>
            </w:r>
            <w:r>
              <w:rPr>
                <w:rFonts w:ascii="仿宋_GB2312" w:hAnsi="仿宋_GB2312" w:cs="仿宋_GB2312" w:eastAsia="仿宋_GB2312"/>
                <w:sz w:val="20"/>
              </w:rPr>
              <w:t>台，面包车（</w:t>
            </w:r>
            <w:r>
              <w:rPr>
                <w:rFonts w:ascii="仿宋_GB2312" w:hAnsi="仿宋_GB2312" w:cs="仿宋_GB2312" w:eastAsia="仿宋_GB2312"/>
                <w:sz w:val="20"/>
              </w:rPr>
              <w:t>14</w:t>
            </w:r>
            <w:r>
              <w:rPr>
                <w:rFonts w:ascii="仿宋_GB2312" w:hAnsi="仿宋_GB2312" w:cs="仿宋_GB2312" w:eastAsia="仿宋_GB2312"/>
                <w:sz w:val="20"/>
              </w:rPr>
              <w:t>座）</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b/>
              </w:rPr>
              <w:t>二、服务地点及具体时间</w:t>
            </w:r>
          </w:p>
          <w:p>
            <w:pPr>
              <w:pStyle w:val="null3"/>
            </w:pPr>
            <w:r>
              <w:rPr>
                <w:rFonts w:ascii="仿宋_GB2312" w:hAnsi="仿宋_GB2312" w:cs="仿宋_GB2312" w:eastAsia="仿宋_GB2312"/>
                <w:sz w:val="20"/>
              </w:rPr>
              <w:t>服务期限：合同签订后一年</w:t>
            </w:r>
          </w:p>
          <w:p>
            <w:pPr>
              <w:pStyle w:val="null3"/>
            </w:pPr>
            <w:r>
              <w:rPr>
                <w:rFonts w:ascii="仿宋_GB2312" w:hAnsi="仿宋_GB2312" w:cs="仿宋_GB2312" w:eastAsia="仿宋_GB2312"/>
                <w:sz w:val="20"/>
              </w:rPr>
              <w:t>交车及还车地点：西安曲江新区内</w:t>
            </w:r>
            <w:r>
              <w:rPr>
                <w:rFonts w:ascii="仿宋_GB2312" w:hAnsi="仿宋_GB2312" w:cs="仿宋_GB2312" w:eastAsia="仿宋_GB2312"/>
                <w:sz w:val="20"/>
              </w:rPr>
              <w:t>采购人</w:t>
            </w:r>
            <w:r>
              <w:rPr>
                <w:rFonts w:ascii="仿宋_GB2312" w:hAnsi="仿宋_GB2312" w:cs="仿宋_GB2312" w:eastAsia="仿宋_GB2312"/>
                <w:sz w:val="20"/>
              </w:rPr>
              <w:t>指定地点</w:t>
            </w:r>
          </w:p>
          <w:p>
            <w:pPr>
              <w:pStyle w:val="null3"/>
            </w:pPr>
            <w:r>
              <w:rPr>
                <w:rFonts w:ascii="仿宋_GB2312" w:hAnsi="仿宋_GB2312" w:cs="仿宋_GB2312" w:eastAsia="仿宋_GB2312"/>
                <w:sz w:val="20"/>
                <w:b/>
              </w:rPr>
              <w:t>三、服务要求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、车辆服务次数：（单次用车时长≤</w:t>
            </w:r>
            <w:r>
              <w:rPr>
                <w:rFonts w:ascii="仿宋_GB2312" w:hAnsi="仿宋_GB2312" w:cs="仿宋_GB2312" w:eastAsia="仿宋_GB2312"/>
                <w:sz w:val="20"/>
              </w:rPr>
              <w:t xml:space="preserve">8 </w:t>
            </w:r>
            <w:r>
              <w:rPr>
                <w:rFonts w:ascii="仿宋_GB2312" w:hAnsi="仿宋_GB2312" w:cs="仿宋_GB2312" w:eastAsia="仿宋_GB2312"/>
                <w:sz w:val="20"/>
              </w:rPr>
              <w:t>小时计为</w:t>
            </w:r>
            <w:r>
              <w:rPr>
                <w:rFonts w:ascii="仿宋_GB2312" w:hAnsi="仿宋_GB2312" w:cs="仿宋_GB2312" w:eastAsia="仿宋_GB2312"/>
                <w:sz w:val="20"/>
              </w:rPr>
              <w:t>1</w:t>
            </w:r>
            <w:r>
              <w:rPr>
                <w:rFonts w:ascii="仿宋_GB2312" w:hAnsi="仿宋_GB2312" w:cs="仿宋_GB2312" w:eastAsia="仿宋_GB2312"/>
                <w:sz w:val="20"/>
              </w:rPr>
              <w:t>次，超</w:t>
            </w:r>
            <w:r>
              <w:rPr>
                <w:rFonts w:ascii="仿宋_GB2312" w:hAnsi="仿宋_GB2312" w:cs="仿宋_GB2312" w:eastAsia="仿宋_GB2312"/>
                <w:sz w:val="20"/>
              </w:rPr>
              <w:t>8</w:t>
            </w:r>
            <w:r>
              <w:rPr>
                <w:rFonts w:ascii="仿宋_GB2312" w:hAnsi="仿宋_GB2312" w:cs="仿宋_GB2312" w:eastAsia="仿宋_GB2312"/>
                <w:sz w:val="20"/>
              </w:rPr>
              <w:t>小时按</w:t>
            </w:r>
            <w:r>
              <w:rPr>
                <w:rFonts w:ascii="仿宋_GB2312" w:hAnsi="仿宋_GB2312" w:cs="仿宋_GB2312" w:eastAsia="仿宋_GB2312"/>
                <w:sz w:val="20"/>
              </w:rPr>
              <w:t>8</w:t>
            </w:r>
            <w:r>
              <w:rPr>
                <w:rFonts w:ascii="仿宋_GB2312" w:hAnsi="仿宋_GB2312" w:cs="仿宋_GB2312" w:eastAsia="仿宋_GB2312"/>
                <w:sz w:val="20"/>
              </w:rPr>
              <w:t>小时为单位累计次数）</w:t>
            </w:r>
          </w:p>
          <w:p>
            <w:pPr>
              <w:pStyle w:val="null3"/>
            </w:pPr>
            <w:r>
              <w:rPr>
                <w:rFonts w:ascii="仿宋_GB2312" w:hAnsi="仿宋_GB2312" w:cs="仿宋_GB2312" w:eastAsia="仿宋_GB2312"/>
                <w:sz w:val="20"/>
              </w:rPr>
              <w:t>初步拟定：</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）面包车</w:t>
            </w:r>
            <w:r>
              <w:rPr>
                <w:rFonts w:ascii="仿宋_GB2312" w:hAnsi="仿宋_GB2312" w:cs="仿宋_GB2312" w:eastAsia="仿宋_GB2312"/>
                <w:sz w:val="20"/>
              </w:rPr>
              <w:t>7</w:t>
            </w:r>
            <w:r>
              <w:rPr>
                <w:rFonts w:ascii="仿宋_GB2312" w:hAnsi="仿宋_GB2312" w:cs="仿宋_GB2312" w:eastAsia="仿宋_GB2312"/>
                <w:sz w:val="20"/>
              </w:rPr>
              <w:t>座</w:t>
            </w:r>
            <w:r>
              <w:rPr>
                <w:rFonts w:ascii="仿宋_GB2312" w:hAnsi="仿宋_GB2312" w:cs="仿宋_GB2312" w:eastAsia="仿宋_GB2312"/>
                <w:sz w:val="20"/>
              </w:rPr>
              <w:t>16</w:t>
            </w:r>
            <w:r>
              <w:rPr>
                <w:rFonts w:ascii="仿宋_GB2312" w:hAnsi="仿宋_GB2312" w:cs="仿宋_GB2312" w:eastAsia="仿宋_GB2312"/>
                <w:sz w:val="20"/>
              </w:rPr>
              <w:t>辆，每辆车全年约</w:t>
            </w:r>
            <w:r>
              <w:rPr>
                <w:rFonts w:ascii="仿宋_GB2312" w:hAnsi="仿宋_GB2312" w:cs="仿宋_GB2312" w:eastAsia="仿宋_GB2312"/>
                <w:sz w:val="20"/>
              </w:rPr>
              <w:t>240</w:t>
            </w:r>
            <w:r>
              <w:rPr>
                <w:rFonts w:ascii="仿宋_GB2312" w:hAnsi="仿宋_GB2312" w:cs="仿宋_GB2312" w:eastAsia="仿宋_GB2312"/>
                <w:sz w:val="20"/>
              </w:rPr>
              <w:t>次。单价最高限价</w:t>
            </w:r>
            <w:r>
              <w:rPr>
                <w:rFonts w:ascii="仿宋_GB2312" w:hAnsi="仿宋_GB2312" w:cs="仿宋_GB2312" w:eastAsia="仿宋_GB2312"/>
                <w:sz w:val="20"/>
              </w:rPr>
              <w:t>150</w:t>
            </w: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车</w:t>
            </w:r>
            <w:r>
              <w:rPr>
                <w:rFonts w:ascii="仿宋_GB2312" w:hAnsi="仿宋_GB2312" w:cs="仿宋_GB2312" w:eastAsia="仿宋_GB2312"/>
                <w:sz w:val="20"/>
              </w:rPr>
              <w:t>/</w:t>
            </w:r>
            <w:r>
              <w:rPr>
                <w:rFonts w:ascii="仿宋_GB2312" w:hAnsi="仿宋_GB2312" w:cs="仿宋_GB2312" w:eastAsia="仿宋_GB2312"/>
                <w:sz w:val="20"/>
              </w:rPr>
              <w:t>次；</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）皮卡</w:t>
            </w:r>
            <w:r>
              <w:rPr>
                <w:rFonts w:ascii="仿宋_GB2312" w:hAnsi="仿宋_GB2312" w:cs="仿宋_GB2312" w:eastAsia="仿宋_GB2312"/>
                <w:sz w:val="20"/>
              </w:rPr>
              <w:t>5</w:t>
            </w:r>
            <w:r>
              <w:rPr>
                <w:rFonts w:ascii="仿宋_GB2312" w:hAnsi="仿宋_GB2312" w:cs="仿宋_GB2312" w:eastAsia="仿宋_GB2312"/>
                <w:sz w:val="20"/>
              </w:rPr>
              <w:t>座</w:t>
            </w:r>
            <w:r>
              <w:rPr>
                <w:rFonts w:ascii="仿宋_GB2312" w:hAnsi="仿宋_GB2312" w:cs="仿宋_GB2312" w:eastAsia="仿宋_GB2312"/>
                <w:sz w:val="20"/>
              </w:rPr>
              <w:t>2</w:t>
            </w:r>
            <w:r>
              <w:rPr>
                <w:rFonts w:ascii="仿宋_GB2312" w:hAnsi="仿宋_GB2312" w:cs="仿宋_GB2312" w:eastAsia="仿宋_GB2312"/>
                <w:sz w:val="20"/>
              </w:rPr>
              <w:t>辆，每辆车全年约</w:t>
            </w:r>
            <w:r>
              <w:rPr>
                <w:rFonts w:ascii="仿宋_GB2312" w:hAnsi="仿宋_GB2312" w:cs="仿宋_GB2312" w:eastAsia="仿宋_GB2312"/>
                <w:sz w:val="20"/>
              </w:rPr>
              <w:t>240</w:t>
            </w:r>
            <w:r>
              <w:rPr>
                <w:rFonts w:ascii="仿宋_GB2312" w:hAnsi="仿宋_GB2312" w:cs="仿宋_GB2312" w:eastAsia="仿宋_GB2312"/>
                <w:sz w:val="20"/>
              </w:rPr>
              <w:t>次。单价最高限价</w:t>
            </w:r>
            <w:r>
              <w:rPr>
                <w:rFonts w:ascii="仿宋_GB2312" w:hAnsi="仿宋_GB2312" w:cs="仿宋_GB2312" w:eastAsia="仿宋_GB2312"/>
                <w:sz w:val="20"/>
              </w:rPr>
              <w:t>260</w:t>
            </w: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车</w:t>
            </w:r>
            <w:r>
              <w:rPr>
                <w:rFonts w:ascii="仿宋_GB2312" w:hAnsi="仿宋_GB2312" w:cs="仿宋_GB2312" w:eastAsia="仿宋_GB2312"/>
                <w:sz w:val="20"/>
              </w:rPr>
              <w:t>/</w:t>
            </w:r>
            <w:r>
              <w:rPr>
                <w:rFonts w:ascii="仿宋_GB2312" w:hAnsi="仿宋_GB2312" w:cs="仿宋_GB2312" w:eastAsia="仿宋_GB2312"/>
                <w:sz w:val="20"/>
              </w:rPr>
              <w:t>次；</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）面包车</w:t>
            </w:r>
            <w:r>
              <w:rPr>
                <w:rFonts w:ascii="仿宋_GB2312" w:hAnsi="仿宋_GB2312" w:cs="仿宋_GB2312" w:eastAsia="仿宋_GB2312"/>
                <w:sz w:val="20"/>
              </w:rPr>
              <w:t>14</w:t>
            </w:r>
            <w:r>
              <w:rPr>
                <w:rFonts w:ascii="仿宋_GB2312" w:hAnsi="仿宋_GB2312" w:cs="仿宋_GB2312" w:eastAsia="仿宋_GB2312"/>
                <w:sz w:val="20"/>
              </w:rPr>
              <w:t>座</w:t>
            </w:r>
            <w:r>
              <w:rPr>
                <w:rFonts w:ascii="仿宋_GB2312" w:hAnsi="仿宋_GB2312" w:cs="仿宋_GB2312" w:eastAsia="仿宋_GB2312"/>
                <w:sz w:val="20"/>
              </w:rPr>
              <w:t>1</w:t>
            </w:r>
            <w:r>
              <w:rPr>
                <w:rFonts w:ascii="仿宋_GB2312" w:hAnsi="仿宋_GB2312" w:cs="仿宋_GB2312" w:eastAsia="仿宋_GB2312"/>
                <w:sz w:val="20"/>
              </w:rPr>
              <w:t>辆，每辆车全年约</w:t>
            </w:r>
            <w:r>
              <w:rPr>
                <w:rFonts w:ascii="仿宋_GB2312" w:hAnsi="仿宋_GB2312" w:cs="仿宋_GB2312" w:eastAsia="仿宋_GB2312"/>
                <w:sz w:val="20"/>
              </w:rPr>
              <w:t>240</w:t>
            </w:r>
            <w:r>
              <w:rPr>
                <w:rFonts w:ascii="仿宋_GB2312" w:hAnsi="仿宋_GB2312" w:cs="仿宋_GB2312" w:eastAsia="仿宋_GB2312"/>
                <w:sz w:val="20"/>
              </w:rPr>
              <w:t>次。单价最高限价</w:t>
            </w:r>
            <w:r>
              <w:rPr>
                <w:rFonts w:ascii="仿宋_GB2312" w:hAnsi="仿宋_GB2312" w:cs="仿宋_GB2312" w:eastAsia="仿宋_GB2312"/>
                <w:sz w:val="20"/>
              </w:rPr>
              <w:t>400</w:t>
            </w: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车</w:t>
            </w:r>
            <w:r>
              <w:rPr>
                <w:rFonts w:ascii="仿宋_GB2312" w:hAnsi="仿宋_GB2312" w:cs="仿宋_GB2312" w:eastAsia="仿宋_GB2312"/>
                <w:sz w:val="20"/>
              </w:rPr>
              <w:t>/</w:t>
            </w:r>
            <w:r>
              <w:rPr>
                <w:rFonts w:ascii="仿宋_GB2312" w:hAnsi="仿宋_GB2312" w:cs="仿宋_GB2312" w:eastAsia="仿宋_GB2312"/>
                <w:sz w:val="20"/>
              </w:rPr>
              <w:t>次。</w:t>
            </w:r>
          </w:p>
          <w:p>
            <w:pPr>
              <w:pStyle w:val="null3"/>
            </w:pPr>
            <w:r>
              <w:rPr>
                <w:rFonts w:ascii="仿宋_GB2312" w:hAnsi="仿宋_GB2312" w:cs="仿宋_GB2312" w:eastAsia="仿宋_GB2312"/>
                <w:sz w:val="20"/>
              </w:rPr>
              <w:t>2</w:t>
            </w:r>
            <w:r>
              <w:rPr>
                <w:rFonts w:ascii="仿宋_GB2312" w:hAnsi="仿宋_GB2312" w:cs="仿宋_GB2312" w:eastAsia="仿宋_GB2312"/>
                <w:sz w:val="20"/>
              </w:rPr>
              <w:t>、所提供车辆应符合国家机动车运行安全技术标准的燃油车；</w:t>
            </w:r>
          </w:p>
          <w:p>
            <w:pPr>
              <w:pStyle w:val="null3"/>
            </w:pPr>
            <w:r>
              <w:rPr>
                <w:rFonts w:ascii="仿宋_GB2312" w:hAnsi="仿宋_GB2312" w:cs="仿宋_GB2312" w:eastAsia="仿宋_GB2312"/>
                <w:sz w:val="20"/>
              </w:rPr>
              <w:t>3</w:t>
            </w:r>
            <w:r>
              <w:rPr>
                <w:rFonts w:ascii="仿宋_GB2312" w:hAnsi="仿宋_GB2312" w:cs="仿宋_GB2312" w:eastAsia="仿宋_GB2312"/>
                <w:sz w:val="20"/>
              </w:rPr>
              <w:t>、所提供车辆品牌知名度高、市场占有率高、性能安全稳定；</w:t>
            </w:r>
          </w:p>
          <w:p>
            <w:pPr>
              <w:pStyle w:val="null3"/>
            </w:pPr>
            <w:r>
              <w:rPr>
                <w:rFonts w:ascii="仿宋_GB2312" w:hAnsi="仿宋_GB2312" w:cs="仿宋_GB2312" w:eastAsia="仿宋_GB2312"/>
                <w:sz w:val="20"/>
              </w:rPr>
              <w:t>4</w:t>
            </w:r>
            <w:r>
              <w:rPr>
                <w:rFonts w:ascii="仿宋_GB2312" w:hAnsi="仿宋_GB2312" w:cs="仿宋_GB2312" w:eastAsia="仿宋_GB2312"/>
                <w:sz w:val="20"/>
              </w:rPr>
              <w:t>、所提供车辆污染物排放符合国家和陕西省相关规定；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、供应商所提供车辆的数量、类型满足采购文件要求，产权清晰，车辆年检合格，车辆保险手续齐全（每个座位投保不少于</w:t>
            </w:r>
            <w:r>
              <w:rPr>
                <w:rFonts w:ascii="仿宋_GB2312" w:hAnsi="仿宋_GB2312" w:cs="仿宋_GB2312" w:eastAsia="仿宋_GB2312"/>
                <w:sz w:val="20"/>
              </w:rPr>
              <w:t>20</w:t>
            </w:r>
            <w:r>
              <w:rPr>
                <w:rFonts w:ascii="仿宋_GB2312" w:hAnsi="仿宋_GB2312" w:cs="仿宋_GB2312" w:eastAsia="仿宋_GB2312"/>
                <w:sz w:val="20"/>
              </w:rPr>
              <w:t>万元保险），提供相关证明材料或提供承诺书</w:t>
            </w:r>
            <w:r>
              <w:rPr>
                <w:rFonts w:ascii="仿宋_GB2312" w:hAnsi="仿宋_GB2312" w:cs="仿宋_GB2312" w:eastAsia="仿宋_GB2312"/>
                <w:sz w:val="20"/>
              </w:rPr>
              <w:t>。</w:t>
            </w:r>
          </w:p>
          <w:p>
            <w:pPr>
              <w:pStyle w:val="null3"/>
            </w:pPr>
            <w:r>
              <w:rPr>
                <w:rFonts w:ascii="仿宋_GB2312" w:hAnsi="仿宋_GB2312" w:cs="仿宋_GB2312" w:eastAsia="仿宋_GB2312"/>
                <w:sz w:val="20"/>
                <w:b/>
              </w:rPr>
              <w:t>四、服务标准</w:t>
            </w:r>
          </w:p>
          <w:p>
            <w:pPr>
              <w:pStyle w:val="null3"/>
            </w:pPr>
            <w:r>
              <w:rPr>
                <w:rFonts w:ascii="仿宋_GB2312" w:hAnsi="仿宋_GB2312" w:cs="仿宋_GB2312" w:eastAsia="仿宋_GB2312"/>
                <w:sz w:val="20"/>
              </w:rPr>
              <w:t>企业具有健全、完善的安全生产经营制度和管理措施，经营场所、车辆等设备设施应符合国家安全生产规定要求，服务人员能够按照规定要求规范操作，并具备处理突发情况的能力。</w:t>
            </w:r>
          </w:p>
          <w:p>
            <w:pPr>
              <w:pStyle w:val="null3"/>
            </w:pPr>
            <w:r>
              <w:rPr>
                <w:rFonts w:ascii="仿宋_GB2312" w:hAnsi="仿宋_GB2312" w:cs="仿宋_GB2312" w:eastAsia="仿宋_GB2312"/>
                <w:sz w:val="20"/>
                <w:b/>
              </w:rPr>
              <w:t>五、应急措施</w:t>
            </w:r>
          </w:p>
          <w:p>
            <w:pPr>
              <w:pStyle w:val="null3"/>
            </w:pPr>
            <w:r>
              <w:rPr>
                <w:rFonts w:ascii="仿宋_GB2312" w:hAnsi="仿宋_GB2312" w:cs="仿宋_GB2312" w:eastAsia="仿宋_GB2312"/>
                <w:sz w:val="20"/>
              </w:rPr>
              <w:t>服务过程中抛锚、事故或因车辆租赁服务单位原因无法行驶时，必须及时提供相同或者高于服务车辆配置的车辆前往服务地点。</w:t>
            </w:r>
          </w:p>
          <w:p>
            <w:pPr>
              <w:pStyle w:val="null3"/>
            </w:pPr>
            <w:r>
              <w:rPr>
                <w:rFonts w:ascii="仿宋_GB2312" w:hAnsi="仿宋_GB2312" w:cs="仿宋_GB2312" w:eastAsia="仿宋_GB2312"/>
                <w:sz w:val="20"/>
                <w:b/>
              </w:rPr>
              <w:t>六、车辆要求</w:t>
            </w:r>
          </w:p>
          <w:p>
            <w:pPr>
              <w:pStyle w:val="null3"/>
            </w:pPr>
            <w:r>
              <w:rPr>
                <w:rFonts w:ascii="仿宋_GB2312" w:hAnsi="仿宋_GB2312" w:cs="仿宋_GB2312" w:eastAsia="仿宋_GB2312"/>
                <w:sz w:val="20"/>
              </w:rPr>
              <w:t>车型一：面包车</w:t>
            </w:r>
            <w:r>
              <w:rPr>
                <w:rFonts w:ascii="仿宋_GB2312" w:hAnsi="仿宋_GB2312" w:cs="仿宋_GB2312" w:eastAsia="仿宋_GB2312"/>
                <w:sz w:val="20"/>
              </w:rPr>
              <w:t>7</w:t>
            </w:r>
            <w:r>
              <w:rPr>
                <w:rFonts w:ascii="仿宋_GB2312" w:hAnsi="仿宋_GB2312" w:cs="仿宋_GB2312" w:eastAsia="仿宋_GB2312"/>
                <w:sz w:val="20"/>
              </w:rPr>
              <w:t>座</w:t>
            </w:r>
            <w:r>
              <w:rPr>
                <w:rFonts w:ascii="仿宋_GB2312" w:hAnsi="仿宋_GB2312" w:cs="仿宋_GB2312" w:eastAsia="仿宋_GB2312"/>
                <w:sz w:val="20"/>
              </w:rPr>
              <w:t>16</w:t>
            </w:r>
            <w:r>
              <w:rPr>
                <w:rFonts w:ascii="仿宋_GB2312" w:hAnsi="仿宋_GB2312" w:cs="仿宋_GB2312" w:eastAsia="仿宋_GB2312"/>
                <w:sz w:val="20"/>
              </w:rPr>
              <w:t>辆</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性能要求：排量≥</w:t>
            </w:r>
            <w:r>
              <w:rPr>
                <w:rFonts w:ascii="仿宋_GB2312" w:hAnsi="仿宋_GB2312" w:cs="仿宋_GB2312" w:eastAsia="仿宋_GB2312"/>
                <w:sz w:val="20"/>
              </w:rPr>
              <w:t>1.5L</w:t>
            </w:r>
            <w:r>
              <w:rPr>
                <w:rFonts w:ascii="仿宋_GB2312" w:hAnsi="仿宋_GB2312" w:cs="仿宋_GB2312" w:eastAsia="仿宋_GB2312"/>
                <w:sz w:val="20"/>
              </w:rPr>
              <w:t>，排放标准不低于国</w:t>
            </w:r>
            <w:r>
              <w:rPr>
                <w:rFonts w:ascii="仿宋_GB2312" w:hAnsi="仿宋_GB2312" w:cs="仿宋_GB2312" w:eastAsia="仿宋_GB2312"/>
                <w:sz w:val="20"/>
              </w:rPr>
              <w:t>VI</w:t>
            </w:r>
            <w:r>
              <w:rPr>
                <w:rFonts w:ascii="仿宋_GB2312" w:hAnsi="仿宋_GB2312" w:cs="仿宋_GB2312" w:eastAsia="仿宋_GB2312"/>
                <w:sz w:val="20"/>
              </w:rPr>
              <w:t>，座椅织布，车辆年限：</w:t>
            </w:r>
            <w:r>
              <w:rPr>
                <w:rFonts w:ascii="仿宋_GB2312" w:hAnsi="仿宋_GB2312" w:cs="仿宋_GB2312" w:eastAsia="仿宋_GB2312"/>
                <w:sz w:val="20"/>
              </w:rPr>
              <w:t>8</w:t>
            </w:r>
            <w:r>
              <w:rPr>
                <w:rFonts w:ascii="仿宋_GB2312" w:hAnsi="仿宋_GB2312" w:cs="仿宋_GB2312" w:eastAsia="仿宋_GB2312"/>
                <w:sz w:val="20"/>
              </w:rPr>
              <w:t>年以内。</w:t>
            </w:r>
          </w:p>
          <w:p>
            <w:pPr>
              <w:pStyle w:val="null3"/>
            </w:pPr>
            <w:r>
              <w:rPr>
                <w:rFonts w:ascii="仿宋_GB2312" w:hAnsi="仿宋_GB2312" w:cs="仿宋_GB2312" w:eastAsia="仿宋_GB2312"/>
                <w:sz w:val="20"/>
              </w:rPr>
              <w:t>车型二：皮卡</w:t>
            </w:r>
            <w:r>
              <w:rPr>
                <w:rFonts w:ascii="仿宋_GB2312" w:hAnsi="仿宋_GB2312" w:cs="仿宋_GB2312" w:eastAsia="仿宋_GB2312"/>
                <w:sz w:val="20"/>
              </w:rPr>
              <w:t>5</w:t>
            </w:r>
            <w:r>
              <w:rPr>
                <w:rFonts w:ascii="仿宋_GB2312" w:hAnsi="仿宋_GB2312" w:cs="仿宋_GB2312" w:eastAsia="仿宋_GB2312"/>
                <w:sz w:val="20"/>
              </w:rPr>
              <w:t>座</w:t>
            </w:r>
            <w:r>
              <w:rPr>
                <w:rFonts w:ascii="仿宋_GB2312" w:hAnsi="仿宋_GB2312" w:cs="仿宋_GB2312" w:eastAsia="仿宋_GB2312"/>
                <w:sz w:val="20"/>
              </w:rPr>
              <w:t>2</w:t>
            </w:r>
            <w:r>
              <w:rPr>
                <w:rFonts w:ascii="仿宋_GB2312" w:hAnsi="仿宋_GB2312" w:cs="仿宋_GB2312" w:eastAsia="仿宋_GB2312"/>
                <w:sz w:val="20"/>
              </w:rPr>
              <w:t>辆</w:t>
            </w:r>
          </w:p>
          <w:p>
            <w:pPr>
              <w:pStyle w:val="null3"/>
            </w:pPr>
            <w:r>
              <w:rPr>
                <w:rFonts w:ascii="仿宋_GB2312" w:hAnsi="仿宋_GB2312" w:cs="仿宋_GB2312" w:eastAsia="仿宋_GB2312"/>
                <w:sz w:val="20"/>
              </w:rPr>
              <w:t>性能要求：排量≥</w:t>
            </w:r>
            <w:r>
              <w:rPr>
                <w:rFonts w:ascii="仿宋_GB2312" w:hAnsi="仿宋_GB2312" w:cs="仿宋_GB2312" w:eastAsia="仿宋_GB2312"/>
                <w:sz w:val="20"/>
              </w:rPr>
              <w:t>2.0L</w:t>
            </w:r>
            <w:r>
              <w:rPr>
                <w:rFonts w:ascii="仿宋_GB2312" w:hAnsi="仿宋_GB2312" w:cs="仿宋_GB2312" w:eastAsia="仿宋_GB2312"/>
                <w:sz w:val="20"/>
              </w:rPr>
              <w:t>，排放标准不低于国</w:t>
            </w:r>
            <w:r>
              <w:rPr>
                <w:rFonts w:ascii="仿宋_GB2312" w:hAnsi="仿宋_GB2312" w:cs="仿宋_GB2312" w:eastAsia="仿宋_GB2312"/>
                <w:sz w:val="20"/>
              </w:rPr>
              <w:t>VI</w:t>
            </w:r>
            <w:r>
              <w:rPr>
                <w:rFonts w:ascii="仿宋_GB2312" w:hAnsi="仿宋_GB2312" w:cs="仿宋_GB2312" w:eastAsia="仿宋_GB2312"/>
                <w:sz w:val="20"/>
              </w:rPr>
              <w:t>，座椅织布，车辆年限：</w:t>
            </w:r>
            <w:r>
              <w:rPr>
                <w:rFonts w:ascii="仿宋_GB2312" w:hAnsi="仿宋_GB2312" w:cs="仿宋_GB2312" w:eastAsia="仿宋_GB2312"/>
                <w:sz w:val="20"/>
              </w:rPr>
              <w:t>8</w:t>
            </w:r>
            <w:r>
              <w:rPr>
                <w:rFonts w:ascii="仿宋_GB2312" w:hAnsi="仿宋_GB2312" w:cs="仿宋_GB2312" w:eastAsia="仿宋_GB2312"/>
                <w:sz w:val="20"/>
              </w:rPr>
              <w:t>年以内。</w:t>
            </w:r>
          </w:p>
          <w:p>
            <w:pPr>
              <w:pStyle w:val="null3"/>
            </w:pPr>
            <w:r>
              <w:rPr>
                <w:rFonts w:ascii="仿宋_GB2312" w:hAnsi="仿宋_GB2312" w:cs="仿宋_GB2312" w:eastAsia="仿宋_GB2312"/>
                <w:sz w:val="20"/>
              </w:rPr>
              <w:t>车型三：面包车</w:t>
            </w:r>
            <w:r>
              <w:rPr>
                <w:rFonts w:ascii="仿宋_GB2312" w:hAnsi="仿宋_GB2312" w:cs="仿宋_GB2312" w:eastAsia="仿宋_GB2312"/>
                <w:sz w:val="20"/>
              </w:rPr>
              <w:t>14</w:t>
            </w:r>
            <w:r>
              <w:rPr>
                <w:rFonts w:ascii="仿宋_GB2312" w:hAnsi="仿宋_GB2312" w:cs="仿宋_GB2312" w:eastAsia="仿宋_GB2312"/>
                <w:sz w:val="20"/>
              </w:rPr>
              <w:t>座</w:t>
            </w:r>
            <w:r>
              <w:rPr>
                <w:rFonts w:ascii="仿宋_GB2312" w:hAnsi="仿宋_GB2312" w:cs="仿宋_GB2312" w:eastAsia="仿宋_GB2312"/>
                <w:sz w:val="20"/>
              </w:rPr>
              <w:t>1</w:t>
            </w:r>
            <w:r>
              <w:rPr>
                <w:rFonts w:ascii="仿宋_GB2312" w:hAnsi="仿宋_GB2312" w:cs="仿宋_GB2312" w:eastAsia="仿宋_GB2312"/>
                <w:sz w:val="20"/>
              </w:rPr>
              <w:t>辆</w:t>
            </w:r>
          </w:p>
          <w:p>
            <w:pPr>
              <w:pStyle w:val="null3"/>
            </w:pPr>
            <w:r>
              <w:rPr>
                <w:rFonts w:ascii="仿宋_GB2312" w:hAnsi="仿宋_GB2312" w:cs="仿宋_GB2312" w:eastAsia="仿宋_GB2312"/>
                <w:sz w:val="21"/>
              </w:rPr>
              <w:t>性能要求：排量≥</w:t>
            </w:r>
            <w:r>
              <w:rPr>
                <w:rFonts w:ascii="仿宋_GB2312" w:hAnsi="仿宋_GB2312" w:cs="仿宋_GB2312" w:eastAsia="仿宋_GB2312"/>
                <w:sz w:val="21"/>
              </w:rPr>
              <w:t>2.0L</w:t>
            </w:r>
            <w:r>
              <w:rPr>
                <w:rFonts w:ascii="仿宋_GB2312" w:hAnsi="仿宋_GB2312" w:cs="仿宋_GB2312" w:eastAsia="仿宋_GB2312"/>
                <w:sz w:val="21"/>
              </w:rPr>
              <w:t>，排放标准不低于国</w:t>
            </w:r>
            <w:r>
              <w:rPr>
                <w:rFonts w:ascii="仿宋_GB2312" w:hAnsi="仿宋_GB2312" w:cs="仿宋_GB2312" w:eastAsia="仿宋_GB2312"/>
                <w:sz w:val="21"/>
              </w:rPr>
              <w:t>VI</w:t>
            </w:r>
            <w:r>
              <w:rPr>
                <w:rFonts w:ascii="仿宋_GB2312" w:hAnsi="仿宋_GB2312" w:cs="仿宋_GB2312" w:eastAsia="仿宋_GB2312"/>
                <w:sz w:val="21"/>
              </w:rPr>
              <w:t>，座椅织布，车辆年限：</w:t>
            </w:r>
            <w:r>
              <w:rPr>
                <w:rFonts w:ascii="仿宋_GB2312" w:hAnsi="仿宋_GB2312" w:cs="仿宋_GB2312" w:eastAsia="仿宋_GB2312"/>
                <w:sz w:val="21"/>
              </w:rPr>
              <w:t>8</w:t>
            </w:r>
            <w:r>
              <w:rPr>
                <w:rFonts w:ascii="仿宋_GB2312" w:hAnsi="仿宋_GB2312" w:cs="仿宋_GB2312" w:eastAsia="仿宋_GB2312"/>
                <w:sz w:val="21"/>
              </w:rPr>
              <w:t>年以内。</w:t>
            </w:r>
          </w:p>
          <w:p>
            <w:pPr>
              <w:pStyle w:val="null3"/>
            </w:pPr>
            <w:r>
              <w:rPr>
                <w:rFonts w:ascii="仿宋_GB2312" w:hAnsi="仿宋_GB2312" w:cs="仿宋_GB2312" w:eastAsia="仿宋_GB2312"/>
                <w:sz w:val="21"/>
                <w:b/>
              </w:rPr>
              <w:t>七、人员安排</w:t>
            </w:r>
          </w:p>
          <w:p>
            <w:pPr>
              <w:pStyle w:val="null3"/>
            </w:pPr>
            <w:r>
              <w:rPr>
                <w:rFonts w:ascii="仿宋_GB2312" w:hAnsi="仿宋_GB2312" w:cs="仿宋_GB2312" w:eastAsia="仿宋_GB2312"/>
                <w:sz w:val="21"/>
              </w:rPr>
              <w:t>供应商为本项目配备专业的服务团队，至少包含项目负责人、车辆调度员、维修专员、应急人员等相关人员。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详见合同草案条款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结算方式采用先用车后结算，按照实际用车次数每季度结算一次，乙方于出车后下个季度5个工作日内向甲方开具租赁发票，甲方于用车下季度内以银行转账方式向乙方支付上季度租赁费用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结算方式采用先用车后结算，按照实际用车次数每季度结算一次，乙方于出车后下个季度5个工作日内向甲方开具租赁发票，甲方于用车下季度内以银行转账方式向乙方支付上季度租赁费用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结算方式采用先用车后结算，按照实际用车次数每季度结算一次，乙方于出车后下个季度5个工作日内向甲方开具租赁发票，甲方于用车下季度内以银行转账方式向乙方支付上季度租赁费用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结算方式采用先用车后结算，按照实际用车次数每季度结算一次，乙方于出车后下个季度5个工作日内向甲方开具租赁发票，甲方于用车下季度内以银行转账方式向乙方支付上季度租赁费用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详见合同草案条款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三、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响应函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1.服务目标及服务计划； 2.针对本项目的整体服务方案； 3.车辆安全检查与隐患治理措施； 4.租赁车辆定期清洁与保养方案； 5.车辆交付与归还、事故保险等服务流程。 6.项目重难点分析及解决措施。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1.针对本项目具有详细的管理制度： 1.1岗位制度：包括但不限于岗位制度、服务标准、服务流程等； 1.2内控制度：包括但不限于组织机构、内部管理制度、监督机制等； 2.车辆应急维修保障服务方案。 3.车辆行驶中突发故障的应急响应方案、响应时效。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拟投入本项目服务人员配置情况： 二、评审标准 1.人员配置满足磋商文件要求，分工安排合理、职责划分明确； 2.提供具体的人员身份证明及工作简历； 三、赋分标准 以上每完全满足一个评审标准得2分，满分4分。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根据供应商所提供的车辆相关材料，19辆车中，自有车辆每有一辆计1分（须提供车辆行驶证，车辆所有人名称与供应商名称一致），租赁车辆或承诺后期配齐的每有一辆计0.5分，满分19分。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供应商提供以下承诺，每提供一个计1分，未提供不得分： 1.提供的所有车辆无重大安全责任和事故、无泡水车； 2.提供的所有车辆年限合格，无车辆租赁相关投诉处罚记录。</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供应商提供2023年1月至今同类项目业绩，业绩以合同为依据，响应文件中附有其证明资料，每提供一个业绩证明计1分，满分5分。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