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版本号：SCZE2025-ZB-3319-001R20260212001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曲江新区市政道路病害体探测项目(二次)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SCZE2025-ZB-3319-001R</w:t>
      </w:r>
      <w:r>
        <w:br/>
      </w:r>
      <w:r>
        <w:br/>
      </w:r>
      <w:r>
        <w:br/>
      </w:r>
    </w:p>
    <w:p>
      <w:pPr>
        <w:pStyle w:val="null3"/>
        <w:jc w:val="center"/>
        <w:outlineLvl w:val="2"/>
      </w:pPr>
      <w:r>
        <w:rPr>
          <w:rFonts w:ascii="仿宋_GB2312" w:hAnsi="仿宋_GB2312" w:cs="仿宋_GB2312" w:eastAsia="仿宋_GB2312"/>
          <w:sz w:val="28"/>
          <w:b/>
        </w:rPr>
        <w:t>西安曲江新区事业资产管理中心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西安曲江新区事业资产管理中心</w:t>
      </w:r>
      <w:r>
        <w:rPr>
          <w:rFonts w:ascii="仿宋_GB2312" w:hAnsi="仿宋_GB2312" w:cs="仿宋_GB2312" w:eastAsia="仿宋_GB2312"/>
        </w:rPr>
        <w:t>委托，拟对</w:t>
      </w:r>
      <w:r>
        <w:rPr>
          <w:rFonts w:ascii="仿宋_GB2312" w:hAnsi="仿宋_GB2312" w:cs="仿宋_GB2312" w:eastAsia="仿宋_GB2312"/>
        </w:rPr>
        <w:t>曲江新区市政道路病害体探测项目(二次)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SCZE2025-ZB-3319-001R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曲江新区市政道路病害体探测项目(二次)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对曲江新区1条快速路、20条主干路以及积水点周边道路探测，并出具检测报告，提供全部探测数据等相关工作，具体以实际情况为准，具体内容详见采购文件。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1、企业资质：投标人需具备工程勘察岩土工程（物探测试检测监测）乙级及以上资质或具备乙级测绘资质（摄影测量与遥感专业）及以上资质。</w:t>
      </w:r>
    </w:p>
    <w:p>
      <w:pPr>
        <w:pStyle w:val="null3"/>
      </w:pPr>
      <w:r>
        <w:rPr>
          <w:rFonts w:ascii="仿宋_GB2312" w:hAnsi="仿宋_GB2312" w:cs="仿宋_GB2312" w:eastAsia="仿宋_GB2312"/>
        </w:rPr>
        <w:t>2、“信用中国”网站和中国政府采购网（www.ccgp.gov.cn）查询记录：投标人未被列入“信用中国”网站(www.creditchina.gov.cn)“失信被执行人或重大税收违法失信主体”记录名单；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p>
      <w:pPr>
        <w:pStyle w:val="null3"/>
      </w:pPr>
      <w:r>
        <w:rPr>
          <w:rFonts w:ascii="仿宋_GB2312" w:hAnsi="仿宋_GB2312" w:cs="仿宋_GB2312" w:eastAsia="仿宋_GB2312"/>
        </w:rPr>
        <w:t>3、投标人不得存在下列情形之一：单位负责人为同一人或者存在直接控股、管理关系的不同供应商，不得参加本次采购活动；为本项目提供整体设计、规范编制或者项目管理、监理、检测等服务的供应商，不得再参加本项目的采购活动。</w:t>
      </w:r>
    </w:p>
    <w:p>
      <w:pPr>
        <w:pStyle w:val="null3"/>
      </w:pPr>
      <w:r>
        <w:rPr>
          <w:rFonts w:ascii="仿宋_GB2312" w:hAnsi="仿宋_GB2312" w:cs="仿宋_GB2312" w:eastAsia="仿宋_GB2312"/>
        </w:rPr>
        <w:t>4、授权委托书或法人身份证明：法定代表人或单位负责人参加投标的，应提供法定代表人或单位负责人身份证明；授权代表参加投标的，应提供法定代表人或单位负责人身份证明、授权委托书及授权代表在本单位缴纳养老保险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西安曲江新区事业资产管理中心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西安雁塔区杜陵邑南路6号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029-68660204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李心洋、马超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代理服务费收费标准：参照《国家计委关于印发&lt;招标代理服务收费管理暂行办法&gt;的通知》（计价格[2002]1980号）规定标准下浮30%按标段收取，不足8000元按8000收取。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西安曲江新区事业资产管理中心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西安曲江新区事业资产管理中心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西安曲江新区事业资产管理中心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对曲江新区1条快速路、20条主干路以及积水点周边道路探测，并出具检测报告，提供全部探测数据等相关工作，具体以实际情况为准，具体内容详见采购文件。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曲江新区2025年市政道路病害体探测项目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标的名称：曲江新区2025年市政道路病害体探测项目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pPr>
            <w:r>
              <w:rPr>
                <w:rFonts w:ascii="仿宋_GB2312" w:hAnsi="仿宋_GB2312" w:cs="仿宋_GB2312" w:eastAsia="仿宋_GB2312"/>
                <w:sz w:val="24"/>
              </w:rPr>
              <w:t>为确保我区城市道路安全，根据《关于印发陕西省城市基础设施生命线安全风险评估指导手册的通知》（陕建发〔</w:t>
            </w:r>
            <w:r>
              <w:rPr>
                <w:rFonts w:ascii="仿宋_GB2312" w:hAnsi="仿宋_GB2312" w:cs="仿宋_GB2312" w:eastAsia="仿宋_GB2312"/>
                <w:sz w:val="24"/>
              </w:rPr>
              <w:t>2024〕1007号）文件、《西安市市政道路地下空洞探测整治工作方案》《2025年市政道路塌陷和空洞隐患排查整治工作方案》文件要求，需对我区城市道路开展病害体探测工作。</w:t>
            </w:r>
          </w:p>
          <w:p>
            <w:pPr>
              <w:pStyle w:val="null3"/>
            </w:pPr>
            <w:r>
              <w:rPr>
                <w:rFonts w:ascii="仿宋_GB2312" w:hAnsi="仿宋_GB2312" w:cs="仿宋_GB2312" w:eastAsia="仿宋_GB2312"/>
                <w:sz w:val="24"/>
              </w:rPr>
              <w:t>曲江新区城市道路病害体探测项目主要利用先进的探底雷达等技术手段，对曲江新区内对</w:t>
            </w:r>
            <w:r>
              <w:rPr>
                <w:rFonts w:ascii="仿宋_GB2312" w:hAnsi="仿宋_GB2312" w:cs="仿宋_GB2312" w:eastAsia="仿宋_GB2312"/>
                <w:sz w:val="24"/>
              </w:rPr>
              <w:t>1条快速路、20条主干道、积水点及其周边道路开展雷达探测,测线长度为1250千米。</w:t>
            </w:r>
          </w:p>
          <w:p>
            <w:pPr>
              <w:pStyle w:val="null3"/>
            </w:pPr>
            <w:r>
              <w:rPr>
                <w:rFonts w:ascii="仿宋_GB2312" w:hAnsi="仿宋_GB2312" w:cs="仿宋_GB2312" w:eastAsia="仿宋_GB2312"/>
                <w:sz w:val="24"/>
              </w:rPr>
              <w:t>二、工作内容</w:t>
            </w:r>
          </w:p>
          <w:p>
            <w:pPr>
              <w:pStyle w:val="null3"/>
            </w:pPr>
            <w:r>
              <w:rPr>
                <w:rFonts w:ascii="仿宋_GB2312" w:hAnsi="仿宋_GB2312" w:cs="仿宋_GB2312" w:eastAsia="仿宋_GB2312"/>
                <w:sz w:val="24"/>
              </w:rPr>
              <w:t>完成曲江新区内对</w:t>
            </w:r>
            <w:r>
              <w:rPr>
                <w:rFonts w:ascii="仿宋_GB2312" w:hAnsi="仿宋_GB2312" w:cs="仿宋_GB2312" w:eastAsia="仿宋_GB2312"/>
                <w:sz w:val="24"/>
              </w:rPr>
              <w:t>1条快速路、20条主干道、积水点及其周边道路开展雷达探测，查清路面下方已经存在的空洞、脱空区、疏松区及富水区等地下病害体，绘制道路地下病害分布图，分析现存隐患可能产生的影响程度，提出相应的处置方案及确保道路安全运行、消除安全隐患的有效处理措施，为城市道路地下病害防治与决策提供基础数据。</w:t>
            </w:r>
          </w:p>
          <w:p>
            <w:pPr>
              <w:pStyle w:val="null3"/>
            </w:pPr>
            <w:r>
              <w:rPr>
                <w:rFonts w:ascii="仿宋_GB2312" w:hAnsi="仿宋_GB2312" w:cs="仿宋_GB2312" w:eastAsia="仿宋_GB2312"/>
                <w:sz w:val="24"/>
              </w:rPr>
              <w:t>三、工作要求</w:t>
            </w:r>
          </w:p>
          <w:p>
            <w:pPr>
              <w:pStyle w:val="null3"/>
            </w:pPr>
            <w:r>
              <w:rPr>
                <w:rFonts w:ascii="仿宋_GB2312" w:hAnsi="仿宋_GB2312" w:cs="仿宋_GB2312" w:eastAsia="仿宋_GB2312"/>
                <w:sz w:val="24"/>
              </w:rPr>
              <w:t>1、基本要求</w:t>
            </w:r>
          </w:p>
          <w:p>
            <w:pPr>
              <w:pStyle w:val="null3"/>
            </w:pPr>
            <w:r>
              <w:rPr>
                <w:rFonts w:ascii="仿宋_GB2312" w:hAnsi="仿宋_GB2312" w:cs="仿宋_GB2312" w:eastAsia="仿宋_GB2312"/>
                <w:sz w:val="24"/>
              </w:rPr>
              <w:t>(1)探测项目应采用三维探地雷达探测方法为主，其他探测方法为辅；</w:t>
            </w:r>
          </w:p>
          <w:p>
            <w:pPr>
              <w:pStyle w:val="null3"/>
            </w:pPr>
            <w:r>
              <w:rPr>
                <w:rFonts w:ascii="仿宋_GB2312" w:hAnsi="仿宋_GB2312" w:cs="仿宋_GB2312" w:eastAsia="仿宋_GB2312"/>
                <w:sz w:val="24"/>
              </w:rPr>
              <w:t>(2)在探测过程中如查明已形成严重隐患的病害时，立即以电话与书面形式通知委托人；</w:t>
            </w:r>
          </w:p>
          <w:p>
            <w:pPr>
              <w:pStyle w:val="null3"/>
            </w:pPr>
            <w:r>
              <w:rPr>
                <w:rFonts w:ascii="仿宋_GB2312" w:hAnsi="仿宋_GB2312" w:cs="仿宋_GB2312" w:eastAsia="仿宋_GB2312"/>
                <w:sz w:val="24"/>
              </w:rPr>
              <w:t>(3)以逐条道路列表形式描述所探测出的各类病害的属性、平面位置、埋深、大小等情况，对病害严重区域需提供病害内部影像资料；</w:t>
            </w:r>
          </w:p>
          <w:p>
            <w:pPr>
              <w:pStyle w:val="null3"/>
            </w:pPr>
            <w:r>
              <w:rPr>
                <w:rFonts w:ascii="仿宋_GB2312" w:hAnsi="仿宋_GB2312" w:cs="仿宋_GB2312" w:eastAsia="仿宋_GB2312"/>
                <w:sz w:val="24"/>
              </w:rPr>
              <w:t>(4)以1:500或1:1000基础地形图为工作底图，绘制道路地下病害体分布图；</w:t>
            </w:r>
          </w:p>
          <w:p>
            <w:pPr>
              <w:pStyle w:val="null3"/>
            </w:pPr>
            <w:r>
              <w:rPr>
                <w:rFonts w:ascii="仿宋_GB2312" w:hAnsi="仿宋_GB2312" w:cs="仿宋_GB2312" w:eastAsia="仿宋_GB2312"/>
                <w:sz w:val="24"/>
              </w:rPr>
              <w:t>(5)对各类病害进行初步成因分析并提出处理方法建议；</w:t>
            </w:r>
          </w:p>
          <w:p>
            <w:pPr>
              <w:pStyle w:val="null3"/>
            </w:pPr>
            <w:r>
              <w:rPr>
                <w:rFonts w:ascii="仿宋_GB2312" w:hAnsi="仿宋_GB2312" w:cs="仿宋_GB2312" w:eastAsia="仿宋_GB2312"/>
                <w:sz w:val="24"/>
              </w:rPr>
              <w:t>(6)形成所有核定探测区域的测线布置图及雷达图谱；</w:t>
            </w:r>
          </w:p>
          <w:p>
            <w:pPr>
              <w:pStyle w:val="null3"/>
            </w:pPr>
            <w:r>
              <w:rPr>
                <w:rFonts w:ascii="仿宋_GB2312" w:hAnsi="仿宋_GB2312" w:cs="仿宋_GB2312" w:eastAsia="仿宋_GB2312"/>
                <w:sz w:val="24"/>
              </w:rPr>
              <w:t>(7)对探测数据进行整理分析，并出具探测报告；</w:t>
            </w:r>
          </w:p>
          <w:p>
            <w:pPr>
              <w:pStyle w:val="null3"/>
            </w:pPr>
            <w:r>
              <w:rPr>
                <w:rFonts w:ascii="仿宋_GB2312" w:hAnsi="仿宋_GB2312" w:cs="仿宋_GB2312" w:eastAsia="仿宋_GB2312"/>
                <w:sz w:val="24"/>
              </w:rPr>
              <w:t>(8)获取测线精确位置，按测线为单位，组织雷达探测原始数据和图像数据并按设计方案要求提交。</w:t>
            </w:r>
          </w:p>
          <w:p>
            <w:pPr>
              <w:pStyle w:val="null3"/>
            </w:pPr>
            <w:r>
              <w:rPr>
                <w:rFonts w:ascii="仿宋_GB2312" w:hAnsi="仿宋_GB2312" w:cs="仿宋_GB2312" w:eastAsia="仿宋_GB2312"/>
                <w:sz w:val="24"/>
              </w:rPr>
              <w:t>2、技术要求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1）探地雷达设备</w:t>
            </w:r>
          </w:p>
          <w:p>
            <w:pPr>
              <w:pStyle w:val="null3"/>
            </w:pPr>
            <w:r>
              <w:rPr>
                <w:rFonts w:ascii="仿宋_GB2312" w:hAnsi="仿宋_GB2312" w:cs="仿宋_GB2312" w:eastAsia="仿宋_GB2312"/>
                <w:sz w:val="24"/>
              </w:rPr>
              <w:t>①配备至少 2台三维阵列雷达设备用于本项目，且探测通道不少于 8 通道。</w:t>
            </w:r>
          </w:p>
          <w:p>
            <w:pPr>
              <w:pStyle w:val="null3"/>
            </w:pPr>
            <w:r>
              <w:rPr>
                <w:rFonts w:ascii="仿宋_GB2312" w:hAnsi="仿宋_GB2312" w:cs="仿宋_GB2312" w:eastAsia="仿宋_GB2312"/>
                <w:sz w:val="24"/>
              </w:rPr>
              <w:t>②配备至少 2台双拼探地雷达设备及其相关的设施设备和耗材用于本项目。</w:t>
            </w:r>
          </w:p>
          <w:p>
            <w:pPr>
              <w:pStyle w:val="null3"/>
            </w:pPr>
            <w:r>
              <w:rPr>
                <w:rFonts w:ascii="仿宋_GB2312" w:hAnsi="仿宋_GB2312" w:cs="仿宋_GB2312" w:eastAsia="仿宋_GB2312"/>
                <w:sz w:val="24"/>
              </w:rPr>
              <w:t>（</w:t>
            </w:r>
            <w:r>
              <w:rPr>
                <w:rFonts w:ascii="仿宋_GB2312" w:hAnsi="仿宋_GB2312" w:cs="仿宋_GB2312" w:eastAsia="仿宋_GB2312"/>
                <w:sz w:val="24"/>
              </w:rPr>
              <w:t>2）探地雷达测线布设</w:t>
            </w:r>
          </w:p>
          <w:p>
            <w:pPr>
              <w:pStyle w:val="null3"/>
            </w:pPr>
            <w:r>
              <w:rPr>
                <w:rFonts w:ascii="仿宋_GB2312" w:hAnsi="仿宋_GB2312" w:cs="仿宋_GB2312" w:eastAsia="仿宋_GB2312"/>
                <w:sz w:val="24"/>
              </w:rPr>
              <w:t>①三维探地雷达测线束布设</w:t>
            </w:r>
          </w:p>
          <w:p>
            <w:pPr>
              <w:pStyle w:val="null3"/>
            </w:pPr>
            <w:r>
              <w:rPr>
                <w:rFonts w:ascii="仿宋_GB2312" w:hAnsi="仿宋_GB2312" w:cs="仿宋_GB2312" w:eastAsia="仿宋_GB2312"/>
                <w:sz w:val="24"/>
              </w:rPr>
              <w:t>三维探地雷达的测线束布设时，以对测区内车行道进行全覆盖探测为原则；具体布设的测线束数量按以下公式计算得出的测线束数量为准：</w:t>
            </w:r>
          </w:p>
          <w:p>
            <w:pPr>
              <w:pStyle w:val="null3"/>
            </w:pPr>
            <w:r>
              <w:rPr>
                <w:rFonts w:ascii="仿宋_GB2312" w:hAnsi="仿宋_GB2312" w:cs="仿宋_GB2312" w:eastAsia="仿宋_GB2312"/>
                <w:sz w:val="24"/>
              </w:rPr>
              <w:t>测线束数量</w:t>
            </w:r>
            <w:r>
              <w:rPr>
                <w:rFonts w:ascii="仿宋_GB2312" w:hAnsi="仿宋_GB2312" w:cs="仿宋_GB2312" w:eastAsia="仿宋_GB2312"/>
                <w:sz w:val="24"/>
              </w:rPr>
              <w:t>=道路宽度÷三维地质雷达有效覆盖宽度</w:t>
            </w:r>
          </w:p>
          <w:p>
            <w:pPr>
              <w:pStyle w:val="null3"/>
            </w:pPr>
            <w:r>
              <w:rPr>
                <w:rFonts w:ascii="仿宋_GB2312" w:hAnsi="仿宋_GB2312" w:cs="仿宋_GB2312" w:eastAsia="仿宋_GB2312"/>
                <w:sz w:val="24"/>
              </w:rPr>
              <w:t>②三维雷达测线束编号</w:t>
            </w:r>
          </w:p>
          <w:p>
            <w:pPr>
              <w:pStyle w:val="null3"/>
            </w:pPr>
            <w:r>
              <w:rPr>
                <w:rFonts w:ascii="仿宋_GB2312" w:hAnsi="仿宋_GB2312" w:cs="仿宋_GB2312" w:eastAsia="仿宋_GB2312"/>
                <w:sz w:val="24"/>
              </w:rPr>
              <w:t>三维雷达每条测线束的起讫点都需在人工采点，编号需采用字母加数字的形式，而且必须和该条测线束雷达剖面图编号一致，以便可以精确地定位异常区域。</w:t>
            </w:r>
          </w:p>
          <w:p>
            <w:pPr>
              <w:pStyle w:val="null3"/>
            </w:pPr>
            <w:r>
              <w:rPr>
                <w:rFonts w:ascii="仿宋_GB2312" w:hAnsi="仿宋_GB2312" w:cs="仿宋_GB2312" w:eastAsia="仿宋_GB2312"/>
                <w:sz w:val="24"/>
              </w:rPr>
              <w:t>③异常区域复测测线布置</w:t>
            </w:r>
          </w:p>
          <w:p>
            <w:pPr>
              <w:pStyle w:val="null3"/>
            </w:pPr>
            <w:r>
              <w:rPr>
                <w:rFonts w:ascii="仿宋_GB2312" w:hAnsi="仿宋_GB2312" w:cs="仿宋_GB2312" w:eastAsia="仿宋_GB2312"/>
                <w:sz w:val="24"/>
              </w:rPr>
              <w:t>当三维雷达探测过程中发现异常，应采用二维探地雷达复测（必要时可采用点测的观测方式），复测采取网格化加密布置测线，且该测线的起讫点也需在地面做好标记。</w:t>
            </w:r>
          </w:p>
          <w:p>
            <w:pPr>
              <w:pStyle w:val="null3"/>
            </w:pPr>
            <w:r>
              <w:rPr>
                <w:rFonts w:ascii="仿宋_GB2312" w:hAnsi="仿宋_GB2312" w:cs="仿宋_GB2312" w:eastAsia="仿宋_GB2312"/>
                <w:sz w:val="24"/>
              </w:rPr>
              <w:t>加密测线布置需满足如下要求：</w:t>
            </w:r>
          </w:p>
          <w:p>
            <w:pPr>
              <w:pStyle w:val="null3"/>
            </w:pPr>
            <w:r>
              <w:rPr>
                <w:rFonts w:ascii="仿宋_GB2312" w:hAnsi="仿宋_GB2312" w:cs="仿宋_GB2312" w:eastAsia="仿宋_GB2312"/>
                <w:sz w:val="24"/>
              </w:rPr>
              <w:t>1）沿道路方向的加密测线长度需超过异常沿道路方向长度两边各不小于5m范围。</w:t>
            </w:r>
          </w:p>
          <w:p>
            <w:pPr>
              <w:pStyle w:val="null3"/>
            </w:pPr>
            <w:r>
              <w:rPr>
                <w:rFonts w:ascii="仿宋_GB2312" w:hAnsi="仿宋_GB2312" w:cs="仿宋_GB2312" w:eastAsia="仿宋_GB2312"/>
                <w:sz w:val="24"/>
              </w:rPr>
              <w:t>2）垂直道路方向的加密测线根据实际道路条件尽可能延长。</w:t>
            </w:r>
          </w:p>
          <w:p>
            <w:pPr>
              <w:pStyle w:val="null3"/>
            </w:pPr>
            <w:r>
              <w:rPr>
                <w:rFonts w:ascii="仿宋_GB2312" w:hAnsi="仿宋_GB2312" w:cs="仿宋_GB2312" w:eastAsia="仿宋_GB2312"/>
                <w:sz w:val="24"/>
              </w:rPr>
              <w:t>3）加密测线的线间距原则上不大于1m。</w:t>
            </w:r>
          </w:p>
          <w:p>
            <w:pPr>
              <w:pStyle w:val="null3"/>
            </w:pPr>
            <w:r>
              <w:rPr>
                <w:rFonts w:ascii="仿宋_GB2312" w:hAnsi="仿宋_GB2312" w:cs="仿宋_GB2312" w:eastAsia="仿宋_GB2312"/>
                <w:sz w:val="24"/>
              </w:rPr>
              <w:t>4）超出异常区域范围外仍需布置不少于2条测线。</w:t>
            </w:r>
          </w:p>
          <w:p>
            <w:pPr>
              <w:pStyle w:val="null3"/>
            </w:pPr>
            <w:r>
              <w:rPr>
                <w:rFonts w:ascii="仿宋_GB2312" w:hAnsi="仿宋_GB2312" w:cs="仿宋_GB2312" w:eastAsia="仿宋_GB2312"/>
                <w:sz w:val="24"/>
              </w:rPr>
              <w:t>5）实际测线数根据异常规模和现场情况确定。</w:t>
            </w:r>
          </w:p>
          <w:p>
            <w:pPr>
              <w:pStyle w:val="null3"/>
            </w:pPr>
            <w:r>
              <w:rPr>
                <w:rFonts w:ascii="仿宋_GB2312" w:hAnsi="仿宋_GB2312" w:cs="仿宋_GB2312" w:eastAsia="仿宋_GB2312"/>
                <w:sz w:val="24"/>
              </w:rPr>
              <w:t>④其他注意事项</w:t>
            </w:r>
          </w:p>
          <w:p>
            <w:pPr>
              <w:pStyle w:val="null3"/>
            </w:pPr>
            <w:r>
              <w:rPr>
                <w:rFonts w:ascii="仿宋_GB2312" w:hAnsi="仿宋_GB2312" w:cs="仿宋_GB2312" w:eastAsia="仿宋_GB2312"/>
                <w:sz w:val="24"/>
              </w:rPr>
              <w:t>1）布置测线时，应根据工程探测需要和环境因素进行布设，测线密度应保证异常的连续、完整和便于追踪。</w:t>
            </w:r>
          </w:p>
          <w:p>
            <w:pPr>
              <w:pStyle w:val="null3"/>
            </w:pPr>
            <w:r>
              <w:rPr>
                <w:rFonts w:ascii="仿宋_GB2312" w:hAnsi="仿宋_GB2312" w:cs="仿宋_GB2312" w:eastAsia="仿宋_GB2312"/>
                <w:sz w:val="24"/>
              </w:rPr>
              <w:t>2）布置测线时，测线方向应避开地形及其他干扰的影响，应垂直于或大角度相交于探测对象或已知异常的走向，测线长度应保证异常的完整和具有足够的异常背景。</w:t>
            </w:r>
          </w:p>
          <w:p>
            <w:pPr>
              <w:pStyle w:val="null3"/>
            </w:pPr>
            <w:r>
              <w:rPr>
                <w:rFonts w:ascii="仿宋_GB2312" w:hAnsi="仿宋_GB2312" w:cs="仿宋_GB2312" w:eastAsia="仿宋_GB2312"/>
                <w:sz w:val="24"/>
              </w:rPr>
              <w:t>3) 设计的测线如果受到施工围挡、临时停放的车辆等物体的影响而无法按原计划执行时，将根据现场情形对测线位置和工作量做出合理调整，或者工期内，待具备测试条件时再对其进行补充探测；充分考虑转弯车道及港湾式公交车站等特殊区域的覆盖，必要时可单独设立测线。</w:t>
            </w:r>
          </w:p>
          <w:p>
            <w:pPr>
              <w:pStyle w:val="null3"/>
            </w:pPr>
            <w:r>
              <w:rPr>
                <w:rFonts w:ascii="仿宋_GB2312" w:hAnsi="仿宋_GB2312" w:cs="仿宋_GB2312" w:eastAsia="仿宋_GB2312"/>
                <w:sz w:val="24"/>
              </w:rPr>
              <w:t>4) 当检测区域中有明显加宽车道，或道路沿线存在其他塌陷隐患管线时，需适当增加测线条数，必要时扩大雷达覆盖区域至检测范围外以查明异常情况.</w:t>
            </w:r>
          </w:p>
          <w:p>
            <w:pPr>
              <w:pStyle w:val="null3"/>
            </w:pPr>
            <w:r>
              <w:rPr>
                <w:rFonts w:ascii="仿宋_GB2312" w:hAnsi="仿宋_GB2312" w:cs="仿宋_GB2312" w:eastAsia="仿宋_GB2312"/>
                <w:sz w:val="24"/>
              </w:rPr>
              <w:t>5) 各路口之间的路段采用交叉覆盖方式进行检测.</w:t>
            </w:r>
          </w:p>
          <w:p>
            <w:pPr>
              <w:pStyle w:val="null3"/>
            </w:pPr>
            <w:r>
              <w:rPr>
                <w:rFonts w:ascii="仿宋_GB2312" w:hAnsi="仿宋_GB2312" w:cs="仿宋_GB2312" w:eastAsia="仿宋_GB2312"/>
                <w:sz w:val="24"/>
              </w:rPr>
              <w:t>6)</w:t>
            </w:r>
            <w:r>
              <w:rPr>
                <w:rFonts w:ascii="仿宋_GB2312" w:hAnsi="仿宋_GB2312" w:cs="仿宋_GB2312" w:eastAsia="仿宋_GB2312"/>
                <w:sz w:val="24"/>
              </w:rPr>
              <w:t>在进行普查探测时，应在便于施工的情况下，根据道路情况合理布设测线长度，单条测线的长度宜控制在</w:t>
            </w:r>
            <w:r>
              <w:rPr>
                <w:rFonts w:ascii="仿宋_GB2312" w:hAnsi="仿宋_GB2312" w:cs="仿宋_GB2312" w:eastAsia="仿宋_GB2312"/>
                <w:sz w:val="24"/>
              </w:rPr>
              <w:t>1000m左右。</w:t>
            </w:r>
          </w:p>
          <w:p>
            <w:pPr>
              <w:pStyle w:val="null3"/>
            </w:pPr>
            <w:r>
              <w:rPr>
                <w:rFonts w:ascii="仿宋_GB2312" w:hAnsi="仿宋_GB2312" w:cs="仿宋_GB2312" w:eastAsia="仿宋_GB2312"/>
                <w:sz w:val="24"/>
              </w:rPr>
              <w:t>7) 在发现异常的位置，采用二维雷达网格化加密布置测线复测，加密测线的间距不大于0.5m，以进行详尽的排查与复测工作。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3）测量定位要求</w:t>
            </w:r>
          </w:p>
          <w:p>
            <w:pPr>
              <w:pStyle w:val="null3"/>
            </w:pPr>
            <w:r>
              <w:rPr>
                <w:rFonts w:ascii="仿宋_GB2312" w:hAnsi="仿宋_GB2312" w:cs="仿宋_GB2312" w:eastAsia="仿宋_GB2312"/>
                <w:sz w:val="24"/>
              </w:rPr>
              <w:t>①探地雷达探测工作测线应采用实时定位，测线起讫点、基点、转折点、异常点、地形突变点以及其他重要的点位，应进行位置的测量。测量工作应根据需要提供所探测点的坐标，需要时应将测点展绘到规定比例尺的地形图或其他平面图上。</w:t>
            </w:r>
          </w:p>
          <w:p>
            <w:pPr>
              <w:pStyle w:val="null3"/>
            </w:pPr>
            <w:r>
              <w:rPr>
                <w:rFonts w:ascii="仿宋_GB2312" w:hAnsi="仿宋_GB2312" w:cs="仿宋_GB2312" w:eastAsia="仿宋_GB2312"/>
                <w:sz w:val="24"/>
              </w:rPr>
              <w:t>②为确保地下病害体普查成果的一致性与精度，本次普查控制基准需采用西安市卫星定位连续运行参考站系统及西安市似大地水准面精化模型。</w:t>
            </w:r>
          </w:p>
          <w:p>
            <w:pPr>
              <w:pStyle w:val="null3"/>
            </w:pPr>
            <w:r>
              <w:rPr>
                <w:rFonts w:ascii="仿宋_GB2312" w:hAnsi="仿宋_GB2312" w:cs="仿宋_GB2312" w:eastAsia="仿宋_GB2312"/>
                <w:sz w:val="24"/>
              </w:rPr>
              <w:t>③平面坐标系统：CGCS2000或西安市独立坐标系。</w:t>
            </w:r>
          </w:p>
          <w:p>
            <w:pPr>
              <w:pStyle w:val="null3"/>
            </w:pPr>
            <w:r>
              <w:rPr>
                <w:rFonts w:ascii="仿宋_GB2312" w:hAnsi="仿宋_GB2312" w:cs="仿宋_GB2312" w:eastAsia="仿宋_GB2312"/>
                <w:sz w:val="24"/>
              </w:rPr>
              <w:t>④高程系统：采用1985国家高程基准。</w:t>
            </w:r>
          </w:p>
          <w:p>
            <w:pPr>
              <w:pStyle w:val="null3"/>
            </w:pPr>
            <w:r>
              <w:rPr>
                <w:rFonts w:ascii="仿宋_GB2312" w:hAnsi="仿宋_GB2312" w:cs="仿宋_GB2312" w:eastAsia="仿宋_GB2312"/>
                <w:sz w:val="24"/>
              </w:rPr>
              <w:t>⑤投影方式：成果采用标准3°分带的高斯-克吕格投影。</w:t>
            </w:r>
          </w:p>
          <w:p>
            <w:pPr>
              <w:pStyle w:val="null3"/>
            </w:pPr>
            <w:r>
              <w:rPr>
                <w:rFonts w:ascii="仿宋_GB2312" w:hAnsi="仿宋_GB2312" w:cs="仿宋_GB2312" w:eastAsia="仿宋_GB2312"/>
                <w:sz w:val="24"/>
              </w:rPr>
              <w:t>⑥本次普查成果标绘的工作底图比例尺要求为1:500。</w:t>
            </w:r>
          </w:p>
          <w:p>
            <w:pPr>
              <w:pStyle w:val="null3"/>
            </w:pPr>
            <w:r>
              <w:rPr>
                <w:rFonts w:ascii="仿宋_GB2312" w:hAnsi="仿宋_GB2312" w:cs="仿宋_GB2312" w:eastAsia="仿宋_GB2312"/>
                <w:sz w:val="24"/>
              </w:rPr>
              <w:t>⑦需要测量的测网控制基点应联测测量控制点，其点位和高程测量精度应符合国家标准《城市测量规范》（GB50026-2019）的要求；</w:t>
            </w:r>
          </w:p>
          <w:p>
            <w:pPr>
              <w:pStyle w:val="null3"/>
            </w:pPr>
            <w:r>
              <w:rPr>
                <w:rFonts w:ascii="仿宋_GB2312" w:hAnsi="仿宋_GB2312" w:cs="仿宋_GB2312" w:eastAsia="仿宋_GB2312"/>
                <w:sz w:val="24"/>
              </w:rPr>
              <w:t>⑧探测点位在相应比例尺平面图上的点位中误差和高程中误差，应符合现行行业标准《卫星定位城市测量技术规范》（CJJ/T73-2019）的有关规定。</w:t>
            </w:r>
          </w:p>
          <w:p>
            <w:pPr>
              <w:pStyle w:val="null3"/>
            </w:pPr>
            <w:r>
              <w:rPr>
                <w:rFonts w:ascii="仿宋_GB2312" w:hAnsi="仿宋_GB2312" w:cs="仿宋_GB2312" w:eastAsia="仿宋_GB2312"/>
                <w:sz w:val="24"/>
              </w:rPr>
              <w:t>⑨在满足测量精度基础上，坐标定位宜优先采用以RTK为主、全站仪为辅的综合测绘方法。</w:t>
            </w:r>
          </w:p>
          <w:p>
            <w:pPr>
              <w:pStyle w:val="null3"/>
            </w:pPr>
            <w:r>
              <w:rPr>
                <w:rFonts w:ascii="仿宋_GB2312" w:hAnsi="仿宋_GB2312" w:cs="仿宋_GB2312" w:eastAsia="仿宋_GB2312"/>
                <w:sz w:val="24"/>
              </w:rPr>
              <w:t>(4)技术规范标准要求</w:t>
            </w:r>
          </w:p>
          <w:p>
            <w:pPr>
              <w:pStyle w:val="null3"/>
            </w:pPr>
            <w:r>
              <w:rPr>
                <w:rFonts w:ascii="仿宋_GB2312" w:hAnsi="仿宋_GB2312" w:cs="仿宋_GB2312" w:eastAsia="仿宋_GB2312"/>
                <w:sz w:val="24"/>
              </w:rPr>
              <w:t>①《城市地下病害体综合探测与风险评估技术标准》JGJ /T437-2018；</w:t>
            </w:r>
          </w:p>
          <w:p>
            <w:pPr>
              <w:pStyle w:val="null3"/>
            </w:pPr>
            <w:r>
              <w:rPr>
                <w:rFonts w:ascii="仿宋_GB2312" w:hAnsi="仿宋_GB2312" w:cs="仿宋_GB2312" w:eastAsia="仿宋_GB2312"/>
                <w:sz w:val="24"/>
              </w:rPr>
              <w:t>②《道路三维探地雷达探测技术规程》T/CAS516-2021；</w:t>
            </w:r>
          </w:p>
          <w:p>
            <w:pPr>
              <w:pStyle w:val="null3"/>
            </w:pPr>
            <w:r>
              <w:rPr>
                <w:rFonts w:ascii="仿宋_GB2312" w:hAnsi="仿宋_GB2312" w:cs="仿宋_GB2312" w:eastAsia="仿宋_GB2312"/>
                <w:sz w:val="24"/>
              </w:rPr>
              <w:t>③《城市环境地质调查评价规范》DD2008-03；</w:t>
            </w:r>
          </w:p>
          <w:p>
            <w:pPr>
              <w:pStyle w:val="null3"/>
            </w:pPr>
            <w:r>
              <w:rPr>
                <w:rFonts w:ascii="仿宋_GB2312" w:hAnsi="仿宋_GB2312" w:cs="仿宋_GB2312" w:eastAsia="仿宋_GB2312"/>
                <w:sz w:val="24"/>
              </w:rPr>
              <w:t>④《城市工程地球物理探测规范》CJJ/T7-2017；</w:t>
            </w:r>
          </w:p>
          <w:p>
            <w:pPr>
              <w:pStyle w:val="null3"/>
            </w:pPr>
            <w:r>
              <w:rPr>
                <w:rFonts w:ascii="仿宋_GB2312" w:hAnsi="仿宋_GB2312" w:cs="仿宋_GB2312" w:eastAsia="仿宋_GB2312"/>
                <w:sz w:val="24"/>
              </w:rPr>
              <w:t>⑤《市政工程勘察规范》CJJ/T56-2012；</w:t>
            </w:r>
          </w:p>
          <w:p>
            <w:pPr>
              <w:pStyle w:val="null3"/>
            </w:pPr>
            <w:r>
              <w:rPr>
                <w:rFonts w:ascii="仿宋_GB2312" w:hAnsi="仿宋_GB2312" w:cs="仿宋_GB2312" w:eastAsia="仿宋_GB2312"/>
                <w:sz w:val="24"/>
              </w:rPr>
              <w:t>⑥《建筑工程地质勘探与取样技术规程》JGJ/T 87-2012；</w:t>
            </w:r>
          </w:p>
          <w:p>
            <w:pPr>
              <w:pStyle w:val="null3"/>
            </w:pPr>
            <w:r>
              <w:rPr>
                <w:rFonts w:ascii="仿宋_GB2312" w:hAnsi="仿宋_GB2312" w:cs="仿宋_GB2312" w:eastAsia="仿宋_GB2312"/>
                <w:sz w:val="24"/>
              </w:rPr>
              <w:t>⑦《城市测量规范》CJJ/T 8-2011；</w:t>
            </w:r>
          </w:p>
          <w:p>
            <w:pPr>
              <w:pStyle w:val="null3"/>
            </w:pPr>
            <w:r>
              <w:rPr>
                <w:rFonts w:ascii="仿宋_GB2312" w:hAnsi="仿宋_GB2312" w:cs="仿宋_GB2312" w:eastAsia="仿宋_GB2312"/>
                <w:sz w:val="24"/>
              </w:rPr>
              <w:t>⑧《城市地下管线探测技术规程》CJJ61-2017；</w:t>
            </w:r>
          </w:p>
          <w:p>
            <w:pPr>
              <w:pStyle w:val="null3"/>
            </w:pPr>
            <w:r>
              <w:rPr>
                <w:rFonts w:ascii="仿宋_GB2312" w:hAnsi="仿宋_GB2312" w:cs="仿宋_GB2312" w:eastAsia="仿宋_GB2312"/>
                <w:sz w:val="24"/>
              </w:rPr>
              <w:t>⑨《国家基本比例尺地图图式第1部分：1:500 1:1000 1:2000 地形图图式》GB/T20257.1-2017；</w:t>
            </w:r>
          </w:p>
          <w:p>
            <w:pPr>
              <w:pStyle w:val="null3"/>
            </w:pPr>
            <w:r>
              <w:rPr>
                <w:rFonts w:ascii="仿宋_GB2312" w:hAnsi="仿宋_GB2312" w:cs="仿宋_GB2312" w:eastAsia="仿宋_GB2312"/>
                <w:sz w:val="24"/>
              </w:rPr>
              <w:t>⑩《基础地理信息要素分类与代码》GB/T 13923-2006；</w:t>
            </w:r>
          </w:p>
          <w:p>
            <w:pPr>
              <w:pStyle w:val="null3"/>
            </w:pPr>
            <w:r>
              <w:rPr>
                <w:rFonts w:ascii="仿宋_GB2312" w:hAnsi="仿宋_GB2312" w:cs="仿宋_GB2312" w:eastAsia="仿宋_GB2312"/>
                <w:sz w:val="24"/>
              </w:rPr>
              <w:t>(5)探测工作流程要求</w:t>
            </w:r>
          </w:p>
          <w:p>
            <w:pPr>
              <w:pStyle w:val="null3"/>
            </w:pPr>
            <w:r>
              <w:rPr>
                <w:rFonts w:ascii="仿宋_GB2312" w:hAnsi="仿宋_GB2312" w:cs="仿宋_GB2312" w:eastAsia="仿宋_GB2312"/>
                <w:sz w:val="24"/>
              </w:rPr>
              <w:t>道路病害体探测作业基本流程应包括但不限于：资料收集与分析、现场踏勘、测线布设、病害体探测、测线定位与测量、数据处理解释分析、疑似病害圈定与复测验证、成果编制等。</w:t>
            </w:r>
          </w:p>
          <w:p>
            <w:pPr>
              <w:pStyle w:val="null3"/>
            </w:pPr>
            <w:r>
              <w:rPr>
                <w:rFonts w:ascii="仿宋_GB2312" w:hAnsi="仿宋_GB2312" w:cs="仿宋_GB2312" w:eastAsia="仿宋_GB2312"/>
                <w:sz w:val="24"/>
              </w:rPr>
              <w:t>1）资料收集与分析</w:t>
            </w:r>
          </w:p>
          <w:p>
            <w:pPr>
              <w:pStyle w:val="null3"/>
            </w:pPr>
            <w:r>
              <w:rPr>
                <w:rFonts w:ascii="仿宋_GB2312" w:hAnsi="仿宋_GB2312" w:cs="仿宋_GB2312" w:eastAsia="仿宋_GB2312"/>
                <w:sz w:val="24"/>
              </w:rPr>
              <w:t>资料收集在整个探测流程中至关重要，在探测项目的初级阶段，收集到被探测路段的资料越全面，就越能为后期的数据分析带来帮助。</w:t>
            </w:r>
          </w:p>
          <w:p>
            <w:pPr>
              <w:pStyle w:val="null3"/>
            </w:pPr>
            <w:r>
              <w:rPr>
                <w:rFonts w:ascii="仿宋_GB2312" w:hAnsi="仿宋_GB2312" w:cs="仿宋_GB2312" w:eastAsia="仿宋_GB2312"/>
                <w:sz w:val="24"/>
              </w:rPr>
              <w:t>①道路竣工图（桩号，车道数，车道宽度，车道路面结构及各层设计厚度）；</w:t>
            </w:r>
          </w:p>
          <w:p>
            <w:pPr>
              <w:pStyle w:val="null3"/>
            </w:pPr>
            <w:r>
              <w:rPr>
                <w:rFonts w:ascii="仿宋_GB2312" w:hAnsi="仿宋_GB2312" w:cs="仿宋_GB2312" w:eastAsia="仿宋_GB2312"/>
                <w:sz w:val="24"/>
              </w:rPr>
              <w:t>②该道路的使用年限，养护维修履历及交通状况；</w:t>
            </w:r>
          </w:p>
          <w:p>
            <w:pPr>
              <w:pStyle w:val="null3"/>
            </w:pPr>
            <w:r>
              <w:rPr>
                <w:rFonts w:ascii="仿宋_GB2312" w:hAnsi="仿宋_GB2312" w:cs="仿宋_GB2312" w:eastAsia="仿宋_GB2312"/>
                <w:sz w:val="24"/>
              </w:rPr>
              <w:t>③道路下管线分布图（管线分布、埋深、直径、材质、用途等）；</w:t>
            </w:r>
          </w:p>
          <w:p>
            <w:pPr>
              <w:pStyle w:val="null3"/>
            </w:pPr>
            <w:r>
              <w:rPr>
                <w:rFonts w:ascii="仿宋_GB2312" w:hAnsi="仿宋_GB2312" w:cs="仿宋_GB2312" w:eastAsia="仿宋_GB2312"/>
                <w:sz w:val="24"/>
              </w:rPr>
              <w:t>④道路周边存在深基坑作业，收集深基坑长、宽、深及与道路中线的间距等参数；</w:t>
            </w:r>
          </w:p>
          <w:p>
            <w:pPr>
              <w:pStyle w:val="null3"/>
            </w:pPr>
            <w:r>
              <w:rPr>
                <w:rFonts w:ascii="仿宋_GB2312" w:hAnsi="仿宋_GB2312" w:cs="仿宋_GB2312" w:eastAsia="仿宋_GB2312"/>
                <w:sz w:val="24"/>
              </w:rPr>
              <w:t>⑤如道路周边范围内存在地下构筑物（地铁通道、车站站体等），应收集相应资料；</w:t>
            </w:r>
          </w:p>
          <w:p>
            <w:pPr>
              <w:pStyle w:val="null3"/>
            </w:pPr>
            <w:r>
              <w:rPr>
                <w:rFonts w:ascii="仿宋_GB2312" w:hAnsi="仿宋_GB2312" w:cs="仿宋_GB2312" w:eastAsia="仿宋_GB2312"/>
                <w:sz w:val="24"/>
              </w:rPr>
              <w:t>⑥历史上的发生道路塌陷的地点及塌陷后的修复措施；</w:t>
            </w:r>
          </w:p>
          <w:p>
            <w:pPr>
              <w:pStyle w:val="null3"/>
            </w:pPr>
            <w:r>
              <w:rPr>
                <w:rFonts w:ascii="仿宋_GB2312" w:hAnsi="仿宋_GB2312" w:cs="仿宋_GB2312" w:eastAsia="仿宋_GB2312"/>
                <w:sz w:val="24"/>
              </w:rPr>
              <w:t>⑦探测区域内的地质资料；</w:t>
            </w:r>
          </w:p>
          <w:p>
            <w:pPr>
              <w:pStyle w:val="null3"/>
            </w:pPr>
            <w:r>
              <w:rPr>
                <w:rFonts w:ascii="仿宋_GB2312" w:hAnsi="仿宋_GB2312" w:cs="仿宋_GB2312" w:eastAsia="仿宋_GB2312"/>
                <w:sz w:val="24"/>
              </w:rPr>
              <w:t>⑧探测区域内的1：500地形图、控制点；</w:t>
            </w:r>
          </w:p>
          <w:p>
            <w:pPr>
              <w:pStyle w:val="null3"/>
            </w:pPr>
            <w:r>
              <w:rPr>
                <w:rFonts w:ascii="仿宋_GB2312" w:hAnsi="仿宋_GB2312" w:cs="仿宋_GB2312" w:eastAsia="仿宋_GB2312"/>
                <w:sz w:val="24"/>
              </w:rPr>
              <w:t>⑨测区内其它一些重要的资料。</w:t>
            </w:r>
          </w:p>
          <w:p>
            <w:pPr>
              <w:pStyle w:val="null3"/>
            </w:pPr>
            <w:r>
              <w:rPr>
                <w:rFonts w:ascii="仿宋_GB2312" w:hAnsi="仿宋_GB2312" w:cs="仿宋_GB2312" w:eastAsia="仿宋_GB2312"/>
                <w:sz w:val="24"/>
              </w:rPr>
              <w:t>通过分析以上资料，挖掘道路健康状况，结合浅层地质构造，找出本次探测的重点关注的区域，为本次道路地下病害探测、数据解释提供指导。</w:t>
            </w:r>
          </w:p>
          <w:p>
            <w:pPr>
              <w:pStyle w:val="null3"/>
            </w:pPr>
            <w:r>
              <w:rPr>
                <w:rFonts w:ascii="仿宋_GB2312" w:hAnsi="仿宋_GB2312" w:cs="仿宋_GB2312" w:eastAsia="仿宋_GB2312"/>
                <w:sz w:val="24"/>
              </w:rPr>
              <w:t>2）现场踏勘</w:t>
            </w:r>
          </w:p>
          <w:p>
            <w:pPr>
              <w:pStyle w:val="null3"/>
            </w:pPr>
            <w:r>
              <w:rPr>
                <w:rFonts w:ascii="仿宋_GB2312" w:hAnsi="仿宋_GB2312" w:cs="仿宋_GB2312" w:eastAsia="仿宋_GB2312"/>
                <w:sz w:val="24"/>
              </w:rPr>
              <w:t>作业前，数据采集组、数据解译组对测区情况进行详细踏勘，了解道路车行道宽度、道路两侧停车等信息，绘制施工围挡分布、路面异物（如铁板）分布、道路修补分布、路面下沉、开裂、空腔等分布状况，为后期道路地下病害体探测和数据分析提供必要的信息。</w:t>
            </w:r>
          </w:p>
          <w:p>
            <w:pPr>
              <w:pStyle w:val="null3"/>
            </w:pPr>
            <w:r>
              <w:rPr>
                <w:rFonts w:ascii="仿宋_GB2312" w:hAnsi="仿宋_GB2312" w:cs="仿宋_GB2312" w:eastAsia="仿宋_GB2312"/>
                <w:sz w:val="24"/>
              </w:rPr>
              <w:t>3）数据处理解释</w:t>
            </w:r>
          </w:p>
          <w:p>
            <w:pPr>
              <w:pStyle w:val="null3"/>
            </w:pPr>
            <w:r>
              <w:rPr>
                <w:rFonts w:ascii="仿宋_GB2312" w:hAnsi="仿宋_GB2312" w:cs="仿宋_GB2312" w:eastAsia="仿宋_GB2312"/>
                <w:sz w:val="24"/>
              </w:rPr>
              <w:t>对外业探测采集的雷达数据，通过专业的软件，如</w:t>
            </w:r>
            <w:r>
              <w:rPr>
                <w:rFonts w:ascii="仿宋_GB2312" w:hAnsi="仿宋_GB2312" w:cs="仿宋_GB2312" w:eastAsia="仿宋_GB2312"/>
                <w:sz w:val="24"/>
              </w:rPr>
              <w:t>Reflex、Condor等软件进行滤波处理、增益处理等，形成易于辨识的雷达图像，而后结合管线资料、岩土体资料、周边电磁环境等，对道路雷达图像进行解释，圈定疑似病害体。</w:t>
            </w:r>
          </w:p>
          <w:p>
            <w:pPr>
              <w:pStyle w:val="null3"/>
            </w:pPr>
            <w:r>
              <w:rPr>
                <w:rFonts w:ascii="仿宋_GB2312" w:hAnsi="仿宋_GB2312" w:cs="仿宋_GB2312" w:eastAsia="仿宋_GB2312"/>
                <w:sz w:val="24"/>
              </w:rPr>
              <w:t>4）疑似病害圈定与复测验证</w:t>
            </w:r>
          </w:p>
          <w:p>
            <w:pPr>
              <w:pStyle w:val="null3"/>
            </w:pPr>
            <w:r>
              <w:rPr>
                <w:rFonts w:ascii="仿宋_GB2312" w:hAnsi="仿宋_GB2312" w:cs="仿宋_GB2312" w:eastAsia="仿宋_GB2312"/>
                <w:sz w:val="24"/>
              </w:rPr>
              <w:t>通过雷达图像异常解释出的疑似病害体，在有条件的地点，采用钻探、钎探、开挖等方式进行验证，对于不适合上述方法的地点，采用不同物探方法相互对比验证的方式进行验证。病害体复测验证需保留验证数据和图像，必要时可采用视频方式进行记录。</w:t>
            </w:r>
          </w:p>
          <w:p>
            <w:pPr>
              <w:pStyle w:val="null3"/>
            </w:pPr>
            <w:r>
              <w:rPr>
                <w:rFonts w:ascii="仿宋_GB2312" w:hAnsi="仿宋_GB2312" w:cs="仿宋_GB2312" w:eastAsia="仿宋_GB2312"/>
                <w:sz w:val="24"/>
              </w:rPr>
              <w:t>(6)成果资料</w:t>
            </w:r>
          </w:p>
          <w:p>
            <w:pPr>
              <w:pStyle w:val="null3"/>
            </w:pPr>
            <w:r>
              <w:rPr>
                <w:rFonts w:ascii="仿宋_GB2312" w:hAnsi="仿宋_GB2312" w:cs="仿宋_GB2312" w:eastAsia="仿宋_GB2312"/>
                <w:sz w:val="24"/>
              </w:rPr>
              <w:t>提交的成果资料包括但不限于：技术设计书、探测成果报告、病害信息卡、病害属性表及道路地下病害分布图等。</w:t>
            </w:r>
          </w:p>
          <w:p>
            <w:pPr>
              <w:pStyle w:val="null3"/>
            </w:pPr>
            <w:r>
              <w:rPr>
                <w:rFonts w:ascii="仿宋_GB2312" w:hAnsi="仿宋_GB2312" w:cs="仿宋_GB2312" w:eastAsia="仿宋_GB2312"/>
                <w:sz w:val="24"/>
              </w:rPr>
              <w:t>项目完成后，按要求提交项目的全部成果，成果形式、要求如下：</w:t>
            </w:r>
          </w:p>
          <w:p>
            <w:pPr>
              <w:pStyle w:val="null3"/>
            </w:pPr>
            <w:r>
              <w:rPr>
                <w:rFonts w:ascii="仿宋_GB2312" w:hAnsi="仿宋_GB2312" w:cs="仿宋_GB2312" w:eastAsia="仿宋_GB2312"/>
                <w:sz w:val="24"/>
              </w:rPr>
              <w:t>序号</w:t>
            </w:r>
            <w:r>
              <w:rPr>
                <w:rFonts w:ascii="仿宋_GB2312" w:hAnsi="仿宋_GB2312" w:cs="仿宋_GB2312" w:eastAsia="仿宋_GB2312"/>
                <w:sz w:val="24"/>
              </w:rPr>
              <w:t>成果内容</w:t>
            </w:r>
            <w:r>
              <w:rPr>
                <w:rFonts w:ascii="仿宋_GB2312" w:hAnsi="仿宋_GB2312" w:cs="仿宋_GB2312" w:eastAsia="仿宋_GB2312"/>
                <w:sz w:val="24"/>
              </w:rPr>
              <w:t>提交形式</w:t>
            </w:r>
          </w:p>
          <w:p>
            <w:pPr>
              <w:pStyle w:val="null3"/>
            </w:pPr>
            <w:r>
              <w:rPr>
                <w:rFonts w:ascii="仿宋_GB2312" w:hAnsi="仿宋_GB2312" w:cs="仿宋_GB2312" w:eastAsia="仿宋_GB2312"/>
                <w:sz w:val="24"/>
              </w:rPr>
              <w:t>1</w:t>
            </w:r>
            <w:r>
              <w:rPr>
                <w:rFonts w:ascii="仿宋_GB2312" w:hAnsi="仿宋_GB2312" w:cs="仿宋_GB2312" w:eastAsia="仿宋_GB2312"/>
                <w:sz w:val="24"/>
              </w:rPr>
              <w:t>方法试验报告</w:t>
            </w:r>
            <w:r>
              <w:rPr>
                <w:rFonts w:ascii="仿宋_GB2312" w:hAnsi="仿宋_GB2312" w:cs="仿宋_GB2312" w:eastAsia="仿宋_GB2312"/>
                <w:sz w:val="24"/>
              </w:rPr>
              <w:t>纸质、电子</w:t>
            </w:r>
          </w:p>
          <w:p>
            <w:pPr>
              <w:pStyle w:val="null3"/>
            </w:pPr>
            <w:r>
              <w:rPr>
                <w:rFonts w:ascii="仿宋_GB2312" w:hAnsi="仿宋_GB2312" w:cs="仿宋_GB2312" w:eastAsia="仿宋_GB2312"/>
                <w:sz w:val="24"/>
              </w:rPr>
              <w:t>2</w:t>
            </w:r>
            <w:r>
              <w:rPr>
                <w:rFonts w:ascii="仿宋_GB2312" w:hAnsi="仿宋_GB2312" w:cs="仿宋_GB2312" w:eastAsia="仿宋_GB2312"/>
                <w:sz w:val="24"/>
              </w:rPr>
              <w:t>病害体探测成果报告</w:t>
            </w:r>
            <w:r>
              <w:rPr>
                <w:rFonts w:ascii="仿宋_GB2312" w:hAnsi="仿宋_GB2312" w:cs="仿宋_GB2312" w:eastAsia="仿宋_GB2312"/>
                <w:sz w:val="24"/>
              </w:rPr>
              <w:t>纸质、电子</w:t>
            </w:r>
          </w:p>
          <w:p>
            <w:pPr>
              <w:pStyle w:val="null3"/>
            </w:pPr>
            <w:r>
              <w:rPr>
                <w:rFonts w:ascii="仿宋_GB2312" w:hAnsi="仿宋_GB2312" w:cs="仿宋_GB2312" w:eastAsia="仿宋_GB2312"/>
                <w:sz w:val="24"/>
              </w:rPr>
              <w:t>3</w:t>
            </w:r>
            <w:r>
              <w:rPr>
                <w:rFonts w:ascii="仿宋_GB2312" w:hAnsi="仿宋_GB2312" w:cs="仿宋_GB2312" w:eastAsia="仿宋_GB2312"/>
                <w:sz w:val="24"/>
              </w:rPr>
              <w:t>雷达探测原始数据</w:t>
            </w:r>
            <w:r>
              <w:rPr>
                <w:rFonts w:ascii="仿宋_GB2312" w:hAnsi="仿宋_GB2312" w:cs="仿宋_GB2312" w:eastAsia="仿宋_GB2312"/>
                <w:sz w:val="24"/>
              </w:rPr>
              <w:t>电子</w:t>
            </w:r>
          </w:p>
          <w:p>
            <w:pPr>
              <w:pStyle w:val="null3"/>
            </w:pPr>
            <w:r>
              <w:rPr>
                <w:rFonts w:ascii="仿宋_GB2312" w:hAnsi="仿宋_GB2312" w:cs="仿宋_GB2312" w:eastAsia="仿宋_GB2312"/>
                <w:sz w:val="24"/>
              </w:rPr>
              <w:t>4</w:t>
            </w:r>
            <w:r>
              <w:rPr>
                <w:rFonts w:ascii="仿宋_GB2312" w:hAnsi="仿宋_GB2312" w:cs="仿宋_GB2312" w:eastAsia="仿宋_GB2312"/>
                <w:sz w:val="24"/>
              </w:rPr>
              <w:t>处理以后的雷达图谱</w:t>
            </w:r>
            <w:r>
              <w:rPr>
                <w:rFonts w:ascii="仿宋_GB2312" w:hAnsi="仿宋_GB2312" w:cs="仿宋_GB2312" w:eastAsia="仿宋_GB2312"/>
                <w:sz w:val="24"/>
              </w:rPr>
              <w:t>电子</w:t>
            </w:r>
          </w:p>
          <w:p>
            <w:pPr>
              <w:pStyle w:val="null3"/>
            </w:pPr>
            <w:r>
              <w:rPr>
                <w:rFonts w:ascii="仿宋_GB2312" w:hAnsi="仿宋_GB2312" w:cs="仿宋_GB2312" w:eastAsia="仿宋_GB2312"/>
                <w:sz w:val="24"/>
              </w:rPr>
              <w:t>5</w:t>
            </w:r>
            <w:r>
              <w:rPr>
                <w:rFonts w:ascii="仿宋_GB2312" w:hAnsi="仿宋_GB2312" w:cs="仿宋_GB2312" w:eastAsia="仿宋_GB2312"/>
                <w:sz w:val="24"/>
              </w:rPr>
              <w:t>测线分布图</w:t>
            </w:r>
            <w:r>
              <w:rPr>
                <w:rFonts w:ascii="仿宋_GB2312" w:hAnsi="仿宋_GB2312" w:cs="仿宋_GB2312" w:eastAsia="仿宋_GB2312"/>
                <w:sz w:val="24"/>
              </w:rPr>
              <w:t>电子</w:t>
            </w:r>
          </w:p>
          <w:p>
            <w:pPr>
              <w:pStyle w:val="null3"/>
            </w:pPr>
            <w:r>
              <w:rPr>
                <w:rFonts w:ascii="仿宋_GB2312" w:hAnsi="仿宋_GB2312" w:cs="仿宋_GB2312" w:eastAsia="仿宋_GB2312"/>
                <w:sz w:val="24"/>
              </w:rPr>
              <w:t>6</w:t>
            </w:r>
            <w:r>
              <w:rPr>
                <w:rFonts w:ascii="仿宋_GB2312" w:hAnsi="仿宋_GB2312" w:cs="仿宋_GB2312" w:eastAsia="仿宋_GB2312"/>
                <w:sz w:val="24"/>
              </w:rPr>
              <w:t>病害体分布图</w:t>
            </w:r>
            <w:r>
              <w:rPr>
                <w:rFonts w:ascii="仿宋_GB2312" w:hAnsi="仿宋_GB2312" w:cs="仿宋_GB2312" w:eastAsia="仿宋_GB2312"/>
                <w:sz w:val="24"/>
              </w:rPr>
              <w:t>电子</w:t>
            </w:r>
          </w:p>
          <w:p>
            <w:pPr>
              <w:pStyle w:val="null3"/>
            </w:pPr>
            <w:r>
              <w:rPr>
                <w:rFonts w:ascii="仿宋_GB2312" w:hAnsi="仿宋_GB2312" w:cs="仿宋_GB2312" w:eastAsia="仿宋_GB2312"/>
                <w:sz w:val="24"/>
              </w:rPr>
              <w:t>7</w:t>
            </w:r>
            <w:r>
              <w:rPr>
                <w:rFonts w:ascii="仿宋_GB2312" w:hAnsi="仿宋_GB2312" w:cs="仿宋_GB2312" w:eastAsia="仿宋_GB2312"/>
                <w:sz w:val="24"/>
              </w:rPr>
              <w:t>病害体图集和属性表</w:t>
            </w:r>
            <w:r>
              <w:rPr>
                <w:rFonts w:ascii="仿宋_GB2312" w:hAnsi="仿宋_GB2312" w:cs="仿宋_GB2312" w:eastAsia="仿宋_GB2312"/>
                <w:sz w:val="24"/>
              </w:rPr>
              <w:t>电子</w:t>
            </w:r>
          </w:p>
          <w:p>
            <w:pPr>
              <w:pStyle w:val="null3"/>
            </w:pPr>
            <w:r>
              <w:rPr>
                <w:rFonts w:ascii="仿宋_GB2312" w:hAnsi="仿宋_GB2312" w:cs="仿宋_GB2312" w:eastAsia="仿宋_GB2312"/>
                <w:sz w:val="24"/>
              </w:rPr>
              <w:t>8</w:t>
            </w:r>
            <w:r>
              <w:rPr>
                <w:rFonts w:ascii="仿宋_GB2312" w:hAnsi="仿宋_GB2312" w:cs="仿宋_GB2312" w:eastAsia="仿宋_GB2312"/>
                <w:sz w:val="24"/>
              </w:rPr>
              <w:t>技术设计书</w:t>
            </w:r>
            <w:r>
              <w:rPr>
                <w:rFonts w:ascii="仿宋_GB2312" w:hAnsi="仿宋_GB2312" w:cs="仿宋_GB2312" w:eastAsia="仿宋_GB2312"/>
                <w:sz w:val="24"/>
              </w:rPr>
              <w:t>纸质、电子</w:t>
            </w:r>
          </w:p>
          <w:p>
            <w:pPr>
              <w:pStyle w:val="null3"/>
            </w:pPr>
            <w:r>
              <w:rPr>
                <w:rFonts w:ascii="仿宋_GB2312" w:hAnsi="仿宋_GB2312" w:cs="仿宋_GB2312" w:eastAsia="仿宋_GB2312"/>
                <w:sz w:val="24"/>
              </w:rPr>
              <w:t>四、商务要求</w:t>
            </w:r>
          </w:p>
          <w:p>
            <w:pPr>
              <w:pStyle w:val="null3"/>
            </w:pPr>
            <w:r>
              <w:rPr>
                <w:rFonts w:ascii="仿宋_GB2312" w:hAnsi="仿宋_GB2312" w:cs="仿宋_GB2312" w:eastAsia="仿宋_GB2312"/>
                <w:sz w:val="24"/>
              </w:rPr>
              <w:t>1.服务期：合同签订后六个月</w:t>
            </w:r>
          </w:p>
          <w:p>
            <w:pPr>
              <w:pStyle w:val="null3"/>
            </w:pPr>
            <w:r>
              <w:rPr>
                <w:rFonts w:ascii="仿宋_GB2312" w:hAnsi="仿宋_GB2312" w:cs="仿宋_GB2312" w:eastAsia="仿宋_GB2312"/>
                <w:sz w:val="24"/>
              </w:rPr>
              <w:t>2.服务地点：曲江新区辖区内</w:t>
            </w:r>
          </w:p>
          <w:p>
            <w:pPr>
              <w:pStyle w:val="null3"/>
            </w:pPr>
            <w:r>
              <w:rPr>
                <w:rFonts w:ascii="仿宋_GB2312" w:hAnsi="仿宋_GB2312" w:cs="仿宋_GB2312" w:eastAsia="仿宋_GB2312"/>
                <w:sz w:val="24"/>
              </w:rPr>
              <w:t>3.质量标准：合格</w:t>
            </w:r>
          </w:p>
          <w:p>
            <w:pPr>
              <w:pStyle w:val="null3"/>
            </w:pPr>
            <w:r>
              <w:rPr>
                <w:rFonts w:ascii="仿宋_GB2312" w:hAnsi="仿宋_GB2312" w:cs="仿宋_GB2312" w:eastAsia="仿宋_GB2312"/>
                <w:sz w:val="24"/>
              </w:rPr>
              <w:t>4.验收标准：国家及行业标准</w:t>
            </w:r>
          </w:p>
          <w:p>
            <w:pPr>
              <w:pStyle w:val="null3"/>
            </w:pPr>
            <w:r>
              <w:rPr>
                <w:rFonts w:ascii="仿宋_GB2312" w:hAnsi="仿宋_GB2312" w:cs="仿宋_GB2312" w:eastAsia="仿宋_GB2312"/>
                <w:sz w:val="24"/>
              </w:rPr>
              <w:t>五、其他要求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1）配备具有丰富经验的现场管理人员，包括但不限于现场探测员、数据处理员、保密员。</w:t>
            </w:r>
          </w:p>
          <w:p>
            <w:pPr>
              <w:pStyle w:val="null3"/>
            </w:pPr>
            <w:r>
              <w:rPr>
                <w:rFonts w:ascii="仿宋_GB2312" w:hAnsi="仿宋_GB2312" w:cs="仿宋_GB2312" w:eastAsia="仿宋_GB2312"/>
                <w:sz w:val="24"/>
              </w:rPr>
              <w:t>（</w:t>
            </w:r>
            <w:r>
              <w:rPr>
                <w:rFonts w:ascii="仿宋_GB2312" w:hAnsi="仿宋_GB2312" w:cs="仿宋_GB2312" w:eastAsia="仿宋_GB2312"/>
                <w:sz w:val="24"/>
              </w:rPr>
              <w:t>2）接到委托人检测通知后7天内完成检测方案的编制，并通过专家评审。</w:t>
            </w:r>
          </w:p>
          <w:p>
            <w:pPr>
              <w:pStyle w:val="null3"/>
            </w:pPr>
            <w:r>
              <w:rPr>
                <w:rFonts w:ascii="仿宋_GB2312" w:hAnsi="仿宋_GB2312" w:cs="仿宋_GB2312" w:eastAsia="仿宋_GB2312"/>
                <w:sz w:val="24"/>
              </w:rPr>
              <w:t>（</w:t>
            </w:r>
            <w:r>
              <w:rPr>
                <w:rFonts w:ascii="仿宋_GB2312" w:hAnsi="仿宋_GB2312" w:cs="仿宋_GB2312" w:eastAsia="仿宋_GB2312"/>
                <w:sz w:val="24"/>
              </w:rPr>
              <w:t>3）检测方案评审通过之后7天内进场开展试验检测外业工作。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4)试验检测外业工作完成后7天内向委托人提交经检测机构签字盖章的工程质量</w:t>
            </w:r>
            <w:r>
              <w:rPr>
                <w:rFonts w:ascii="仿宋_GB2312" w:hAnsi="仿宋_GB2312" w:cs="仿宋_GB2312" w:eastAsia="仿宋_GB2312"/>
                <w:sz w:val="24"/>
              </w:rPr>
              <w:t>检测工作报告。</w:t>
            </w:r>
          </w:p>
          <w:p>
            <w:pPr>
              <w:pStyle w:val="null3"/>
            </w:pPr>
            <w:r>
              <w:rPr>
                <w:rFonts w:ascii="仿宋_GB2312" w:hAnsi="仿宋_GB2312" w:cs="仿宋_GB2312" w:eastAsia="仿宋_GB2312"/>
                <w:sz w:val="24"/>
              </w:rPr>
              <w:t>（</w:t>
            </w:r>
            <w:r>
              <w:rPr>
                <w:rFonts w:ascii="仿宋_GB2312" w:hAnsi="仿宋_GB2312" w:cs="仿宋_GB2312" w:eastAsia="仿宋_GB2312"/>
                <w:sz w:val="24"/>
              </w:rPr>
              <w:t>5）服务期结束后3个月内，投标人需无偿配合甲方完成相关应急检测工作，甲方提出应急诉求后12小时内到达现场。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服务内容后，向采购人提出验收申请，采购人接到供应商验收申请后组织验收（必要时可聘请相应专家或委托相应部门验收）。参与验收的供应商或者第三方机构的意见作为验收书的参考资料一并存档。 2、最终验收：最终验收结果作为付款依据，供应商填写验收单，并向采购人提交实施过程中的所有资料，以便采购人日后管理和维护。 3、验收依据： 3.1合同文本、合同附件、招标文件、投标文件。 3.2国内相应的标准、规范。 3.3其他适用的依据。其他内容详见拟签订合同。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合同签订后（若中标单位为非中小企业，不予支付40%预付款）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根据工作量及合同约定价格，进行结算，最终验收合格后，甲方根据结算付款审批程序办理，经审批后予以支付</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按格式要求填写《资格证明文件》并按要求进行签章。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按格式要求填写《资格证明文件》并按要求进行签章。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提供法人代表、控股股东、控股企业及管理、被管理单位情况声明且各供应商之间不存在单位负责人为同一人或者存在控股、管理关系情形； 提供供应商未为本项目提供整体设计、规范编制或者项目管理、监理、检测等服务的声明。按格式要求填写《投标函》及《资格证明文件》并按要求进行签章。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投标人需具备工程勘察岩土工程（物探测试检测监测）乙级及以上资质或具备乙级测绘资质（摄影测量与遥感专业）及以上资质。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 投标（响应）报价低于采购项目最高限价60%的，即投标（响应）报价&lt;采购项目最高限价×60%。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投标方案说明.docx 中小企业声明函 商务应答表 资格证明文件.docx 分项报价表.docx 投标函 残疾人福利性单位声明函 拒绝政府采购领域商业贿赂承诺书.docx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按投标文件格式要求加盖了投标人公章和法定代表人或其委托代理人签字或加盖人名章。</w:t>
            </w:r>
          </w:p>
        </w:tc>
        <w:tc>
          <w:tcPr>
            <w:tcW w:type="dxa" w:w="1661"/>
          </w:tcPr>
          <w:p>
            <w:pPr>
              <w:pStyle w:val="null3"/>
            </w:pPr>
            <w:r>
              <w:rPr>
                <w:rFonts w:ascii="仿宋_GB2312" w:hAnsi="仿宋_GB2312" w:cs="仿宋_GB2312" w:eastAsia="仿宋_GB2312"/>
              </w:rPr>
              <w:t>分项报价表.docx 服务内容及服务邀请应答表 投标函 投标方案说明.docx 中小企业声明函 残疾人福利性单位声明函 拒绝政府采购领域商业贿赂承诺书.docx 商务应答表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分项报价表.docx 服务内容及服务邀请应答表 投标函 投标方案说明.docx 中小企业声明函 残疾人福利性单位声明函 拒绝政府采购领域商业贿赂承诺书.docx 商务应答表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分项报价表.docx 服务内容及服务邀请应答表 投标函 投标方案说明.docx 中小企业声明函 残疾人福利性单位声明函 拒绝政府采购领域商业贿赂承诺书.docx 商务应答表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管理大纲</w:t>
            </w:r>
          </w:p>
        </w:tc>
        <w:tc>
          <w:tcPr>
            <w:tcW w:type="dxa" w:w="2492"/>
          </w:tcPr>
          <w:p>
            <w:pPr>
              <w:pStyle w:val="null3"/>
            </w:pPr>
            <w:r>
              <w:rPr>
                <w:rFonts w:ascii="仿宋_GB2312" w:hAnsi="仿宋_GB2312" w:cs="仿宋_GB2312" w:eastAsia="仿宋_GB2312"/>
              </w:rPr>
              <w:t>投标人针对本项目提出具体的探测检测技术管理大纲，大纲各部分内容全面详细、阐述条理清晰详尽、符合招标文件要求。 评审标准:上述大纲内容无缺陷得9分。大纲内容每存在1处缺陷扣1分，扣完为止。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投标人针对本项目提出具体的检测方案，（方法体系、技术路线等），方案各部分内容全面详细、阐述条理清晰详尽、符合招标文件要求。 评审标准:上述方案内容无缺陷得5分。方案内容每存在1处缺陷扣1分，扣完为止。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投标人针对本项目提出具体的重点难点分析及解决方案，方案各部分内容全面详细、阐述条理清晰详尽、符合招标文件要求。 评审标准:上述方案内容无缺陷得5分。方案内容每存在1处缺陷扣1分，扣完为止。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进度安排与保障措施</w:t>
            </w:r>
          </w:p>
        </w:tc>
        <w:tc>
          <w:tcPr>
            <w:tcW w:type="dxa" w:w="2492"/>
          </w:tcPr>
          <w:p>
            <w:pPr>
              <w:pStyle w:val="null3"/>
            </w:pPr>
            <w:r>
              <w:rPr>
                <w:rFonts w:ascii="仿宋_GB2312" w:hAnsi="仿宋_GB2312" w:cs="仿宋_GB2312" w:eastAsia="仿宋_GB2312"/>
              </w:rPr>
              <w:t>投标人针对本项目提出具体的进度安排与保障措施，措施各部分内容全面详细、阐述条理清晰详尽、符合招标文件要求。 评审标准:上述措施无缺陷得5分。方案内容每存在1处缺陷扣1分，扣完为止。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投标人针对本项目提出具体的服务质量保证措施，有服务质量检查措施、有奖惩工作机制等，措施各部分内容全面详细、阐述条理清晰详尽、符合招标文件要求。 评审标准:上述措施无缺陷得5分。方案内容每存在1处缺陷扣1分，扣完为止。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安全文明检测的保证措施</w:t>
            </w:r>
          </w:p>
        </w:tc>
        <w:tc>
          <w:tcPr>
            <w:tcW w:type="dxa" w:w="2492"/>
          </w:tcPr>
          <w:p>
            <w:pPr>
              <w:pStyle w:val="null3"/>
            </w:pPr>
            <w:r>
              <w:rPr>
                <w:rFonts w:ascii="仿宋_GB2312" w:hAnsi="仿宋_GB2312" w:cs="仿宋_GB2312" w:eastAsia="仿宋_GB2312"/>
              </w:rPr>
              <w:t>投标人针对本项目提出具体的安全文明检测的保证措施，措施各部分内容全面详细、阐述条理清晰详尽、符合招标文件要求。 评审标准:上述措施无缺陷得5分。方案内容每存在1处缺陷扣1分，扣完为止。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拟提交成果与内容</w:t>
            </w:r>
          </w:p>
        </w:tc>
        <w:tc>
          <w:tcPr>
            <w:tcW w:type="dxa" w:w="2492"/>
          </w:tcPr>
          <w:p>
            <w:pPr>
              <w:pStyle w:val="null3"/>
            </w:pPr>
            <w:r>
              <w:rPr>
                <w:rFonts w:ascii="仿宋_GB2312" w:hAnsi="仿宋_GB2312" w:cs="仿宋_GB2312" w:eastAsia="仿宋_GB2312"/>
              </w:rPr>
              <w:t>投标人针对本项目提出具体的拟提交成果形式及内容要求，描述各部分内容全面详细、阐述条理清晰详尽、符合招标文件要求。 评审标准:上述内容无缺陷得5分。内容每存在1处缺陷扣1分，扣完为止。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病害处置建议与方案</w:t>
            </w:r>
          </w:p>
        </w:tc>
        <w:tc>
          <w:tcPr>
            <w:tcW w:type="dxa" w:w="2492"/>
          </w:tcPr>
          <w:p>
            <w:pPr>
              <w:pStyle w:val="null3"/>
            </w:pPr>
            <w:r>
              <w:rPr>
                <w:rFonts w:ascii="仿宋_GB2312" w:hAnsi="仿宋_GB2312" w:cs="仿宋_GB2312" w:eastAsia="仿宋_GB2312"/>
              </w:rPr>
              <w:t>投标人针对本项目提出具体的病害处置建议与方案，方案各部分内容全面详细、阐述条理清晰详尽、符合招标文件要求。 评审标准:上述内容无缺陷得5分。方案每存在1处缺陷扣1分，扣完为止。 (评审内容中的缺陷是指:方案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应急检测服务方案</w:t>
            </w:r>
          </w:p>
        </w:tc>
        <w:tc>
          <w:tcPr>
            <w:tcW w:type="dxa" w:w="2492"/>
          </w:tcPr>
          <w:p>
            <w:pPr>
              <w:pStyle w:val="null3"/>
            </w:pPr>
            <w:r>
              <w:rPr>
                <w:rFonts w:ascii="仿宋_GB2312" w:hAnsi="仿宋_GB2312" w:cs="仿宋_GB2312" w:eastAsia="仿宋_GB2312"/>
              </w:rPr>
              <w:t>投标人针对本项目提出具体的应急检测服务方案，方案各部分内容全面详细、阐述条理清晰详尽、符合招标文件要求。 评审标准:上述内容无缺陷得5分。方案每存在1处缺陷扣1分，扣完为止。 (评审内容中的缺陷是指:方案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投标人针对本项目提出具体的人员配置方案，年龄结构、从业经验、技术力量等，方案各部分内容全面详细、阐述条理清晰详尽、符合招标文件要求。 评审标准:上述内容无缺陷得5分。方案每存在1处缺陷扣1分，扣完为止。 (评审内容中的缺陷是指:方案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配备人员情况</w:t>
            </w:r>
          </w:p>
        </w:tc>
        <w:tc>
          <w:tcPr>
            <w:tcW w:type="dxa" w:w="2492"/>
          </w:tcPr>
          <w:p>
            <w:pPr>
              <w:pStyle w:val="null3"/>
            </w:pPr>
            <w:r>
              <w:rPr>
                <w:rFonts w:ascii="仿宋_GB2312" w:hAnsi="仿宋_GB2312" w:cs="仿宋_GB2312" w:eastAsia="仿宋_GB2312"/>
              </w:rPr>
              <w:t>配置的检测专业人员中具有相关专业高级技术职称的，每提供一个得1分，满分5分。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检测设备配备情况。 1.使用自动化程度高、对检测结果人为影响小、检测速度快的自有设备，得5分； 2.使用自动化程度较高、对检测结果人为影响较小的自有设备，得3分； 3.设备自动化程度低，检测结果人为影响交较大，得1分；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投标人提供2022年1月1日以后中标同类项目业绩，附业绩合同证明材料，每提供一个计3分，满分15分。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投标人针对本项目提出具体的合理化建议，各部分内容全面详细、阐述条理清晰详尽。 评审标准:上述内容无缺陷得5分。描述每存在1处缺陷扣1分，扣完为止。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1.评审内容 提供针对本项目的服务承诺，内容包含：括①根据采购人意见及时调整人员、机械设备等的承诺;②采购人临时交办的其他工作的响应承诺。 2.评审标准 完整性：描述须全面，对评审内容中的各项要求描述详细； 可实施性：切合本项目实际情况，实施步骤清晰、合理、可实现； 针对性：能够紧扣项目具体情况，不能套搬、脱离具体实际，内容科学合理。 3.赋分依据（满分6分） 上述评审内容①-②：每完全满足一个评审标准得1分，不满足不得分，满分6分。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采用低价优先法计算，即满足投标文件要求且报价最低的供应商的价格为投标基准价，其价格分为满分。投标报价得分＝（投标基准价/最后投标报价）×10。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