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368C4">
      <w:pPr>
        <w:tabs>
          <w:tab w:val="left" w:pos="735"/>
        </w:tabs>
        <w:autoSpaceDE w:val="0"/>
        <w:autoSpaceDN w:val="0"/>
        <w:adjustRightInd w:val="0"/>
        <w:snapToGrid w:val="0"/>
        <w:spacing w:before="312" w:beforeLines="100" w:line="360" w:lineRule="auto"/>
        <w:rPr>
          <w:rFonts w:hint="eastAsia" w:ascii="仿宋" w:hAnsi="仿宋" w:eastAsia="仿宋" w:cs="仿宋_GB2312"/>
          <w:sz w:val="24"/>
          <w:highlight w:val="none"/>
          <w:lang w:val="zh-CN"/>
        </w:rPr>
      </w:pPr>
      <w:r>
        <w:rPr>
          <w:rFonts w:hint="eastAsia" w:ascii="仿宋" w:hAnsi="仿宋" w:eastAsia="仿宋" w:cs="仿宋_GB2312"/>
          <w:sz w:val="24"/>
          <w:highlight w:val="none"/>
          <w:lang w:val="zh-CN"/>
        </w:rPr>
        <w:t xml:space="preserve">甲方：西安曲江新区事业资产管理中心  </w:t>
      </w:r>
    </w:p>
    <w:p w14:paraId="117DF323">
      <w:pPr>
        <w:tabs>
          <w:tab w:val="left" w:pos="735"/>
        </w:tabs>
        <w:autoSpaceDE w:val="0"/>
        <w:autoSpaceDN w:val="0"/>
        <w:adjustRightInd w:val="0"/>
        <w:snapToGrid w:val="0"/>
        <w:spacing w:line="360" w:lineRule="auto"/>
        <w:rPr>
          <w:rFonts w:hint="eastAsia" w:ascii="仿宋" w:hAnsi="仿宋" w:eastAsia="仿宋" w:cs="仿宋_GB2312"/>
          <w:bCs/>
          <w:sz w:val="24"/>
          <w:highlight w:val="none"/>
          <w:lang w:val="zh-CN"/>
        </w:rPr>
      </w:pPr>
      <w:r>
        <w:rPr>
          <w:rFonts w:hint="eastAsia" w:ascii="仿宋" w:hAnsi="仿宋" w:eastAsia="仿宋" w:cs="仿宋_GB2312"/>
          <w:sz w:val="24"/>
          <w:highlight w:val="none"/>
          <w:lang w:val="zh-CN"/>
        </w:rPr>
        <w:t>乙方：</w:t>
      </w:r>
      <w:r>
        <w:rPr>
          <w:rFonts w:hint="eastAsia" w:ascii="仿宋" w:hAnsi="仿宋" w:eastAsia="仿宋" w:cs="仿宋_GB2312"/>
          <w:bCs/>
          <w:sz w:val="24"/>
          <w:highlight w:val="none"/>
          <w:lang w:val="zh-CN"/>
        </w:rPr>
        <w:t xml:space="preserve">   </w:t>
      </w:r>
    </w:p>
    <w:p w14:paraId="05EC4ABC">
      <w:pPr>
        <w:spacing w:line="360" w:lineRule="auto"/>
        <w:ind w:firstLine="480" w:firstLineChars="200"/>
        <w:rPr>
          <w:rFonts w:hint="eastAsia" w:ascii="仿宋" w:hAnsi="仿宋" w:eastAsia="仿宋" w:cs="仿宋_GB2312"/>
          <w:sz w:val="24"/>
          <w:highlight w:val="none"/>
          <w:lang w:val="zh-CN"/>
        </w:rPr>
      </w:pPr>
      <w:r>
        <w:rPr>
          <w:rFonts w:hint="eastAsia" w:ascii="仿宋" w:hAnsi="仿宋" w:eastAsia="仿宋" w:cs="仿宋_GB2312"/>
          <w:sz w:val="24"/>
          <w:highlight w:val="none"/>
          <w:lang w:val="zh-CN"/>
        </w:rPr>
        <w:t>甲乙双方现就</w:t>
      </w:r>
      <w:r>
        <w:rPr>
          <w:rFonts w:hint="eastAsia" w:ascii="仿宋" w:hAnsi="仿宋" w:eastAsia="仿宋" w:cs="仿宋_GB2312"/>
          <w:sz w:val="24"/>
          <w:highlight w:val="none"/>
          <w:u w:val="single"/>
          <w:lang w:val="en-US" w:eastAsia="zh-CN"/>
        </w:rPr>
        <w:t xml:space="preserve">           </w:t>
      </w:r>
      <w:r>
        <w:rPr>
          <w:rFonts w:hint="eastAsia" w:ascii="仿宋" w:hAnsi="仿宋" w:eastAsia="仿宋" w:cs="仿宋_GB2312"/>
          <w:sz w:val="24"/>
          <w:highlight w:val="none"/>
          <w:lang w:val="en-US" w:eastAsia="zh-CN"/>
        </w:rPr>
        <w:t>项目</w:t>
      </w:r>
      <w:r>
        <w:rPr>
          <w:rFonts w:hint="eastAsia" w:ascii="仿宋" w:hAnsi="仿宋" w:eastAsia="仿宋" w:cs="仿宋_GB2312"/>
          <w:sz w:val="24"/>
          <w:highlight w:val="none"/>
          <w:lang w:val="zh-CN"/>
        </w:rPr>
        <w:t>相关事宜达成一致意见。现依据《中华人民共和国民法典》、《中华人民共和国政府采购法》等法律法规之规定，本着合作互利、平等自愿的原则，甲乙双方订立本合同，以资共同遵守：</w:t>
      </w:r>
    </w:p>
    <w:p w14:paraId="3DFAE28B">
      <w:pPr>
        <w:numPr>
          <w:ilvl w:val="0"/>
          <w:numId w:val="1"/>
        </w:numPr>
        <w:suppressAutoHyphens/>
        <w:spacing w:line="360" w:lineRule="auto"/>
        <w:ind w:firstLine="472" w:firstLineChars="196"/>
        <w:rPr>
          <w:rFonts w:hint="eastAsia" w:ascii="仿宋" w:hAnsi="仿宋" w:eastAsia="仿宋" w:cs="仿宋_GB2312"/>
          <w:b/>
          <w:bCs/>
          <w:sz w:val="24"/>
          <w:highlight w:val="none"/>
        </w:rPr>
      </w:pPr>
      <w:r>
        <w:rPr>
          <w:rFonts w:hint="eastAsia" w:ascii="仿宋" w:hAnsi="仿宋" w:eastAsia="仿宋" w:cs="仿宋_GB2312"/>
          <w:b/>
          <w:bCs/>
          <w:sz w:val="24"/>
          <w:highlight w:val="none"/>
        </w:rPr>
        <w:t>服务范围</w:t>
      </w:r>
    </w:p>
    <w:p w14:paraId="512F4938">
      <w:pPr>
        <w:spacing w:line="360" w:lineRule="auto"/>
        <w:ind w:firstLine="480"/>
        <w:rPr>
          <w:rFonts w:hint="eastAsia" w:ascii="仿宋" w:hAnsi="仿宋" w:eastAsia="仿宋" w:cs="仿宋_GB2312"/>
          <w:sz w:val="24"/>
          <w:highlight w:val="none"/>
        </w:rPr>
      </w:pPr>
      <w:r>
        <w:rPr>
          <w:rFonts w:hint="eastAsia" w:ascii="仿宋" w:hAnsi="仿宋" w:eastAsia="仿宋" w:cs="仿宋_GB2312"/>
          <w:sz w:val="24"/>
          <w:highlight w:val="none"/>
        </w:rPr>
        <w:t>对曲江新区内对1条快速路、20条主干道、积水点及其周边道路开展雷达探测,测线长度为1250千</w:t>
      </w:r>
      <w:r>
        <w:rPr>
          <w:rFonts w:hint="eastAsia" w:ascii="仿宋" w:hAnsi="仿宋" w:eastAsia="仿宋" w:cs="仿宋_GB2312"/>
          <w:sz w:val="24"/>
          <w:highlight w:val="none"/>
          <w:lang w:val="en-US" w:eastAsia="zh-CN"/>
        </w:rPr>
        <w:t>米</w:t>
      </w:r>
      <w:r>
        <w:rPr>
          <w:rFonts w:hint="eastAsia" w:ascii="仿宋" w:hAnsi="仿宋" w:eastAsia="仿宋" w:cs="仿宋_GB2312"/>
          <w:sz w:val="24"/>
          <w:highlight w:val="none"/>
        </w:rPr>
        <w:t>。</w:t>
      </w:r>
    </w:p>
    <w:p w14:paraId="32A3E85F">
      <w:pPr>
        <w:numPr>
          <w:ilvl w:val="0"/>
          <w:numId w:val="1"/>
        </w:numPr>
        <w:suppressAutoHyphens/>
        <w:spacing w:line="360" w:lineRule="auto"/>
        <w:ind w:firstLine="472" w:firstLineChars="196"/>
        <w:rPr>
          <w:rFonts w:hint="eastAsia" w:ascii="仿宋" w:hAnsi="仿宋" w:eastAsia="仿宋" w:cs="仿宋_GB2312"/>
          <w:b/>
          <w:bCs/>
          <w:sz w:val="24"/>
          <w:highlight w:val="none"/>
        </w:rPr>
      </w:pPr>
      <w:r>
        <w:rPr>
          <w:rFonts w:hint="eastAsia" w:ascii="仿宋" w:hAnsi="仿宋" w:eastAsia="仿宋" w:cs="仿宋_GB2312"/>
          <w:b/>
          <w:bCs/>
          <w:sz w:val="24"/>
          <w:highlight w:val="none"/>
        </w:rPr>
        <w:t>服务期限</w:t>
      </w:r>
    </w:p>
    <w:p w14:paraId="2B74F811">
      <w:pPr>
        <w:spacing w:line="360" w:lineRule="auto"/>
        <w:ind w:firstLine="480" w:firstLineChars="200"/>
        <w:rPr>
          <w:rFonts w:hint="eastAsia" w:ascii="仿宋" w:hAnsi="仿宋" w:eastAsia="仿宋" w:cs="仿宋_GB2312"/>
          <w:sz w:val="24"/>
          <w:highlight w:val="none"/>
        </w:rPr>
      </w:pPr>
      <w:r>
        <w:rPr>
          <w:rFonts w:hint="eastAsia" w:ascii="仿宋" w:hAnsi="仿宋" w:eastAsia="仿宋" w:cs="仿宋_GB2312"/>
          <w:sz w:val="24"/>
          <w:highlight w:val="none"/>
        </w:rPr>
        <w:t>服务期限为</w:t>
      </w:r>
      <w:r>
        <w:rPr>
          <w:rFonts w:hint="eastAsia" w:ascii="仿宋" w:hAnsi="仿宋" w:eastAsia="仿宋" w:cs="仿宋_GB2312"/>
          <w:sz w:val="24"/>
          <w:highlight w:val="none"/>
          <w:lang w:val="en-US" w:eastAsia="zh-CN"/>
        </w:rPr>
        <w:t xml:space="preserve">   </w:t>
      </w:r>
      <w:r>
        <w:rPr>
          <w:rFonts w:hint="eastAsia" w:ascii="仿宋" w:hAnsi="仿宋" w:eastAsia="仿宋" w:cs="仿宋_GB2312"/>
          <w:sz w:val="24"/>
          <w:highlight w:val="none"/>
        </w:rPr>
        <w:t>。</w:t>
      </w:r>
    </w:p>
    <w:p w14:paraId="725B2FA0">
      <w:pPr>
        <w:spacing w:line="360" w:lineRule="auto"/>
        <w:ind w:firstLine="482" w:firstLineChars="200"/>
        <w:rPr>
          <w:rFonts w:hint="eastAsia" w:ascii="仿宋" w:hAnsi="仿宋" w:eastAsia="仿宋" w:cs="仿宋_GB2312"/>
          <w:b/>
          <w:bCs/>
          <w:sz w:val="24"/>
          <w:highlight w:val="none"/>
        </w:rPr>
      </w:pPr>
      <w:r>
        <w:rPr>
          <w:rFonts w:hint="eastAsia" w:ascii="仿宋" w:hAnsi="仿宋" w:eastAsia="仿宋" w:cs="仿宋_GB2312"/>
          <w:b/>
          <w:bCs/>
          <w:sz w:val="24"/>
          <w:highlight w:val="none"/>
        </w:rPr>
        <w:t>第三条 服务内容</w:t>
      </w:r>
    </w:p>
    <w:p w14:paraId="1C96B63D">
      <w:pPr>
        <w:spacing w:line="360" w:lineRule="auto"/>
        <w:ind w:firstLine="480" w:firstLineChars="200"/>
        <w:rPr>
          <w:rFonts w:hint="eastAsia" w:ascii="仿宋" w:hAnsi="仿宋" w:eastAsia="仿宋" w:cs="仿宋_GB2312"/>
          <w:sz w:val="24"/>
          <w:highlight w:val="none"/>
        </w:rPr>
      </w:pPr>
      <w:r>
        <w:rPr>
          <w:rFonts w:hint="eastAsia" w:ascii="仿宋" w:hAnsi="仿宋" w:eastAsia="仿宋" w:cs="仿宋_GB2312"/>
          <w:sz w:val="24"/>
          <w:highlight w:val="none"/>
        </w:rPr>
        <w:t>曲江新区城市道路病害体探测项目主要利用先进的探底雷达等技术手段，对快速路主干道、积水点及其周边道路进行地下病害体探测。</w:t>
      </w:r>
    </w:p>
    <w:p w14:paraId="6B92F0FB">
      <w:pPr>
        <w:spacing w:line="360" w:lineRule="auto"/>
        <w:ind w:firstLine="477" w:firstLineChars="198"/>
        <w:rPr>
          <w:rFonts w:hint="eastAsia" w:ascii="仿宋" w:hAnsi="仿宋" w:eastAsia="仿宋" w:cs="仿宋_GB2312"/>
          <w:b/>
          <w:bCs/>
          <w:sz w:val="24"/>
          <w:highlight w:val="none"/>
          <w:lang w:val="zh-CN" w:eastAsia="zh-CN"/>
        </w:rPr>
      </w:pPr>
      <w:r>
        <w:rPr>
          <w:rFonts w:hint="eastAsia" w:ascii="仿宋" w:hAnsi="仿宋" w:eastAsia="仿宋" w:cs="仿宋_GB2312"/>
          <w:b/>
          <w:bCs/>
          <w:sz w:val="24"/>
          <w:highlight w:val="none"/>
        </w:rPr>
        <w:t>第</w:t>
      </w:r>
      <w:r>
        <w:rPr>
          <w:rFonts w:hint="eastAsia" w:ascii="仿宋" w:hAnsi="仿宋" w:eastAsia="仿宋" w:cs="仿宋_GB2312"/>
          <w:b/>
          <w:bCs/>
          <w:sz w:val="24"/>
          <w:highlight w:val="none"/>
          <w:lang w:eastAsia="zh-CN"/>
        </w:rPr>
        <w:t>四</w:t>
      </w:r>
      <w:r>
        <w:rPr>
          <w:rFonts w:hint="eastAsia" w:ascii="仿宋" w:hAnsi="仿宋" w:eastAsia="仿宋" w:cs="仿宋_GB2312"/>
          <w:b/>
          <w:bCs/>
          <w:sz w:val="24"/>
          <w:highlight w:val="none"/>
        </w:rPr>
        <w:t>条 合同</w:t>
      </w:r>
      <w:r>
        <w:rPr>
          <w:rFonts w:hint="eastAsia" w:ascii="仿宋" w:hAnsi="仿宋" w:eastAsia="仿宋" w:cs="仿宋_GB2312"/>
          <w:b/>
          <w:bCs/>
          <w:sz w:val="24"/>
          <w:highlight w:val="none"/>
          <w:lang w:eastAsia="zh-CN"/>
        </w:rPr>
        <w:t>价款及结算</w:t>
      </w:r>
    </w:p>
    <w:p w14:paraId="1CEB784B">
      <w:pPr>
        <w:numPr>
          <w:ilvl w:val="0"/>
          <w:numId w:val="0"/>
        </w:numPr>
        <w:suppressAutoHyphens/>
        <w:spacing w:line="360" w:lineRule="auto"/>
        <w:ind w:firstLine="480" w:firstLineChars="200"/>
        <w:rPr>
          <w:rFonts w:hint="eastAsia" w:ascii="仿宋" w:hAnsi="仿宋" w:eastAsia="仿宋" w:cs="仿宋_GB2312"/>
          <w:sz w:val="24"/>
          <w:highlight w:val="none"/>
        </w:rPr>
      </w:pPr>
      <w:r>
        <w:rPr>
          <w:rFonts w:hint="eastAsia" w:ascii="仿宋" w:hAnsi="仿宋" w:eastAsia="仿宋" w:cs="仿宋_GB2312"/>
          <w:sz w:val="24"/>
          <w:highlight w:val="none"/>
        </w:rPr>
        <w:t>1</w:t>
      </w:r>
      <w:r>
        <w:rPr>
          <w:rFonts w:hint="eastAsia" w:ascii="仿宋" w:hAnsi="仿宋" w:eastAsia="仿宋" w:cs="仿宋_GB2312"/>
          <w:sz w:val="24"/>
          <w:highlight w:val="none"/>
          <w:lang w:eastAsia="zh-CN"/>
        </w:rPr>
        <w:t>、</w:t>
      </w:r>
      <w:r>
        <w:rPr>
          <w:rFonts w:hint="eastAsia" w:ascii="仿宋" w:hAnsi="仿宋" w:eastAsia="仿宋" w:cs="仿宋_GB2312"/>
          <w:sz w:val="24"/>
          <w:highlight w:val="none"/>
        </w:rPr>
        <w:t>合同总价包括：完成本项目并达到</w:t>
      </w:r>
      <w:r>
        <w:rPr>
          <w:rFonts w:hint="eastAsia" w:ascii="仿宋" w:hAnsi="仿宋" w:eastAsia="仿宋" w:cs="仿宋_GB2312"/>
          <w:sz w:val="24"/>
          <w:highlight w:val="none"/>
          <w:lang w:eastAsia="zh-CN"/>
        </w:rPr>
        <w:t>招标</w:t>
      </w:r>
      <w:r>
        <w:rPr>
          <w:rFonts w:hint="eastAsia" w:ascii="仿宋" w:hAnsi="仿宋" w:eastAsia="仿宋" w:cs="仿宋_GB2312"/>
          <w:sz w:val="24"/>
          <w:highlight w:val="none"/>
        </w:rPr>
        <w:t>文件要求所需要的全部费用，包括但不限于</w:t>
      </w:r>
      <w:r>
        <w:rPr>
          <w:rFonts w:hint="eastAsia" w:ascii="仿宋" w:hAnsi="仿宋" w:eastAsia="仿宋" w:cs="仿宋_GB2312"/>
          <w:sz w:val="24"/>
          <w:highlight w:val="none"/>
          <w:lang w:eastAsia="zh-CN"/>
        </w:rPr>
        <w:t>道路探</w:t>
      </w:r>
      <w:r>
        <w:rPr>
          <w:rFonts w:hint="eastAsia" w:ascii="仿宋" w:hAnsi="仿宋" w:eastAsia="仿宋" w:cs="仿宋_GB2312"/>
          <w:sz w:val="24"/>
          <w:highlight w:val="none"/>
        </w:rPr>
        <w:t>测费、成果出具费、供应商应缴纳的所有税费</w:t>
      </w:r>
      <w:r>
        <w:rPr>
          <w:rFonts w:hint="eastAsia" w:ascii="仿宋" w:hAnsi="仿宋" w:eastAsia="仿宋" w:cs="仿宋_GB2312"/>
          <w:sz w:val="24"/>
          <w:highlight w:val="none"/>
          <w:lang w:eastAsia="zh-CN"/>
        </w:rPr>
        <w:t>、利润</w:t>
      </w:r>
      <w:r>
        <w:rPr>
          <w:rFonts w:hint="eastAsia" w:ascii="仿宋" w:hAnsi="仿宋" w:eastAsia="仿宋" w:cs="仿宋_GB2312"/>
          <w:sz w:val="24"/>
          <w:highlight w:val="none"/>
        </w:rPr>
        <w:t>等费用。合同</w:t>
      </w:r>
      <w:r>
        <w:rPr>
          <w:rFonts w:hint="eastAsia" w:ascii="仿宋" w:hAnsi="仿宋" w:eastAsia="仿宋" w:cs="仿宋_GB2312"/>
          <w:sz w:val="24"/>
          <w:highlight w:val="none"/>
          <w:lang w:eastAsia="zh-CN"/>
        </w:rPr>
        <w:t>单价</w:t>
      </w:r>
      <w:r>
        <w:rPr>
          <w:rFonts w:hint="eastAsia" w:ascii="仿宋" w:hAnsi="仿宋" w:eastAsia="仿宋" w:cs="仿宋_GB2312"/>
          <w:sz w:val="24"/>
          <w:highlight w:val="none"/>
        </w:rPr>
        <w:t>一次性包死，单价：</w:t>
      </w:r>
      <w:r>
        <w:rPr>
          <w:rFonts w:hint="eastAsia" w:ascii="仿宋" w:hAnsi="仿宋" w:eastAsia="仿宋" w:cs="仿宋_GB2312"/>
          <w:sz w:val="24"/>
          <w:highlight w:val="none"/>
          <w:u w:val="single"/>
        </w:rPr>
        <w:t xml:space="preserve">     </w:t>
      </w:r>
      <w:r>
        <w:rPr>
          <w:rFonts w:hint="eastAsia" w:ascii="仿宋" w:hAnsi="仿宋" w:eastAsia="仿宋" w:cs="仿宋_GB2312"/>
          <w:sz w:val="24"/>
          <w:highlight w:val="none"/>
        </w:rPr>
        <w:t>元/</w:t>
      </w:r>
      <w:r>
        <w:rPr>
          <w:rFonts w:hint="eastAsia" w:ascii="仿宋" w:hAnsi="仿宋" w:eastAsia="仿宋" w:cs="仿宋_GB2312"/>
          <w:sz w:val="24"/>
          <w:highlight w:val="none"/>
          <w:lang w:eastAsia="zh-CN"/>
        </w:rPr>
        <w:t>测线</w:t>
      </w:r>
      <w:r>
        <w:rPr>
          <w:rFonts w:hint="eastAsia" w:ascii="仿宋" w:hAnsi="仿宋" w:eastAsia="仿宋" w:cs="仿宋_GB2312"/>
          <w:sz w:val="24"/>
          <w:highlight w:val="none"/>
        </w:rPr>
        <w:t>千米</w:t>
      </w:r>
      <w:r>
        <w:rPr>
          <w:rFonts w:hint="eastAsia" w:ascii="仿宋" w:hAnsi="仿宋" w:eastAsia="仿宋" w:cs="仿宋_GB2312"/>
          <w:sz w:val="24"/>
          <w:highlight w:val="none"/>
          <w:lang w:eastAsia="zh-CN"/>
        </w:rPr>
        <w:t>，</w:t>
      </w:r>
      <w:r>
        <w:rPr>
          <w:rFonts w:hint="eastAsia" w:ascii="仿宋" w:hAnsi="仿宋" w:eastAsia="仿宋" w:cs="仿宋_GB2312"/>
          <w:sz w:val="24"/>
          <w:highlight w:val="none"/>
        </w:rPr>
        <w:t>不受市场价格变化因素的影响。</w:t>
      </w:r>
    </w:p>
    <w:p w14:paraId="1A6428C6">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2、最终结算以实际发生量为准。（试情况选择A或B）</w:t>
      </w:r>
    </w:p>
    <w:p w14:paraId="64F3A2B4">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（A）若中标单位为非中小企业：合同签订后，达到付款条件起 60 日内，根据工作量及合同约定价格，进行结算，最终验收合格后，甲方根据结算付款审批程序办理，经审批后予以支付，达到付款条件起60日内，支付结算价款的100%。</w:t>
      </w:r>
    </w:p>
    <w:p w14:paraId="3AEBD275">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（B）若中标单位为中小企业：合同签订后，达到付款条件起30 日内，支付暂定合同价款的40%作为预付款；根据工作量及合同约定价格，进行结算，最终验收合格后，甲方根据结算付</w:t>
      </w:r>
      <w:bookmarkStart w:id="1" w:name="_GoBack"/>
      <w:bookmarkEnd w:id="1"/>
      <w:r>
        <w:rPr>
          <w:rFonts w:hint="eastAsia" w:ascii="仿宋" w:hAnsi="仿宋" w:eastAsia="仿宋" w:cs="仿宋_GB2312"/>
          <w:sz w:val="24"/>
          <w:highlight w:val="none"/>
          <w:lang w:val="en-US" w:eastAsia="zh-CN"/>
        </w:rPr>
        <w:t>款审批程序办理，经审批后予以支付，达到付款条件起60日内，支付至结算价款的100%。</w:t>
      </w:r>
    </w:p>
    <w:p w14:paraId="22ADF7EF">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3、甲方应根据绩效考评确认绩效考核等级，根据绩效等级与付款比例挂钩规则，即当期付款费用=确认付款费用×总价调节系数（优秀100%、良90%、合格70%、不合格50%）。</w:t>
      </w:r>
    </w:p>
    <w:p w14:paraId="4EA59CE3">
      <w:pPr>
        <w:spacing w:line="360" w:lineRule="auto"/>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六、绩效考评机制</w:t>
      </w:r>
    </w:p>
    <w:p w14:paraId="69A7D96B">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（一）绩效目标设定</w:t>
      </w:r>
    </w:p>
    <w:p w14:paraId="241173FE">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1.乙方需完成以下核心绩效目标:</w:t>
      </w:r>
    </w:p>
    <w:tbl>
      <w:tblPr>
        <w:tblStyle w:val="5"/>
        <w:tblW w:w="8719"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511"/>
        <w:gridCol w:w="3381"/>
        <w:gridCol w:w="1201"/>
        <w:gridCol w:w="1680"/>
      </w:tblGrid>
      <w:tr w14:paraId="2C08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noWrap w:val="0"/>
            <w:vAlign w:val="center"/>
          </w:tcPr>
          <w:p w14:paraId="12951785">
            <w:pPr>
              <w:numPr>
                <w:ilvl w:val="0"/>
                <w:numId w:val="0"/>
              </w:numPr>
              <w:suppressAutoHyphens/>
              <w:spacing w:line="360" w:lineRule="auto"/>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序号</w:t>
            </w:r>
          </w:p>
        </w:tc>
        <w:tc>
          <w:tcPr>
            <w:tcW w:w="1511" w:type="dxa"/>
            <w:noWrap w:val="0"/>
            <w:vAlign w:val="center"/>
          </w:tcPr>
          <w:p w14:paraId="6F021D84">
            <w:pPr>
              <w:numPr>
                <w:ilvl w:val="0"/>
                <w:numId w:val="0"/>
              </w:numPr>
              <w:suppressAutoHyphens/>
              <w:spacing w:line="360" w:lineRule="auto"/>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绩效指标</w:t>
            </w:r>
          </w:p>
        </w:tc>
        <w:tc>
          <w:tcPr>
            <w:tcW w:w="3381" w:type="dxa"/>
            <w:noWrap w:val="0"/>
            <w:vAlign w:val="center"/>
          </w:tcPr>
          <w:p w14:paraId="569E4FD4">
            <w:pPr>
              <w:numPr>
                <w:ilvl w:val="0"/>
                <w:numId w:val="0"/>
              </w:numPr>
              <w:suppressAutoHyphens/>
              <w:spacing w:line="360" w:lineRule="auto"/>
              <w:ind w:firstLine="480" w:firstLineChars="200"/>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目标值</w:t>
            </w:r>
          </w:p>
        </w:tc>
        <w:tc>
          <w:tcPr>
            <w:tcW w:w="1201" w:type="dxa"/>
            <w:noWrap w:val="0"/>
            <w:vAlign w:val="center"/>
          </w:tcPr>
          <w:p w14:paraId="6C832815">
            <w:pPr>
              <w:numPr>
                <w:ilvl w:val="0"/>
                <w:numId w:val="0"/>
              </w:numPr>
              <w:suppressAutoHyphens/>
              <w:spacing w:line="360" w:lineRule="auto"/>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权重</w:t>
            </w:r>
          </w:p>
        </w:tc>
        <w:tc>
          <w:tcPr>
            <w:tcW w:w="1680" w:type="dxa"/>
            <w:noWrap w:val="0"/>
            <w:vAlign w:val="center"/>
          </w:tcPr>
          <w:p w14:paraId="57461C90">
            <w:pPr>
              <w:numPr>
                <w:ilvl w:val="0"/>
                <w:numId w:val="0"/>
              </w:numPr>
              <w:suppressAutoHyphens/>
              <w:spacing w:line="360" w:lineRule="auto"/>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考评周期</w:t>
            </w:r>
          </w:p>
        </w:tc>
      </w:tr>
      <w:tr w14:paraId="30FC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noWrap w:val="0"/>
            <w:vAlign w:val="center"/>
          </w:tcPr>
          <w:p w14:paraId="47C594A0">
            <w:pPr>
              <w:numPr>
                <w:ilvl w:val="0"/>
                <w:numId w:val="0"/>
              </w:numPr>
              <w:suppressAutoHyphens/>
              <w:spacing w:line="360" w:lineRule="auto"/>
              <w:ind w:firstLine="480" w:firstLineChars="200"/>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w:t>
            </w:r>
          </w:p>
        </w:tc>
        <w:tc>
          <w:tcPr>
            <w:tcW w:w="1511" w:type="dxa"/>
            <w:noWrap w:val="0"/>
            <w:vAlign w:val="center"/>
          </w:tcPr>
          <w:p w14:paraId="3EE95911">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数量指标</w:t>
            </w:r>
          </w:p>
        </w:tc>
        <w:tc>
          <w:tcPr>
            <w:tcW w:w="3381" w:type="dxa"/>
            <w:noWrap w:val="0"/>
            <w:vAlign w:val="center"/>
          </w:tcPr>
          <w:p w14:paraId="4B90AB74">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1条快速路、20条主干道、积水点及其周边道路开展雷达探测,测线长度小于等于1250千米。</w:t>
            </w:r>
          </w:p>
        </w:tc>
        <w:tc>
          <w:tcPr>
            <w:tcW w:w="1201" w:type="dxa"/>
            <w:noWrap w:val="0"/>
            <w:vAlign w:val="center"/>
          </w:tcPr>
          <w:p w14:paraId="556780B4">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10</w:t>
            </w:r>
          </w:p>
        </w:tc>
        <w:tc>
          <w:tcPr>
            <w:tcW w:w="1680" w:type="dxa"/>
            <w:noWrap w:val="0"/>
            <w:vAlign w:val="center"/>
          </w:tcPr>
          <w:p w14:paraId="1CDA73EE">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合同服务期内</w:t>
            </w:r>
          </w:p>
        </w:tc>
      </w:tr>
      <w:tr w14:paraId="04D1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noWrap w:val="0"/>
            <w:vAlign w:val="center"/>
          </w:tcPr>
          <w:p w14:paraId="19F10BBD">
            <w:pPr>
              <w:numPr>
                <w:ilvl w:val="0"/>
                <w:numId w:val="0"/>
              </w:numPr>
              <w:suppressAutoHyphens/>
              <w:spacing w:line="360" w:lineRule="auto"/>
              <w:ind w:firstLine="480" w:firstLineChars="200"/>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w:t>
            </w:r>
          </w:p>
        </w:tc>
        <w:tc>
          <w:tcPr>
            <w:tcW w:w="1511" w:type="dxa"/>
            <w:noWrap w:val="0"/>
            <w:vAlign w:val="center"/>
          </w:tcPr>
          <w:p w14:paraId="360A7207">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质量指标</w:t>
            </w:r>
          </w:p>
        </w:tc>
        <w:tc>
          <w:tcPr>
            <w:tcW w:w="3381" w:type="dxa"/>
            <w:noWrap w:val="0"/>
            <w:vAlign w:val="center"/>
          </w:tcPr>
          <w:p w14:paraId="2DAF7DC5">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确保快速路、主干道、积水点及其周边道路病害全面摸排，出具1份检测报告，为及时整治、清除道路病害提供依据。</w:t>
            </w:r>
          </w:p>
        </w:tc>
        <w:tc>
          <w:tcPr>
            <w:tcW w:w="1201" w:type="dxa"/>
            <w:noWrap w:val="0"/>
            <w:vAlign w:val="center"/>
          </w:tcPr>
          <w:p w14:paraId="190A5F91">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50</w:t>
            </w:r>
          </w:p>
        </w:tc>
        <w:tc>
          <w:tcPr>
            <w:tcW w:w="1680" w:type="dxa"/>
            <w:noWrap w:val="0"/>
            <w:vAlign w:val="center"/>
          </w:tcPr>
          <w:p w14:paraId="0EB99AF1">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合同服务期内</w:t>
            </w:r>
          </w:p>
        </w:tc>
      </w:tr>
      <w:tr w14:paraId="44C4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noWrap w:val="0"/>
            <w:vAlign w:val="center"/>
          </w:tcPr>
          <w:p w14:paraId="5C60CC64">
            <w:pPr>
              <w:numPr>
                <w:ilvl w:val="0"/>
                <w:numId w:val="0"/>
              </w:numPr>
              <w:suppressAutoHyphens/>
              <w:spacing w:line="360" w:lineRule="auto"/>
              <w:ind w:firstLine="480" w:firstLineChars="200"/>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3</w:t>
            </w:r>
          </w:p>
        </w:tc>
        <w:tc>
          <w:tcPr>
            <w:tcW w:w="1511" w:type="dxa"/>
            <w:noWrap w:val="0"/>
            <w:vAlign w:val="center"/>
          </w:tcPr>
          <w:p w14:paraId="1AB44226">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效益指标</w:t>
            </w:r>
          </w:p>
        </w:tc>
        <w:tc>
          <w:tcPr>
            <w:tcW w:w="3381" w:type="dxa"/>
            <w:noWrap w:val="0"/>
            <w:vAlign w:val="center"/>
          </w:tcPr>
          <w:p w14:paraId="03F3D247">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确保快速路、主干道、积水点及其周边道路病害全面摸排，为及时整治、清除道路病害提供依据。</w:t>
            </w:r>
          </w:p>
        </w:tc>
        <w:tc>
          <w:tcPr>
            <w:tcW w:w="1201" w:type="dxa"/>
            <w:noWrap w:val="0"/>
            <w:vAlign w:val="center"/>
          </w:tcPr>
          <w:p w14:paraId="3E067435">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20</w:t>
            </w:r>
          </w:p>
        </w:tc>
        <w:tc>
          <w:tcPr>
            <w:tcW w:w="1680" w:type="dxa"/>
            <w:noWrap w:val="0"/>
            <w:vAlign w:val="center"/>
          </w:tcPr>
          <w:p w14:paraId="7D5B686C">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合同服务期内</w:t>
            </w:r>
          </w:p>
        </w:tc>
      </w:tr>
      <w:tr w14:paraId="0CFE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noWrap w:val="0"/>
            <w:vAlign w:val="center"/>
          </w:tcPr>
          <w:p w14:paraId="058899CF">
            <w:pPr>
              <w:numPr>
                <w:ilvl w:val="0"/>
                <w:numId w:val="0"/>
              </w:numPr>
              <w:suppressAutoHyphens/>
              <w:spacing w:line="360" w:lineRule="auto"/>
              <w:ind w:firstLine="480" w:firstLineChars="200"/>
              <w:jc w:val="center"/>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4</w:t>
            </w:r>
          </w:p>
        </w:tc>
        <w:tc>
          <w:tcPr>
            <w:tcW w:w="1511" w:type="dxa"/>
            <w:noWrap w:val="0"/>
            <w:vAlign w:val="center"/>
          </w:tcPr>
          <w:p w14:paraId="69089461">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满意度指标</w:t>
            </w:r>
          </w:p>
        </w:tc>
        <w:tc>
          <w:tcPr>
            <w:tcW w:w="3381" w:type="dxa"/>
            <w:noWrap w:val="0"/>
            <w:vAlign w:val="center"/>
          </w:tcPr>
          <w:p w14:paraId="40BC6EE4">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甲方对市民的满意度进行抽查，好评大于等于90%</w:t>
            </w:r>
          </w:p>
        </w:tc>
        <w:tc>
          <w:tcPr>
            <w:tcW w:w="1201" w:type="dxa"/>
            <w:noWrap w:val="0"/>
            <w:vAlign w:val="center"/>
          </w:tcPr>
          <w:p w14:paraId="64D04FB8">
            <w:pPr>
              <w:numPr>
                <w:ilvl w:val="0"/>
                <w:numId w:val="0"/>
              </w:numPr>
              <w:suppressAutoHyphens/>
              <w:spacing w:line="360" w:lineRule="auto"/>
              <w:ind w:firstLine="480" w:firstLineChars="200"/>
              <w:jc w:val="left"/>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20</w:t>
            </w:r>
          </w:p>
        </w:tc>
        <w:tc>
          <w:tcPr>
            <w:tcW w:w="1680" w:type="dxa"/>
            <w:noWrap w:val="0"/>
            <w:vAlign w:val="center"/>
          </w:tcPr>
          <w:p w14:paraId="22072B73">
            <w:pPr>
              <w:numPr>
                <w:ilvl w:val="0"/>
                <w:numId w:val="0"/>
              </w:numPr>
              <w:suppressAutoHyphens/>
              <w:spacing w:line="360" w:lineRule="auto"/>
              <w:jc w:val="both"/>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合同服务期内</w:t>
            </w:r>
          </w:p>
        </w:tc>
      </w:tr>
    </w:tbl>
    <w:p w14:paraId="65D11856">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p>
    <w:p w14:paraId="0AECB6DE">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2.绩效目标一经双方确认，非经书面修订不得变更。</w:t>
      </w:r>
    </w:p>
    <w:p w14:paraId="50900877">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（二）绩效目标设定</w:t>
      </w:r>
    </w:p>
    <w:p w14:paraId="06A112F7">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1.考评主体：</w:t>
      </w:r>
    </w:p>
    <w:p w14:paraId="2AC975FB">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甲方成立绩效评审小组，负责对乙方绩效进行客观评价。</w:t>
      </w:r>
    </w:p>
    <w:p w14:paraId="11ED76E9">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2.考评流程:</w:t>
      </w:r>
    </w:p>
    <w:p w14:paraId="77DABCC8">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乙方于考评周期结束前日提交《绩效自评报告》及证明材料;甲方在5个工作日内完成评审并出具《绩效评价结果通知书》</w:t>
      </w:r>
    </w:p>
    <w:p w14:paraId="0CF28C54">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3.评分标准:</w:t>
      </w:r>
    </w:p>
    <w:p w14:paraId="41CC6E43">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总分=∑(单项指标得分x权重)</w:t>
      </w:r>
    </w:p>
    <w:p w14:paraId="10F16245">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单项得分=实际完成值/目标值x100</w:t>
      </w:r>
    </w:p>
    <w:p w14:paraId="6977CCFC">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4.乙方对考评结果有异议的，应在收到通知书30日内提出书面异议，逾期视为认可。</w:t>
      </w:r>
    </w:p>
    <w:p w14:paraId="63D3FDF7">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（三）绩效等级与付款比例挂钩规则</w:t>
      </w:r>
    </w:p>
    <w:p w14:paraId="3E7803E7">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根据绩效总分(S)，确定付款调节系数: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4"/>
        <w:gridCol w:w="2430"/>
        <w:gridCol w:w="3174"/>
      </w:tblGrid>
      <w:tr w14:paraId="3E9A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2634" w:type="dxa"/>
            <w:noWrap w:val="0"/>
            <w:vAlign w:val="center"/>
          </w:tcPr>
          <w:p w14:paraId="0D35D816">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绩效等级</w:t>
            </w:r>
          </w:p>
        </w:tc>
        <w:tc>
          <w:tcPr>
            <w:tcW w:w="2430" w:type="dxa"/>
            <w:noWrap w:val="0"/>
            <w:vAlign w:val="center"/>
          </w:tcPr>
          <w:p w14:paraId="3E375944">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总分区间</w:t>
            </w:r>
          </w:p>
        </w:tc>
        <w:tc>
          <w:tcPr>
            <w:tcW w:w="3174" w:type="dxa"/>
            <w:noWrap w:val="0"/>
            <w:vAlign w:val="center"/>
          </w:tcPr>
          <w:p w14:paraId="7E54EA7D">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付款调节系数</w:t>
            </w:r>
          </w:p>
        </w:tc>
      </w:tr>
      <w:tr w14:paraId="6DF5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34" w:type="dxa"/>
            <w:noWrap w:val="0"/>
            <w:vAlign w:val="center"/>
          </w:tcPr>
          <w:p w14:paraId="1B1BB32E">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优秀</w:t>
            </w:r>
          </w:p>
        </w:tc>
        <w:tc>
          <w:tcPr>
            <w:tcW w:w="2430" w:type="dxa"/>
            <w:noWrap w:val="0"/>
            <w:vAlign w:val="center"/>
          </w:tcPr>
          <w:p w14:paraId="69D0B0AA">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S≥90</w:t>
            </w:r>
          </w:p>
        </w:tc>
        <w:tc>
          <w:tcPr>
            <w:tcW w:w="3174" w:type="dxa"/>
            <w:noWrap w:val="0"/>
            <w:vAlign w:val="center"/>
          </w:tcPr>
          <w:p w14:paraId="565011E2">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100%</w:t>
            </w:r>
          </w:p>
        </w:tc>
      </w:tr>
      <w:tr w14:paraId="0FF6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634" w:type="dxa"/>
            <w:noWrap w:val="0"/>
            <w:vAlign w:val="center"/>
          </w:tcPr>
          <w:p w14:paraId="1214AA02">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良</w:t>
            </w:r>
          </w:p>
        </w:tc>
        <w:tc>
          <w:tcPr>
            <w:tcW w:w="2430" w:type="dxa"/>
            <w:noWrap w:val="0"/>
            <w:vAlign w:val="center"/>
          </w:tcPr>
          <w:p w14:paraId="6D32E50F">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90＞S≥80</w:t>
            </w:r>
          </w:p>
        </w:tc>
        <w:tc>
          <w:tcPr>
            <w:tcW w:w="3174" w:type="dxa"/>
            <w:noWrap w:val="0"/>
            <w:vAlign w:val="center"/>
          </w:tcPr>
          <w:p w14:paraId="61FB4832">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90%</w:t>
            </w:r>
          </w:p>
        </w:tc>
      </w:tr>
      <w:tr w14:paraId="5A1D8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634" w:type="dxa"/>
            <w:noWrap w:val="0"/>
            <w:vAlign w:val="center"/>
          </w:tcPr>
          <w:p w14:paraId="7BF96DC9">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合格</w:t>
            </w:r>
          </w:p>
        </w:tc>
        <w:tc>
          <w:tcPr>
            <w:tcW w:w="2430" w:type="dxa"/>
            <w:noWrap w:val="0"/>
            <w:vAlign w:val="center"/>
          </w:tcPr>
          <w:p w14:paraId="31C975A8">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80＞S≥60</w:t>
            </w:r>
          </w:p>
        </w:tc>
        <w:tc>
          <w:tcPr>
            <w:tcW w:w="3174" w:type="dxa"/>
            <w:noWrap w:val="0"/>
            <w:vAlign w:val="center"/>
          </w:tcPr>
          <w:p w14:paraId="5DF72934">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70%</w:t>
            </w:r>
          </w:p>
        </w:tc>
      </w:tr>
      <w:tr w14:paraId="03A0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634" w:type="dxa"/>
            <w:noWrap w:val="0"/>
            <w:vAlign w:val="center"/>
          </w:tcPr>
          <w:p w14:paraId="33647FA0">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不合格</w:t>
            </w:r>
          </w:p>
        </w:tc>
        <w:tc>
          <w:tcPr>
            <w:tcW w:w="2430" w:type="dxa"/>
            <w:noWrap w:val="0"/>
            <w:vAlign w:val="center"/>
          </w:tcPr>
          <w:p w14:paraId="06D23ACE">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S＜60</w:t>
            </w:r>
          </w:p>
        </w:tc>
        <w:tc>
          <w:tcPr>
            <w:tcW w:w="3174" w:type="dxa"/>
            <w:noWrap w:val="0"/>
            <w:vAlign w:val="center"/>
          </w:tcPr>
          <w:p w14:paraId="0D809618">
            <w:pPr>
              <w:numPr>
                <w:ilvl w:val="0"/>
                <w:numId w:val="0"/>
              </w:numPr>
              <w:suppressAutoHyphens/>
              <w:spacing w:line="360" w:lineRule="auto"/>
              <w:ind w:firstLine="480" w:firstLineChars="200"/>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50%</w:t>
            </w:r>
          </w:p>
        </w:tc>
      </w:tr>
    </w:tbl>
    <w:p w14:paraId="34EDA99A">
      <w:pPr>
        <w:spacing w:line="360" w:lineRule="auto"/>
        <w:ind w:firstLine="477" w:firstLineChars="198"/>
        <w:rPr>
          <w:rFonts w:hint="eastAsia" w:ascii="仿宋" w:hAnsi="仿宋" w:eastAsia="仿宋" w:cs="仿宋_GB2312"/>
          <w:b/>
          <w:sz w:val="24"/>
          <w:highlight w:val="none"/>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五</w:t>
      </w:r>
      <w:r>
        <w:rPr>
          <w:rFonts w:hint="eastAsia" w:ascii="仿宋" w:hAnsi="仿宋" w:eastAsia="仿宋" w:cs="仿宋_GB2312"/>
          <w:b/>
          <w:sz w:val="24"/>
          <w:highlight w:val="none"/>
        </w:rPr>
        <w:t>条 双方权利义务</w:t>
      </w:r>
    </w:p>
    <w:p w14:paraId="68724D60">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（一）甲方权利、义务：</w:t>
      </w:r>
    </w:p>
    <w:p w14:paraId="18FA4DEE">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1、甲方负责提供需要</w:t>
      </w:r>
      <w:r>
        <w:rPr>
          <w:rFonts w:hint="eastAsia" w:ascii="仿宋" w:hAnsi="仿宋" w:eastAsia="仿宋" w:cs="仿宋_GB2312"/>
          <w:sz w:val="24"/>
          <w:highlight w:val="none"/>
          <w:lang w:eastAsia="zh-CN"/>
        </w:rPr>
        <w:t>探测</w:t>
      </w:r>
      <w:r>
        <w:rPr>
          <w:rFonts w:hint="eastAsia" w:ascii="仿宋" w:hAnsi="仿宋" w:eastAsia="仿宋" w:cs="仿宋_GB2312"/>
          <w:sz w:val="24"/>
          <w:highlight w:val="none"/>
        </w:rPr>
        <w:t>的所辖道路名称，明确乙方工作责任范围。</w:t>
      </w:r>
    </w:p>
    <w:p w14:paraId="08214403">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2、甲方要求乙方到现场进行检测，甲方应向乙方提供相关资料，做好检测的准备工作，并派有关人员做好检测的配合工作。</w:t>
      </w:r>
    </w:p>
    <w:p w14:paraId="6362D182">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3、甲方应按合同约定方式及时支付检测评价费用。</w:t>
      </w:r>
    </w:p>
    <w:p w14:paraId="683A0443">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4、甲方负责指定专人对乙方工作进行监督和检查，及时组织验收。</w:t>
      </w:r>
    </w:p>
    <w:p w14:paraId="41EB1BA0">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（二）乙方权利、义务：</w:t>
      </w:r>
    </w:p>
    <w:p w14:paraId="6913608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1、根据</w:t>
      </w:r>
      <w:r>
        <w:rPr>
          <w:rFonts w:hint="eastAsia" w:ascii="仿宋" w:hAnsi="仿宋" w:eastAsia="仿宋" w:cs="仿宋_GB2312"/>
          <w:sz w:val="24"/>
          <w:highlight w:val="none"/>
          <w:lang w:eastAsia="zh-CN"/>
        </w:rPr>
        <w:t>投标</w:t>
      </w:r>
      <w:r>
        <w:rPr>
          <w:rFonts w:hint="eastAsia" w:ascii="仿宋" w:hAnsi="仿宋" w:eastAsia="仿宋" w:cs="仿宋_GB2312"/>
          <w:sz w:val="24"/>
          <w:highlight w:val="none"/>
        </w:rPr>
        <w:t>文件的承诺向甲方委派项目负责人、检测结果主要分析人员和检测技术人员。在履行本合同义务的期间，应运用合理的技能，认真、勤奋的工作。</w:t>
      </w:r>
    </w:p>
    <w:p w14:paraId="0CB963E7">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2、乙方应严格按照国家有关技术规范、标准进行试验检测，对试验检测报告的质量负责。</w:t>
      </w:r>
    </w:p>
    <w:p w14:paraId="64FF41C8">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3、乙方应按规定时间向甲方提交各种书面试验检测报告，并确保检测报告真实、准确，按规定的</w:t>
      </w:r>
      <w:r>
        <w:rPr>
          <w:rFonts w:hint="eastAsia" w:ascii="仿宋" w:hAnsi="仿宋" w:eastAsia="仿宋" w:cs="仿宋_GB2312"/>
          <w:sz w:val="24"/>
          <w:highlight w:val="none"/>
          <w:lang w:eastAsia="zh-CN"/>
        </w:rPr>
        <w:t>要求</w:t>
      </w:r>
      <w:r>
        <w:rPr>
          <w:rFonts w:hint="eastAsia" w:ascii="仿宋" w:hAnsi="仿宋" w:eastAsia="仿宋" w:cs="仿宋_GB2312"/>
          <w:sz w:val="24"/>
          <w:highlight w:val="none"/>
        </w:rPr>
        <w:t>检测，检测结果符合实际状况，不得出现弄虚作假行为。否则，甲方可每次直接从应付款项中扣款2万元，同时甲方有权单方解除本合同。</w:t>
      </w:r>
    </w:p>
    <w:p w14:paraId="437911F4">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4、在本合同期内或合同终止后，未征得有关方同意，不得泄漏与本项目、本合同有关的技术、资料等，不得以任何形式侵害各方的知识产权。</w:t>
      </w:r>
    </w:p>
    <w:p w14:paraId="6D411564">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5、乙方应全面准确的探测发现</w:t>
      </w:r>
      <w:r>
        <w:rPr>
          <w:rFonts w:hint="eastAsia" w:ascii="仿宋" w:hAnsi="仿宋" w:eastAsia="仿宋" w:cs="仿宋_GB2312"/>
          <w:sz w:val="24"/>
          <w:highlight w:val="none"/>
          <w:lang w:eastAsia="zh-CN"/>
        </w:rPr>
        <w:t>道路</w:t>
      </w:r>
      <w:r>
        <w:rPr>
          <w:rFonts w:hint="eastAsia" w:ascii="仿宋" w:hAnsi="仿宋" w:eastAsia="仿宋" w:cs="仿宋_GB2312"/>
          <w:sz w:val="24"/>
          <w:highlight w:val="none"/>
        </w:rPr>
        <w:t>存在的各类隐患</w:t>
      </w:r>
      <w:r>
        <w:rPr>
          <w:rFonts w:hint="eastAsia" w:ascii="仿宋" w:hAnsi="仿宋" w:eastAsia="仿宋" w:cs="仿宋_GB2312"/>
          <w:sz w:val="24"/>
          <w:highlight w:val="none"/>
          <w:lang w:eastAsia="zh-CN"/>
        </w:rPr>
        <w:t>、缺陷、损伤等</w:t>
      </w:r>
      <w:r>
        <w:rPr>
          <w:rFonts w:hint="eastAsia" w:ascii="仿宋" w:hAnsi="仿宋" w:eastAsia="仿宋" w:cs="仿宋_GB2312"/>
          <w:sz w:val="24"/>
          <w:highlight w:val="none"/>
        </w:rPr>
        <w:t>情况，因乙方原因</w:t>
      </w:r>
      <w:r>
        <w:rPr>
          <w:rFonts w:hint="eastAsia" w:ascii="仿宋" w:hAnsi="仿宋" w:eastAsia="仿宋" w:cs="仿宋_GB2312"/>
          <w:sz w:val="24"/>
          <w:highlight w:val="none"/>
          <w:lang w:eastAsia="zh-CN"/>
        </w:rPr>
        <w:t>导致</w:t>
      </w:r>
      <w:r>
        <w:rPr>
          <w:rFonts w:hint="eastAsia" w:ascii="仿宋" w:hAnsi="仿宋" w:eastAsia="仿宋" w:cs="仿宋_GB2312"/>
          <w:sz w:val="24"/>
          <w:highlight w:val="none"/>
        </w:rPr>
        <w:t>隐患未检出、检测的病害类型、危险程度、病害位置等信息存在较大偏差的，或者给任意第三方造成损害的，乙方承担全部赔偿责任。</w:t>
      </w:r>
    </w:p>
    <w:p w14:paraId="4559E335">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6、乙方完成检测工作后成立后续服务组在提交规定的检测成果时开始对甲方就检测结果提出的质疑进行解答或复测。</w:t>
      </w:r>
    </w:p>
    <w:p w14:paraId="527F577D">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7</w:t>
      </w:r>
      <w:r>
        <w:rPr>
          <w:rFonts w:hint="eastAsia" w:ascii="仿宋" w:hAnsi="仿宋" w:eastAsia="仿宋" w:cs="仿宋_GB2312"/>
          <w:sz w:val="24"/>
          <w:highlight w:val="none"/>
        </w:rPr>
        <w:t>、乙方应向甲方出具甲方所需的纸质报告份数和必要的电子版本。</w:t>
      </w:r>
    </w:p>
    <w:p w14:paraId="078B720B">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8</w:t>
      </w:r>
      <w:r>
        <w:rPr>
          <w:rFonts w:hint="eastAsia" w:ascii="仿宋" w:hAnsi="仿宋" w:eastAsia="仿宋" w:cs="仿宋_GB2312"/>
          <w:sz w:val="24"/>
          <w:highlight w:val="none"/>
        </w:rPr>
        <w:t>、乙方在履行本合同过程中，对甲方、乙方或是任意第三方的财产或人身安全造成损害的，由乙方承担全部赔偿责任。</w:t>
      </w:r>
    </w:p>
    <w:p w14:paraId="08FF9926">
      <w:pPr>
        <w:spacing w:line="360" w:lineRule="auto"/>
        <w:ind w:firstLine="477" w:firstLineChars="198"/>
        <w:rPr>
          <w:rFonts w:hint="eastAsia" w:ascii="仿宋" w:hAnsi="仿宋" w:eastAsia="仿宋" w:cs="仿宋_GB2312"/>
          <w:b/>
          <w:sz w:val="24"/>
          <w:highlight w:val="none"/>
          <w:lang w:eastAsia="zh-CN"/>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六</w:t>
      </w:r>
      <w:r>
        <w:rPr>
          <w:rFonts w:hint="eastAsia" w:ascii="仿宋" w:hAnsi="仿宋" w:eastAsia="仿宋" w:cs="仿宋_GB2312"/>
          <w:b/>
          <w:sz w:val="24"/>
          <w:highlight w:val="none"/>
        </w:rPr>
        <w:t xml:space="preserve">条 </w:t>
      </w:r>
      <w:r>
        <w:rPr>
          <w:rFonts w:hint="eastAsia" w:ascii="仿宋" w:hAnsi="仿宋" w:eastAsia="仿宋" w:cs="仿宋_GB2312"/>
          <w:b/>
          <w:sz w:val="24"/>
          <w:highlight w:val="none"/>
          <w:lang w:eastAsia="zh-CN"/>
        </w:rPr>
        <w:t>质量保证</w:t>
      </w:r>
    </w:p>
    <w:p w14:paraId="747DB94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乙方所供服务必须执行下列条款：</w:t>
      </w:r>
    </w:p>
    <w:p w14:paraId="2C8DB95E">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1、</w:t>
      </w:r>
      <w:r>
        <w:rPr>
          <w:rFonts w:hint="eastAsia" w:ascii="仿宋" w:hAnsi="仿宋" w:eastAsia="仿宋" w:cs="仿宋_GB2312"/>
          <w:sz w:val="24"/>
          <w:highlight w:val="none"/>
        </w:rPr>
        <w:t>服务方案和方式科学、可行，人员配置合理，全面满足要求。</w:t>
      </w:r>
    </w:p>
    <w:p w14:paraId="1AF51C72">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2、</w:t>
      </w:r>
      <w:r>
        <w:rPr>
          <w:rFonts w:hint="eastAsia" w:ascii="仿宋" w:hAnsi="仿宋" w:eastAsia="仿宋" w:cs="仿宋_GB2312"/>
          <w:sz w:val="24"/>
          <w:highlight w:val="none"/>
        </w:rPr>
        <w:t>符合有关服务规范</w:t>
      </w:r>
      <w:r>
        <w:rPr>
          <w:rFonts w:hint="eastAsia" w:ascii="仿宋" w:hAnsi="仿宋" w:eastAsia="仿宋" w:cs="仿宋_GB2312"/>
          <w:sz w:val="24"/>
          <w:highlight w:val="none"/>
          <w:lang w:eastAsia="zh-CN"/>
        </w:rPr>
        <w:t>及甲方</w:t>
      </w:r>
      <w:r>
        <w:rPr>
          <w:rFonts w:hint="eastAsia" w:ascii="仿宋" w:hAnsi="仿宋" w:eastAsia="仿宋" w:cs="仿宋_GB2312"/>
          <w:sz w:val="24"/>
          <w:highlight w:val="none"/>
        </w:rPr>
        <w:t>要求，确保各项服务达到最佳运行效果。</w:t>
      </w:r>
    </w:p>
    <w:p w14:paraId="21F81171">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3、</w:t>
      </w:r>
      <w:r>
        <w:rPr>
          <w:rFonts w:hint="eastAsia" w:ascii="仿宋" w:hAnsi="仿宋" w:eastAsia="仿宋" w:cs="仿宋_GB2312"/>
          <w:sz w:val="24"/>
          <w:highlight w:val="none"/>
        </w:rPr>
        <w:t>乙方提供的服务，若发生侵权而产生的一切后果，由乙方负责。甲方保留索赔权。</w:t>
      </w:r>
    </w:p>
    <w:p w14:paraId="3FEE76DC">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4、</w:t>
      </w:r>
      <w:r>
        <w:rPr>
          <w:rFonts w:hint="eastAsia" w:ascii="仿宋" w:hAnsi="仿宋" w:eastAsia="仿宋" w:cs="仿宋_GB2312"/>
          <w:sz w:val="24"/>
          <w:highlight w:val="none"/>
        </w:rPr>
        <w:t>服务承诺内容：依据招标文件及</w:t>
      </w:r>
      <w:r>
        <w:rPr>
          <w:rFonts w:hint="eastAsia" w:ascii="仿宋" w:hAnsi="仿宋" w:eastAsia="仿宋" w:cs="仿宋_GB2312"/>
          <w:sz w:val="24"/>
          <w:highlight w:val="none"/>
          <w:lang w:eastAsia="zh-CN"/>
        </w:rPr>
        <w:t>投标</w:t>
      </w:r>
      <w:r>
        <w:rPr>
          <w:rFonts w:hint="eastAsia" w:ascii="仿宋" w:hAnsi="仿宋" w:eastAsia="仿宋" w:cs="仿宋_GB2312"/>
          <w:sz w:val="24"/>
          <w:highlight w:val="none"/>
        </w:rPr>
        <w:t>文件内容提供服务。</w:t>
      </w:r>
    </w:p>
    <w:p w14:paraId="5ED3C8F8">
      <w:pPr>
        <w:spacing w:line="360" w:lineRule="auto"/>
        <w:ind w:firstLine="477" w:firstLineChars="198"/>
        <w:rPr>
          <w:rFonts w:hint="eastAsia" w:ascii="仿宋" w:hAnsi="仿宋" w:eastAsia="仿宋" w:cs="仿宋_GB2312"/>
          <w:b/>
          <w:sz w:val="24"/>
          <w:highlight w:val="none"/>
          <w:lang w:eastAsia="zh-CN"/>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七</w:t>
      </w:r>
      <w:r>
        <w:rPr>
          <w:rFonts w:hint="eastAsia" w:ascii="仿宋" w:hAnsi="仿宋" w:eastAsia="仿宋" w:cs="仿宋_GB2312"/>
          <w:b/>
          <w:sz w:val="24"/>
          <w:highlight w:val="none"/>
        </w:rPr>
        <w:t xml:space="preserve">条 </w:t>
      </w:r>
      <w:r>
        <w:rPr>
          <w:rFonts w:hint="eastAsia" w:ascii="仿宋" w:hAnsi="仿宋" w:eastAsia="仿宋" w:cs="仿宋_GB2312"/>
          <w:b/>
          <w:sz w:val="24"/>
          <w:highlight w:val="none"/>
          <w:lang w:eastAsia="zh-CN"/>
        </w:rPr>
        <w:t>验收</w:t>
      </w:r>
    </w:p>
    <w:p w14:paraId="3BBF5771">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1、</w:t>
      </w:r>
      <w:r>
        <w:rPr>
          <w:rFonts w:hint="eastAsia" w:ascii="仿宋" w:hAnsi="仿宋" w:eastAsia="仿宋" w:cs="仿宋_GB2312"/>
          <w:sz w:val="24"/>
          <w:highlight w:val="none"/>
        </w:rPr>
        <w:t>服务内容完成后先由乙方进行自检，自检合格后邀请甲方进行验收。甲方确认乙方的自检内容后，组织乙方（必要时请有关专家）进行最终验收，验收时乙方应派</w:t>
      </w:r>
      <w:r>
        <w:rPr>
          <w:rFonts w:hint="eastAsia" w:ascii="仿宋" w:hAnsi="仿宋" w:eastAsia="仿宋" w:cs="仿宋_GB2312"/>
          <w:sz w:val="24"/>
          <w:highlight w:val="none"/>
          <w:lang w:eastAsia="zh-CN"/>
        </w:rPr>
        <w:t>人</w:t>
      </w:r>
      <w:r>
        <w:rPr>
          <w:rFonts w:hint="eastAsia" w:ascii="仿宋" w:hAnsi="仿宋" w:eastAsia="仿宋" w:cs="仿宋_GB2312"/>
          <w:sz w:val="24"/>
          <w:highlight w:val="none"/>
        </w:rPr>
        <w:t>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w:t>
      </w:r>
    </w:p>
    <w:p w14:paraId="735555E5">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2、</w:t>
      </w:r>
      <w:r>
        <w:rPr>
          <w:rFonts w:hint="eastAsia" w:ascii="仿宋" w:hAnsi="仿宋" w:eastAsia="仿宋" w:cs="仿宋_GB2312"/>
          <w:sz w:val="24"/>
          <w:highlight w:val="none"/>
        </w:rPr>
        <w:t>乙方向甲方提交服务实施过程中的所有资料。以便甲方日后管理和维护。</w:t>
      </w:r>
    </w:p>
    <w:p w14:paraId="2EAC2A34">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3、</w:t>
      </w:r>
      <w:r>
        <w:rPr>
          <w:rFonts w:hint="eastAsia" w:ascii="仿宋" w:hAnsi="仿宋" w:eastAsia="仿宋" w:cs="仿宋_GB2312"/>
          <w:sz w:val="24"/>
          <w:highlight w:val="none"/>
        </w:rPr>
        <w:t>验收依据：</w:t>
      </w:r>
    </w:p>
    <w:p w14:paraId="62A7664C">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eastAsia="zh-CN"/>
        </w:rPr>
        <w:t>招标</w:t>
      </w:r>
      <w:r>
        <w:rPr>
          <w:rFonts w:hint="eastAsia" w:ascii="仿宋" w:hAnsi="仿宋" w:eastAsia="仿宋" w:cs="仿宋_GB2312"/>
          <w:sz w:val="24"/>
          <w:highlight w:val="none"/>
        </w:rPr>
        <w:t>文件、</w:t>
      </w:r>
      <w:r>
        <w:rPr>
          <w:rFonts w:hint="eastAsia" w:ascii="仿宋" w:hAnsi="仿宋" w:eastAsia="仿宋" w:cs="仿宋_GB2312"/>
          <w:sz w:val="24"/>
          <w:highlight w:val="none"/>
          <w:lang w:eastAsia="zh-CN"/>
        </w:rPr>
        <w:t>投标</w:t>
      </w:r>
      <w:r>
        <w:rPr>
          <w:rFonts w:hint="eastAsia" w:ascii="仿宋" w:hAnsi="仿宋" w:eastAsia="仿宋" w:cs="仿宋_GB2312"/>
          <w:sz w:val="24"/>
          <w:highlight w:val="none"/>
        </w:rPr>
        <w:t>文件、澄清表（函）；</w:t>
      </w:r>
    </w:p>
    <w:p w14:paraId="34B06A2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本合同及附件文本</w:t>
      </w:r>
      <w:r>
        <w:rPr>
          <w:rFonts w:hint="eastAsia" w:ascii="仿宋" w:hAnsi="仿宋" w:eastAsia="仿宋" w:cs="仿宋_GB2312"/>
          <w:sz w:val="24"/>
          <w:highlight w:val="none"/>
          <w:lang w:eastAsia="zh-CN"/>
        </w:rPr>
        <w:t>、补充文件</w:t>
      </w:r>
      <w:r>
        <w:rPr>
          <w:rFonts w:hint="eastAsia" w:ascii="仿宋" w:hAnsi="仿宋" w:eastAsia="仿宋" w:cs="仿宋_GB2312"/>
          <w:sz w:val="24"/>
          <w:highlight w:val="none"/>
        </w:rPr>
        <w:t>；</w:t>
      </w:r>
    </w:p>
    <w:p w14:paraId="296A922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国家</w:t>
      </w:r>
      <w:r>
        <w:rPr>
          <w:rFonts w:hint="eastAsia" w:ascii="仿宋" w:hAnsi="仿宋" w:eastAsia="仿宋" w:cs="仿宋_GB2312"/>
          <w:sz w:val="24"/>
          <w:highlight w:val="none"/>
          <w:lang w:eastAsia="zh-CN"/>
        </w:rPr>
        <w:t>及省市</w:t>
      </w:r>
      <w:r>
        <w:rPr>
          <w:rFonts w:hint="eastAsia" w:ascii="仿宋" w:hAnsi="仿宋" w:eastAsia="仿宋" w:cs="仿宋_GB2312"/>
          <w:sz w:val="24"/>
          <w:highlight w:val="none"/>
        </w:rPr>
        <w:t>相应的标准、规范。</w:t>
      </w:r>
    </w:p>
    <w:p w14:paraId="21D20B7A">
      <w:pPr>
        <w:spacing w:line="360" w:lineRule="auto"/>
        <w:ind w:firstLine="477" w:firstLineChars="198"/>
        <w:rPr>
          <w:rFonts w:hint="eastAsia" w:ascii="仿宋" w:hAnsi="仿宋" w:eastAsia="仿宋" w:cs="仿宋_GB2312"/>
          <w:b/>
          <w:sz w:val="24"/>
          <w:highlight w:val="none"/>
          <w:lang w:eastAsia="zh-CN"/>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八</w:t>
      </w:r>
      <w:r>
        <w:rPr>
          <w:rFonts w:hint="eastAsia" w:ascii="仿宋" w:hAnsi="仿宋" w:eastAsia="仿宋" w:cs="仿宋_GB2312"/>
          <w:b/>
          <w:sz w:val="24"/>
          <w:highlight w:val="none"/>
        </w:rPr>
        <w:t xml:space="preserve">条 </w:t>
      </w:r>
      <w:r>
        <w:rPr>
          <w:rFonts w:hint="eastAsia" w:ascii="仿宋" w:hAnsi="仿宋" w:eastAsia="仿宋" w:cs="仿宋_GB2312"/>
          <w:b/>
          <w:sz w:val="24"/>
          <w:highlight w:val="none"/>
          <w:lang w:eastAsia="zh-CN"/>
        </w:rPr>
        <w:t>违约责任</w:t>
      </w:r>
    </w:p>
    <w:p w14:paraId="56D03A55">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1、合同中未约定的，按《民法典》中的相关条款执行。</w:t>
      </w:r>
    </w:p>
    <w:p w14:paraId="6C112258">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2、未按合同要求提供服务或服务质量不能满足合同要求，甲方应当将乙方违约的情况以及拟釆取的措施以书面形式报政府釆购监管部门，根据政府采购监管部门的处理意见，甲方有权依据《民法典》有关条款及合同约定解除合同，乙方应向甲方支付合同总价款20 %的违约金。若违约金不足以弥补甲方损失的，乙方应予补足。同时，政府釆购监管部门有权依据《政府釆购法》及相关法律法规对乙方的违法行为进行相应的处罚。</w:t>
      </w:r>
    </w:p>
    <w:p w14:paraId="378150C1">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3、在本合同履行过程中，双方因违约或造成对方经济、社会效益等损失的应当赔偿。</w:t>
      </w:r>
    </w:p>
    <w:p w14:paraId="30AB80F5">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 xml:space="preserve">4、甲方无正当理由拒绝接受服务的，需向乙方偿付本合同总价款 20%的违约金。 </w:t>
      </w:r>
    </w:p>
    <w:p w14:paraId="7BC1051B">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5、乙方提供的服务不符合本项目相关文件和本合同规定的，甲方有权拒绝并单方解除本合同，要求乙方退还已支付款项，并且乙方须向甲方支付本合同总价款 20%的违约金。</w:t>
      </w:r>
    </w:p>
    <w:p w14:paraId="2E0FBDE0">
      <w:pPr>
        <w:spacing w:line="360" w:lineRule="auto"/>
        <w:ind w:firstLine="475" w:firstLineChars="198"/>
        <w:rPr>
          <w:rFonts w:hint="eastAsia" w:ascii="仿宋" w:hAnsi="仿宋" w:eastAsia="仿宋" w:cs="仿宋_GB2312"/>
          <w:sz w:val="24"/>
          <w:highlight w:val="none"/>
          <w:lang w:val="en-US" w:eastAsia="zh-CN"/>
        </w:rPr>
      </w:pPr>
      <w:r>
        <w:rPr>
          <w:rFonts w:hint="eastAsia" w:ascii="仿宋" w:hAnsi="仿宋" w:eastAsia="仿宋" w:cs="仿宋_GB2312"/>
          <w:sz w:val="24"/>
          <w:highlight w:val="none"/>
          <w:lang w:val="en-US" w:eastAsia="zh-CN"/>
        </w:rPr>
        <w:t>6、未经甲方同意，乙方不得擅自将本合同服务分包或转包第三方承担，否则，甲方可单方解除本合同，要求乙方退还已支付款项。</w:t>
      </w:r>
    </w:p>
    <w:p w14:paraId="31A3423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7、本合同中各条款约定的违约金可自甲方未支付款项中直接扣除，违约金若不能弥补甲方损失的，乙方还应赔偿甲方超出部分的损失。</w:t>
      </w:r>
    </w:p>
    <w:p w14:paraId="356D3032">
      <w:pPr>
        <w:spacing w:line="360" w:lineRule="auto"/>
        <w:ind w:firstLine="477" w:firstLineChars="198"/>
        <w:rPr>
          <w:rFonts w:hint="eastAsia" w:ascii="仿宋" w:hAnsi="仿宋" w:eastAsia="仿宋" w:cs="仿宋_GB2312"/>
          <w:b/>
          <w:sz w:val="24"/>
          <w:highlight w:val="none"/>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九</w:t>
      </w:r>
      <w:r>
        <w:rPr>
          <w:rFonts w:hint="eastAsia" w:ascii="仿宋" w:hAnsi="仿宋" w:eastAsia="仿宋" w:cs="仿宋_GB2312"/>
          <w:b/>
          <w:sz w:val="24"/>
          <w:highlight w:val="none"/>
        </w:rPr>
        <w:t>条 不可抗力</w:t>
      </w:r>
    </w:p>
    <w:p w14:paraId="5EFBF3EB">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遇不可抗力或不可归责于乙方原因而造成的</w:t>
      </w:r>
      <w:r>
        <w:rPr>
          <w:rFonts w:hint="eastAsia" w:ascii="仿宋" w:hAnsi="仿宋" w:eastAsia="仿宋" w:cs="仿宋_GB2312"/>
          <w:sz w:val="24"/>
          <w:highlight w:val="none"/>
          <w:lang w:eastAsia="zh-CN"/>
        </w:rPr>
        <w:t>服务达不到要求或其他损失</w:t>
      </w:r>
      <w:r>
        <w:rPr>
          <w:rFonts w:hint="eastAsia" w:ascii="仿宋" w:hAnsi="仿宋" w:eastAsia="仿宋" w:cs="仿宋_GB2312"/>
          <w:sz w:val="24"/>
          <w:highlight w:val="none"/>
        </w:rPr>
        <w:t>，乙方应及时向甲方说明情况。遇投保财产损坏、灭失的，有关赔偿责任认定应以保险公司理赔调查为准，按保险法和有关法律规定予以赔付。</w:t>
      </w:r>
    </w:p>
    <w:p w14:paraId="2848ECFE">
      <w:pPr>
        <w:spacing w:line="360" w:lineRule="auto"/>
        <w:ind w:firstLine="477" w:firstLineChars="198"/>
        <w:rPr>
          <w:rFonts w:hint="eastAsia" w:ascii="仿宋" w:hAnsi="仿宋" w:eastAsia="仿宋" w:cs="仿宋_GB2312"/>
          <w:b/>
          <w:sz w:val="24"/>
          <w:highlight w:val="none"/>
        </w:rPr>
      </w:pPr>
      <w:r>
        <w:rPr>
          <w:rFonts w:hint="eastAsia" w:ascii="仿宋" w:hAnsi="仿宋" w:eastAsia="仿宋" w:cs="仿宋_GB2312"/>
          <w:b/>
          <w:sz w:val="24"/>
          <w:highlight w:val="none"/>
        </w:rPr>
        <w:t>第</w:t>
      </w:r>
      <w:r>
        <w:rPr>
          <w:rFonts w:hint="eastAsia" w:ascii="仿宋" w:hAnsi="仿宋" w:eastAsia="仿宋" w:cs="仿宋_GB2312"/>
          <w:b/>
          <w:sz w:val="24"/>
          <w:highlight w:val="none"/>
          <w:lang w:eastAsia="zh-CN"/>
        </w:rPr>
        <w:t>十</w:t>
      </w:r>
      <w:r>
        <w:rPr>
          <w:rFonts w:hint="eastAsia" w:ascii="仿宋" w:hAnsi="仿宋" w:eastAsia="仿宋" w:cs="仿宋_GB2312"/>
          <w:b/>
          <w:sz w:val="24"/>
          <w:highlight w:val="none"/>
        </w:rPr>
        <w:t>条 合同的变更或者解除</w:t>
      </w:r>
    </w:p>
    <w:p w14:paraId="0EBA2666">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1、</w:t>
      </w:r>
      <w:r>
        <w:rPr>
          <w:rFonts w:hint="eastAsia" w:ascii="仿宋" w:hAnsi="仿宋" w:eastAsia="仿宋" w:cs="仿宋_GB2312"/>
          <w:sz w:val="24"/>
          <w:highlight w:val="none"/>
        </w:rPr>
        <w:t>合同任何一方对本合同进行变更或者解除的，须经双方协商一致，签订变更或者解除协议。</w:t>
      </w:r>
    </w:p>
    <w:p w14:paraId="137B4E9F">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lang w:val="en-US" w:eastAsia="zh-CN"/>
        </w:rPr>
        <w:t>2、</w:t>
      </w:r>
      <w:r>
        <w:rPr>
          <w:rFonts w:hint="eastAsia" w:ascii="仿宋" w:hAnsi="仿宋" w:eastAsia="仿宋" w:cs="仿宋_GB2312"/>
          <w:sz w:val="24"/>
          <w:highlight w:val="none"/>
          <w:lang w:eastAsia="zh-CN"/>
        </w:rPr>
        <w:t>服务</w:t>
      </w:r>
      <w:r>
        <w:rPr>
          <w:rFonts w:hint="eastAsia" w:ascii="仿宋" w:hAnsi="仿宋" w:eastAsia="仿宋" w:cs="仿宋_GB2312"/>
          <w:sz w:val="24"/>
          <w:highlight w:val="none"/>
        </w:rPr>
        <w:t>期间，合同任何一方不得单方提前终止本合同，因一方的原因致使本合同终止或者无法正常履行的，违约方应当赔偿因此给守约方造成的损失。</w:t>
      </w:r>
    </w:p>
    <w:p w14:paraId="4781BE03">
      <w:pPr>
        <w:spacing w:line="360" w:lineRule="auto"/>
        <w:ind w:firstLine="477" w:firstLineChars="198"/>
        <w:rPr>
          <w:rFonts w:hint="eastAsia" w:ascii="仿宋" w:hAnsi="仿宋" w:eastAsia="仿宋" w:cs="仿宋_GB2312"/>
          <w:b/>
          <w:sz w:val="24"/>
          <w:highlight w:val="none"/>
        </w:rPr>
      </w:pPr>
      <w:r>
        <w:rPr>
          <w:rFonts w:hint="eastAsia" w:ascii="仿宋" w:hAnsi="仿宋" w:eastAsia="仿宋" w:cs="仿宋_GB2312"/>
          <w:b/>
          <w:sz w:val="24"/>
          <w:highlight w:val="none"/>
        </w:rPr>
        <w:t>第十</w:t>
      </w:r>
      <w:r>
        <w:rPr>
          <w:rFonts w:hint="eastAsia" w:ascii="仿宋" w:hAnsi="仿宋" w:eastAsia="仿宋" w:cs="仿宋_GB2312"/>
          <w:b/>
          <w:sz w:val="24"/>
          <w:highlight w:val="none"/>
          <w:lang w:eastAsia="zh-CN"/>
        </w:rPr>
        <w:t>一</w:t>
      </w:r>
      <w:r>
        <w:rPr>
          <w:rFonts w:hint="eastAsia" w:ascii="仿宋" w:hAnsi="仿宋" w:eastAsia="仿宋" w:cs="仿宋_GB2312"/>
          <w:b/>
          <w:sz w:val="24"/>
          <w:highlight w:val="none"/>
        </w:rPr>
        <w:t>条 争议解决</w:t>
      </w:r>
    </w:p>
    <w:p w14:paraId="380DBDA4">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 xml:space="preserve">因本合同发生争执的，由双方协商解决，协商不成的，任何一方均有权向甲方所在地有管辖权的人民法院提出诉讼。 </w:t>
      </w:r>
    </w:p>
    <w:p w14:paraId="4443FF38">
      <w:pPr>
        <w:spacing w:line="360" w:lineRule="auto"/>
        <w:ind w:firstLine="477" w:firstLineChars="198"/>
        <w:rPr>
          <w:rFonts w:hint="eastAsia" w:ascii="仿宋" w:hAnsi="仿宋" w:eastAsia="仿宋" w:cs="仿宋_GB2312"/>
          <w:b/>
          <w:sz w:val="24"/>
          <w:highlight w:val="none"/>
          <w:lang w:val="zh-CN"/>
        </w:rPr>
      </w:pPr>
      <w:bookmarkStart w:id="0" w:name="_Toc510168661"/>
      <w:r>
        <w:rPr>
          <w:rFonts w:hint="eastAsia" w:ascii="仿宋" w:hAnsi="仿宋" w:eastAsia="仿宋" w:cs="仿宋_GB2312"/>
          <w:b/>
          <w:sz w:val="24"/>
          <w:highlight w:val="none"/>
          <w:lang w:val="zh-CN"/>
        </w:rPr>
        <w:t>第十</w:t>
      </w:r>
      <w:r>
        <w:rPr>
          <w:rFonts w:hint="eastAsia" w:ascii="仿宋" w:hAnsi="仿宋" w:eastAsia="仿宋" w:cs="仿宋_GB2312"/>
          <w:b/>
          <w:sz w:val="24"/>
          <w:highlight w:val="none"/>
          <w:lang w:eastAsia="zh-CN"/>
        </w:rPr>
        <w:t>二</w:t>
      </w:r>
      <w:r>
        <w:rPr>
          <w:rFonts w:hint="eastAsia" w:ascii="仿宋" w:hAnsi="仿宋" w:eastAsia="仿宋" w:cs="仿宋_GB2312"/>
          <w:b/>
          <w:sz w:val="24"/>
          <w:highlight w:val="none"/>
          <w:lang w:val="zh-CN"/>
        </w:rPr>
        <w:t>条</w:t>
      </w:r>
      <w:r>
        <w:rPr>
          <w:rFonts w:hint="eastAsia" w:ascii="仿宋" w:hAnsi="仿宋" w:eastAsia="仿宋" w:cs="仿宋_GB2312"/>
          <w:b/>
          <w:sz w:val="24"/>
          <w:highlight w:val="none"/>
        </w:rPr>
        <w:t xml:space="preserve"> </w:t>
      </w:r>
      <w:r>
        <w:rPr>
          <w:rFonts w:hint="eastAsia" w:ascii="仿宋" w:hAnsi="仿宋" w:eastAsia="仿宋" w:cs="仿宋_GB2312"/>
          <w:b/>
          <w:sz w:val="24"/>
          <w:highlight w:val="none"/>
          <w:lang w:val="zh-CN"/>
        </w:rPr>
        <w:t>合同生效及其它</w:t>
      </w:r>
      <w:bookmarkEnd w:id="0"/>
    </w:p>
    <w:p w14:paraId="62D3456E">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（一）本合同未尽事宜，由双方协商签订补充协议，补充协议与本协议不一致的，以补充协议为准。</w:t>
      </w:r>
    </w:p>
    <w:p w14:paraId="70CD580B">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（二）合同附件与本合同具有同等法律效力。</w:t>
      </w:r>
    </w:p>
    <w:p w14:paraId="58AE8B3F">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（三）本合同正本一式柒份，甲方执伍份，乙方执贰份。</w:t>
      </w:r>
    </w:p>
    <w:p w14:paraId="01FF18C9">
      <w:pPr>
        <w:spacing w:line="360" w:lineRule="auto"/>
        <w:ind w:firstLine="475" w:firstLineChars="198"/>
        <w:rPr>
          <w:rFonts w:hint="eastAsia" w:ascii="仿宋" w:hAnsi="仿宋" w:eastAsia="仿宋" w:cs="仿宋_GB2312"/>
          <w:sz w:val="24"/>
          <w:highlight w:val="none"/>
        </w:rPr>
      </w:pPr>
      <w:r>
        <w:rPr>
          <w:rFonts w:hint="eastAsia" w:ascii="仿宋" w:hAnsi="仿宋" w:eastAsia="仿宋" w:cs="仿宋_GB2312"/>
          <w:sz w:val="24"/>
          <w:highlight w:val="none"/>
        </w:rPr>
        <w:t>（四）合同经甲乙双方盖章、签字后生效，合同签订地点为曲江新区。</w:t>
      </w:r>
    </w:p>
    <w:p w14:paraId="4DFB7F31">
      <w:pPr>
        <w:widowControl/>
        <w:tabs>
          <w:tab w:val="left" w:pos="8391"/>
        </w:tabs>
        <w:autoSpaceDE w:val="0"/>
        <w:autoSpaceDN w:val="0"/>
        <w:snapToGrid w:val="0"/>
        <w:spacing w:line="360" w:lineRule="auto"/>
        <w:ind w:right="-69"/>
        <w:textAlignment w:val="bottom"/>
        <w:rPr>
          <w:rFonts w:hint="eastAsia" w:ascii="仿宋" w:hAnsi="仿宋" w:eastAsia="仿宋" w:cs="仿宋_GB2312"/>
          <w:sz w:val="24"/>
          <w:highlight w:val="none"/>
        </w:rPr>
      </w:pPr>
    </w:p>
    <w:p w14:paraId="2BA320FC">
      <w:pPr>
        <w:spacing w:line="360" w:lineRule="auto"/>
        <w:ind w:firstLine="475" w:firstLineChars="198"/>
        <w:rPr>
          <w:rFonts w:ascii="仿宋" w:hAnsi="仿宋" w:eastAsia="仿宋" w:cs="仿宋_GB2312"/>
          <w:sz w:val="24"/>
          <w:highlight w:val="none"/>
        </w:rPr>
      </w:pPr>
    </w:p>
    <w:p w14:paraId="01302A1B">
      <w:pPr>
        <w:widowControl/>
        <w:tabs>
          <w:tab w:val="left" w:pos="8391"/>
        </w:tabs>
        <w:autoSpaceDE w:val="0"/>
        <w:autoSpaceDN w:val="0"/>
        <w:snapToGrid w:val="0"/>
        <w:spacing w:line="510" w:lineRule="exact"/>
        <w:ind w:right="-69" w:firstLine="200"/>
        <w:textAlignment w:val="bottom"/>
        <w:rPr>
          <w:rFonts w:hint="eastAsia" w:ascii="仿宋" w:hAnsi="仿宋" w:eastAsia="仿宋" w:cs="仿宋_GB2312"/>
          <w:sz w:val="24"/>
          <w:highlight w:val="none"/>
        </w:rPr>
      </w:pPr>
      <w:r>
        <w:rPr>
          <w:rFonts w:hint="eastAsia" w:ascii="仿宋" w:hAnsi="仿宋" w:eastAsia="仿宋" w:cs="仿宋_GB2312"/>
          <w:sz w:val="24"/>
          <w:highlight w:val="none"/>
        </w:rPr>
        <w:t>（以下无正文）</w:t>
      </w:r>
    </w:p>
    <w:p w14:paraId="5C464C7B">
      <w:pPr>
        <w:widowControl/>
        <w:tabs>
          <w:tab w:val="left" w:pos="8391"/>
        </w:tabs>
        <w:autoSpaceDE w:val="0"/>
        <w:autoSpaceDN w:val="0"/>
        <w:snapToGrid w:val="0"/>
        <w:spacing w:line="510" w:lineRule="exact"/>
        <w:ind w:right="-69" w:firstLine="200"/>
        <w:textAlignment w:val="bottom"/>
        <w:rPr>
          <w:rFonts w:hint="eastAsia" w:ascii="仿宋" w:hAnsi="仿宋" w:eastAsia="仿宋" w:cs="宋体"/>
          <w:color w:val="FF0000"/>
          <w:kern w:val="0"/>
          <w:sz w:val="24"/>
          <w:highlight w:val="none"/>
        </w:rPr>
      </w:pPr>
    </w:p>
    <w:p w14:paraId="77CD1D6E">
      <w:pPr>
        <w:widowControl/>
        <w:tabs>
          <w:tab w:val="left" w:pos="8391"/>
        </w:tabs>
        <w:autoSpaceDE w:val="0"/>
        <w:autoSpaceDN w:val="0"/>
        <w:snapToGrid w:val="0"/>
        <w:spacing w:line="510" w:lineRule="exact"/>
        <w:ind w:right="-69" w:firstLine="200"/>
        <w:textAlignment w:val="bottom"/>
        <w:rPr>
          <w:rFonts w:hint="eastAsia" w:ascii="仿宋" w:hAnsi="仿宋" w:eastAsia="仿宋" w:cs="宋体"/>
          <w:kern w:val="0"/>
          <w:sz w:val="24"/>
          <w:highlight w:val="none"/>
        </w:rPr>
      </w:pPr>
    </w:p>
    <w:p w14:paraId="641EA762">
      <w:pPr>
        <w:widowControl/>
        <w:tabs>
          <w:tab w:val="left" w:pos="8391"/>
        </w:tabs>
        <w:autoSpaceDE w:val="0"/>
        <w:autoSpaceDN w:val="0"/>
        <w:snapToGrid w:val="0"/>
        <w:spacing w:line="510" w:lineRule="exact"/>
        <w:ind w:right="-69" w:firstLine="200"/>
        <w:textAlignment w:val="bottom"/>
        <w:rPr>
          <w:rFonts w:hint="eastAsia" w:ascii="仿宋" w:hAnsi="仿宋" w:eastAsia="仿宋" w:cs="宋体"/>
          <w:kern w:val="0"/>
          <w:sz w:val="24"/>
          <w:highlight w:val="none"/>
        </w:rPr>
      </w:pPr>
    </w:p>
    <w:p w14:paraId="17220227">
      <w:pPr>
        <w:rPr>
          <w:rFonts w:hint="eastAsia" w:ascii="仿宋" w:hAnsi="仿宋" w:eastAsia="仿宋" w:cs="Times New Roman"/>
          <w:highlight w:val="none"/>
        </w:rPr>
      </w:pPr>
    </w:p>
    <w:p w14:paraId="5E26677C">
      <w:pPr>
        <w:widowControl/>
        <w:tabs>
          <w:tab w:val="left" w:pos="8391"/>
        </w:tabs>
        <w:autoSpaceDE w:val="0"/>
        <w:autoSpaceDN w:val="0"/>
        <w:snapToGrid w:val="0"/>
        <w:spacing w:line="510" w:lineRule="exact"/>
        <w:ind w:right="-69" w:firstLine="200"/>
        <w:textAlignment w:val="bottom"/>
        <w:rPr>
          <w:rFonts w:hint="eastAsia" w:ascii="仿宋" w:hAnsi="仿宋" w:eastAsia="仿宋" w:cs="宋体"/>
          <w:sz w:val="24"/>
          <w:highlight w:val="none"/>
        </w:rPr>
      </w:pPr>
      <w:r>
        <w:rPr>
          <w:rFonts w:hint="eastAsia" w:ascii="仿宋" w:hAnsi="仿宋" w:eastAsia="仿宋" w:cs="宋体"/>
          <w:kern w:val="0"/>
          <w:sz w:val="24"/>
          <w:highlight w:val="none"/>
        </w:rPr>
        <w:br w:type="page"/>
      </w:r>
      <w:r>
        <w:rPr>
          <w:rFonts w:hint="eastAsia" w:ascii="仿宋" w:hAnsi="仿宋" w:eastAsia="仿宋" w:cs="宋体"/>
          <w:kern w:val="0"/>
          <w:sz w:val="24"/>
          <w:highlight w:val="none"/>
        </w:rPr>
        <w:t>（本页为签署页</w:t>
      </w:r>
      <w:r>
        <w:rPr>
          <w:rFonts w:hint="eastAsia" w:ascii="仿宋" w:hAnsi="仿宋" w:eastAsia="仿宋" w:cs="宋体"/>
          <w:sz w:val="24"/>
          <w:highlight w:val="none"/>
        </w:rPr>
        <w:t>）</w:t>
      </w:r>
    </w:p>
    <w:p w14:paraId="6AC54F49">
      <w:pPr>
        <w:widowControl/>
        <w:tabs>
          <w:tab w:val="left" w:pos="8391"/>
        </w:tabs>
        <w:autoSpaceDE w:val="0"/>
        <w:autoSpaceDN w:val="0"/>
        <w:snapToGrid w:val="0"/>
        <w:spacing w:line="510" w:lineRule="exact"/>
        <w:ind w:right="-69" w:firstLine="840" w:firstLineChars="350"/>
        <w:textAlignment w:val="bottom"/>
        <w:rPr>
          <w:rFonts w:hint="eastAsia" w:ascii="仿宋" w:hAnsi="仿宋" w:eastAsia="仿宋" w:cs="宋体"/>
          <w:kern w:val="0"/>
          <w:sz w:val="24"/>
          <w:highlight w:val="none"/>
        </w:rPr>
      </w:pPr>
    </w:p>
    <w:p w14:paraId="79DF0701">
      <w:pPr>
        <w:widowControl/>
        <w:tabs>
          <w:tab w:val="left" w:pos="8391"/>
        </w:tabs>
        <w:autoSpaceDE w:val="0"/>
        <w:autoSpaceDN w:val="0"/>
        <w:snapToGrid w:val="0"/>
        <w:spacing w:line="510" w:lineRule="exact"/>
        <w:ind w:right="-69" w:firstLine="840" w:firstLineChars="350"/>
        <w:textAlignment w:val="bottom"/>
        <w:rPr>
          <w:rFonts w:hint="eastAsia" w:ascii="仿宋" w:hAnsi="仿宋" w:eastAsia="仿宋" w:cs="宋体"/>
          <w:kern w:val="0"/>
          <w:sz w:val="24"/>
          <w:highlight w:val="none"/>
        </w:rPr>
      </w:pPr>
    </w:p>
    <w:tbl>
      <w:tblPr>
        <w:tblStyle w:val="4"/>
        <w:tblW w:w="0" w:type="auto"/>
        <w:jc w:val="center"/>
        <w:tblLayout w:type="fixed"/>
        <w:tblCellMar>
          <w:top w:w="0" w:type="dxa"/>
          <w:left w:w="108" w:type="dxa"/>
          <w:bottom w:w="0" w:type="dxa"/>
          <w:right w:w="108" w:type="dxa"/>
        </w:tblCellMar>
      </w:tblPr>
      <w:tblGrid>
        <w:gridCol w:w="4928"/>
        <w:gridCol w:w="5345"/>
      </w:tblGrid>
      <w:tr w14:paraId="0A35F554">
        <w:tblPrEx>
          <w:tblCellMar>
            <w:top w:w="0" w:type="dxa"/>
            <w:left w:w="108" w:type="dxa"/>
            <w:bottom w:w="0" w:type="dxa"/>
            <w:right w:w="108" w:type="dxa"/>
          </w:tblCellMar>
        </w:tblPrEx>
        <w:trPr>
          <w:jc w:val="center"/>
        </w:trPr>
        <w:tc>
          <w:tcPr>
            <w:tcW w:w="4928" w:type="dxa"/>
            <w:noWrap w:val="0"/>
            <w:vAlign w:val="top"/>
          </w:tcPr>
          <w:p w14:paraId="40A7DA3C">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lang w:val="zh-CN"/>
              </w:rPr>
            </w:pPr>
            <w:r>
              <w:rPr>
                <w:rFonts w:hint="eastAsia" w:ascii="仿宋" w:hAnsi="仿宋" w:eastAsia="仿宋" w:cs="宋体"/>
                <w:kern w:val="0"/>
                <w:sz w:val="24"/>
                <w:highlight w:val="none"/>
              </w:rPr>
              <w:t>甲方（盖章）:</w:t>
            </w:r>
            <w:r>
              <w:rPr>
                <w:rFonts w:hint="eastAsia" w:ascii="仿宋" w:hAnsi="仿宋" w:eastAsia="仿宋" w:cs="宋体"/>
                <w:kern w:val="0"/>
                <w:sz w:val="24"/>
                <w:highlight w:val="none"/>
                <w:lang w:val="zh-CN"/>
              </w:rPr>
              <w:t>曲江新区</w:t>
            </w:r>
          </w:p>
          <w:p w14:paraId="3F4DEA18">
            <w:pPr>
              <w:widowControl/>
              <w:autoSpaceDE w:val="0"/>
              <w:autoSpaceDN w:val="0"/>
              <w:snapToGrid w:val="0"/>
              <w:spacing w:line="510" w:lineRule="exact"/>
              <w:ind w:right="-154" w:firstLine="960" w:firstLineChars="4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事业资产</w:t>
            </w:r>
            <w:r>
              <w:rPr>
                <w:rFonts w:hint="eastAsia" w:ascii="仿宋" w:hAnsi="仿宋" w:eastAsia="仿宋" w:cs="宋体"/>
                <w:kern w:val="0"/>
                <w:sz w:val="24"/>
                <w:highlight w:val="none"/>
                <w:lang w:val="zh-CN"/>
              </w:rPr>
              <w:t>管理中心</w:t>
            </w:r>
          </w:p>
          <w:p w14:paraId="44650902">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3339CE90">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法定代表人：</w:t>
            </w:r>
          </w:p>
          <w:p w14:paraId="217B60CA">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（或委托人）</w:t>
            </w:r>
          </w:p>
          <w:p w14:paraId="23F02ADB">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20330433">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17338EA6">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开户银行：</w:t>
            </w:r>
          </w:p>
          <w:p w14:paraId="2FA2BB84">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帐    号：</w:t>
            </w:r>
          </w:p>
          <w:p w14:paraId="70A2F7FB">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lang w:eastAsia="zh-CN"/>
              </w:rPr>
            </w:pPr>
            <w:r>
              <w:rPr>
                <w:rFonts w:hint="eastAsia" w:ascii="仿宋" w:hAnsi="仿宋" w:eastAsia="仿宋" w:cs="宋体"/>
                <w:kern w:val="0"/>
                <w:sz w:val="24"/>
                <w:highlight w:val="none"/>
              </w:rPr>
              <w:t>地    址：</w:t>
            </w:r>
            <w:r>
              <w:rPr>
                <w:rFonts w:hint="eastAsia" w:ascii="仿宋" w:hAnsi="仿宋" w:eastAsia="仿宋" w:cs="宋体"/>
                <w:kern w:val="0"/>
                <w:sz w:val="24"/>
                <w:highlight w:val="none"/>
                <w:lang w:val="en-US" w:eastAsia="zh-CN"/>
              </w:rPr>
              <w:t xml:space="preserve"> </w:t>
            </w:r>
          </w:p>
          <w:p w14:paraId="4AD82CF3">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lang w:eastAsia="zh-CN"/>
              </w:rPr>
            </w:pPr>
            <w:r>
              <w:rPr>
                <w:rFonts w:hint="eastAsia" w:ascii="仿宋" w:hAnsi="仿宋" w:eastAsia="仿宋" w:cs="宋体"/>
                <w:kern w:val="0"/>
                <w:sz w:val="24"/>
                <w:highlight w:val="none"/>
              </w:rPr>
              <w:t>电    话：</w:t>
            </w:r>
            <w:r>
              <w:rPr>
                <w:rFonts w:hint="eastAsia" w:ascii="仿宋" w:hAnsi="仿宋" w:eastAsia="仿宋" w:cs="宋体"/>
                <w:kern w:val="0"/>
                <w:sz w:val="24"/>
                <w:highlight w:val="none"/>
                <w:lang w:val="en-US" w:eastAsia="zh-CN"/>
              </w:rPr>
              <w:t xml:space="preserve"> </w:t>
            </w:r>
          </w:p>
        </w:tc>
        <w:tc>
          <w:tcPr>
            <w:tcW w:w="5345" w:type="dxa"/>
            <w:noWrap w:val="0"/>
            <w:vAlign w:val="top"/>
          </w:tcPr>
          <w:p w14:paraId="6605F6DB">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lang w:val="zh-CN"/>
              </w:rPr>
            </w:pPr>
            <w:r>
              <w:rPr>
                <w:rFonts w:hint="eastAsia" w:ascii="仿宋" w:hAnsi="仿宋" w:eastAsia="仿宋" w:cs="宋体"/>
                <w:kern w:val="0"/>
                <w:sz w:val="24"/>
                <w:highlight w:val="none"/>
              </w:rPr>
              <w:t xml:space="preserve">乙方（盖章）: </w:t>
            </w:r>
          </w:p>
          <w:p w14:paraId="452B6BFF">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71A84ACB">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0EA91477">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法定代表人（签字）：</w:t>
            </w:r>
          </w:p>
          <w:p w14:paraId="055B23DB">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55AB8E46">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180690BD">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p w14:paraId="1CFDF9DF">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开户银行：</w:t>
            </w:r>
          </w:p>
          <w:p w14:paraId="1AB367CF">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帐    号：</w:t>
            </w:r>
          </w:p>
          <w:p w14:paraId="1F43DB91">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地    址：</w:t>
            </w:r>
          </w:p>
          <w:p w14:paraId="3A363F43">
            <w:pPr>
              <w:widowControl/>
              <w:autoSpaceDE w:val="0"/>
              <w:autoSpaceDN w:val="0"/>
              <w:snapToGrid w:val="0"/>
              <w:spacing w:line="510" w:lineRule="exact"/>
              <w:ind w:right="-154" w:firstLine="240" w:firstLineChars="100"/>
              <w:textAlignment w:val="bottom"/>
              <w:rPr>
                <w:rFonts w:hint="eastAsia" w:ascii="仿宋" w:hAnsi="仿宋" w:eastAsia="仿宋" w:cs="宋体"/>
                <w:kern w:val="0"/>
                <w:sz w:val="24"/>
                <w:highlight w:val="none"/>
              </w:rPr>
            </w:pPr>
            <w:r>
              <w:rPr>
                <w:rFonts w:hint="eastAsia" w:ascii="仿宋" w:hAnsi="仿宋" w:eastAsia="仿宋" w:cs="宋体"/>
                <w:kern w:val="0"/>
                <w:sz w:val="24"/>
                <w:highlight w:val="none"/>
              </w:rPr>
              <w:t>电    话：</w:t>
            </w:r>
          </w:p>
          <w:p w14:paraId="076E43EA">
            <w:pPr>
              <w:widowControl/>
              <w:autoSpaceDE w:val="0"/>
              <w:autoSpaceDN w:val="0"/>
              <w:snapToGrid w:val="0"/>
              <w:spacing w:line="510" w:lineRule="exact"/>
              <w:ind w:right="-154" w:firstLine="200"/>
              <w:textAlignment w:val="bottom"/>
              <w:rPr>
                <w:rFonts w:hint="eastAsia" w:ascii="仿宋" w:hAnsi="仿宋" w:eastAsia="仿宋" w:cs="宋体"/>
                <w:kern w:val="0"/>
                <w:sz w:val="24"/>
                <w:highlight w:val="none"/>
              </w:rPr>
            </w:pPr>
          </w:p>
        </w:tc>
      </w:tr>
    </w:tbl>
    <w:p w14:paraId="075BC7AB">
      <w:pPr>
        <w:rPr>
          <w:rFonts w:hint="eastAsia" w:ascii="Calibri" w:hAnsi="Calibri" w:eastAsia="宋体" w:cs="Times New Roman"/>
          <w:lang w:val="en-US" w:eastAsia="zh-Hans"/>
        </w:rPr>
      </w:pPr>
    </w:p>
    <w:p w14:paraId="449ECBB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E056D"/>
    <w:multiLevelType w:val="singleLevel"/>
    <w:tmpl w:val="D1FE056D"/>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4952F6"/>
    <w:rsid w:val="2B14398C"/>
    <w:rsid w:val="2BEF7F55"/>
    <w:rsid w:val="3F1E4982"/>
    <w:rsid w:val="40BC4452"/>
    <w:rsid w:val="4B7778F3"/>
    <w:rsid w:val="4C5F5B05"/>
    <w:rsid w:val="512639E4"/>
    <w:rsid w:val="55055F70"/>
    <w:rsid w:val="5BC3307D"/>
    <w:rsid w:val="5C58107B"/>
    <w:rsid w:val="619639E1"/>
    <w:rsid w:val="6C705F6D"/>
    <w:rsid w:val="6E3968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99"/>
    <w:pPr>
      <w:tabs>
        <w:tab w:val="left" w:pos="567"/>
      </w:tabs>
      <w:spacing w:before="120" w:line="22" w:lineRule="atLeast"/>
    </w:pPr>
    <w:rPr>
      <w:rFonts w:ascii="宋体" w:hAnsi="宋体"/>
      <w:sz w:val="24"/>
    </w:rPr>
  </w:style>
  <w:style w:type="table" w:styleId="5">
    <w:name w:val="Table Grid"/>
    <w:basedOn w:val="4"/>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3137</Words>
  <Characters>3197</Characters>
  <Lines>0</Lines>
  <Paragraphs>0</Paragraphs>
  <TotalTime>1</TotalTime>
  <ScaleCrop>false</ScaleCrop>
  <LinksUpToDate>false</LinksUpToDate>
  <CharactersWithSpaces>3265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2025-12-04T08:09:00Z</dcterms:created>
  <dc:creator>LIXINYANG</dc:creator>
  <cp:lastModifiedBy>赋玖</cp:lastModifiedBy>
  <dcterms:modified xsi:type="dcterms:W3CDTF">2026-01-22T11:02:48Z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eyJoZGlkIjoiNTZmMTI0MjliODdhMWFlMTE4MjAwODBmMDhkZDQ5MDQiLCJ1c2VySWQiOiIzMzc4NTAzOTgifQ==</vt:lpwstr>
  </property>
  <property fmtid="{D5CDD505-2E9C-101B-9397-08002B2CF9AE}" pid="4" name="ICV">
    <vt:lpwstr>0169EDD09E364A5FBBF993B60C782771_13</vt:lpwstr>
  </property>
</Properties>
</file>