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版本号：ZCZX2026-DY-00820260326001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员工餐管理服务采购项目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ZCZX2026-DY-008</w:t>
      </w:r>
      <w:r>
        <w:br/>
      </w:r>
      <w:r>
        <w:br/>
      </w:r>
      <w:r>
        <w:br/>
      </w:r>
    </w:p>
    <w:p>
      <w:pPr>
        <w:pStyle w:val="null3"/>
        <w:jc w:val="center"/>
        <w:outlineLvl w:val="5"/>
      </w:pPr>
      <w:r>
        <w:rPr>
          <w:rFonts w:ascii="仿宋_GB2312" w:hAnsi="仿宋_GB2312" w:cs="仿宋_GB2312" w:eastAsia="仿宋_GB2312"/>
          <w:sz w:val="15"/>
          <w:b/>
        </w:rPr>
        <w:t>西安曲江楼观生态文化旅游度假区管理办公室</w:t>
      </w:r>
    </w:p>
    <w:p>
      <w:pPr>
        <w:pStyle w:val="null3"/>
        <w:jc w:val="center"/>
        <w:outlineLvl w:val="5"/>
      </w:pPr>
      <w:r>
        <w:rPr>
          <w:rFonts w:ascii="仿宋_GB2312" w:hAnsi="仿宋_GB2312" w:cs="仿宋_GB2312" w:eastAsia="仿宋_GB2312"/>
          <w:sz w:val="15"/>
          <w:b/>
        </w:rPr>
        <w:t>陕西众诚致信管理咨询有限公司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陕西众诚致信管理咨询有限公司</w:t>
      </w:r>
      <w:r>
        <w:rPr>
          <w:rFonts w:ascii="仿宋_GB2312" w:hAnsi="仿宋_GB2312" w:cs="仿宋_GB2312" w:eastAsia="仿宋_GB2312"/>
        </w:rPr>
        <w:t>（以下简称“代理机构”）受</w:t>
      </w:r>
      <w:r>
        <w:rPr>
          <w:rFonts w:ascii="仿宋_GB2312" w:hAnsi="仿宋_GB2312" w:cs="仿宋_GB2312" w:eastAsia="仿宋_GB2312"/>
        </w:rPr>
        <w:t>西安曲江楼观生态文化旅游度假区管理办公室</w:t>
      </w:r>
      <w:r>
        <w:rPr>
          <w:rFonts w:ascii="仿宋_GB2312" w:hAnsi="仿宋_GB2312" w:cs="仿宋_GB2312" w:eastAsia="仿宋_GB2312"/>
        </w:rPr>
        <w:t>委托，拟对</w:t>
      </w:r>
      <w:r>
        <w:rPr>
          <w:rFonts w:ascii="仿宋_GB2312" w:hAnsi="仿宋_GB2312" w:cs="仿宋_GB2312" w:eastAsia="仿宋_GB2312"/>
        </w:rPr>
        <w:t>员工餐管理服务采购项目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ZCZX2026-DY-008</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员工餐管理服务采购项目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管理服务内容包括食材采购及加工餐饮服务。</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采购包1（办公区和员工餐管理服务采购项目）：属于专门面向小微企业采购。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授权：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的参保缴费证明（须赋可查询的验证编号或验证二维码）。</w:t>
      </w:r>
    </w:p>
    <w:p>
      <w:pPr>
        <w:pStyle w:val="null3"/>
      </w:pPr>
      <w:r>
        <w:rPr>
          <w:rFonts w:ascii="仿宋_GB2312" w:hAnsi="仿宋_GB2312" w:cs="仿宋_GB2312" w:eastAsia="仿宋_GB2312"/>
        </w:rPr>
        <w:t>2、资质：供应商须具有合格有效的食品经营许可证</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西安曲江楼观生态文化旅游度假区管理办公室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西安杜陵邑南路6号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029-85189600</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陕西众诚致信管理咨询有限公司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陕西省西安市雁塔区西安曲江新区翠华南路1688号创意盒子13层04室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姚海麟 吴芳超 孟凌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029-89565998</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西安曲江新区财政局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寇雪莲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68660321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采购包1：465,500.00元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采购包1：465,500.00元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代理服务费收费标准：固定收取8000元。成交单位的代理服务费交纳信息： 银行户名：陕西众诚致信管理咨询有限公司； 开户银行：北京银行股份有限公司西安分行营业部 ；账 号：20000042729000032633420； 联系人：李薇 ；联系电话：029-89565528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西安曲江楼观生态文化旅游度假区管理办公室</w:t>
      </w:r>
      <w:r>
        <w:rPr>
          <w:rFonts w:ascii="仿宋_GB2312" w:hAnsi="仿宋_GB2312" w:cs="仿宋_GB2312" w:eastAsia="仿宋_GB2312"/>
        </w:rPr>
        <w:t>和</w:t>
      </w:r>
      <w:r>
        <w:rPr>
          <w:rFonts w:ascii="仿宋_GB2312" w:hAnsi="仿宋_GB2312" w:cs="仿宋_GB2312" w:eastAsia="仿宋_GB2312"/>
        </w:rPr>
        <w:t>陕西众诚致信管理咨询有限公司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陕西众诚致信管理咨询有限公司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西安曲江楼观生态文化旅游度假区管理办公室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陕西众诚致信管理咨询有限公司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管理服务内容包括食材采购及加工餐饮服务。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465,500.00</w:t>
      </w:r>
    </w:p>
    <w:p>
      <w:pPr>
        <w:pStyle w:val="null3"/>
      </w:pPr>
      <w:r>
        <w:rPr>
          <w:rFonts w:ascii="仿宋_GB2312" w:hAnsi="仿宋_GB2312" w:cs="仿宋_GB2312" w:eastAsia="仿宋_GB2312"/>
        </w:rPr>
        <w:t>采购包最高限价（元）: 465,500.00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465,500.00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pPr>
            <w:r>
              <w:rPr>
                <w:rFonts w:ascii="仿宋_GB2312" w:hAnsi="仿宋_GB2312" w:cs="仿宋_GB2312" w:eastAsia="仿宋_GB2312"/>
                <w:sz w:val="21"/>
              </w:rPr>
              <w:t>一、服务要求</w:t>
            </w:r>
          </w:p>
          <w:p>
            <w:pPr>
              <w:pStyle w:val="null3"/>
              <w:ind w:firstLine="400"/>
            </w:pPr>
            <w:r>
              <w:rPr>
                <w:rFonts w:ascii="仿宋_GB2312" w:hAnsi="仿宋_GB2312" w:cs="仿宋_GB2312" w:eastAsia="仿宋_GB2312"/>
                <w:sz w:val="21"/>
              </w:rPr>
              <w:t>采购人地址位于西安市周至县西安楼观生态文化旅游度假区财源路1号院内。2026年有就餐人员53名。供应商需提供制作及就餐地点，地点应在楼观度假区范围内。</w:t>
            </w:r>
          </w:p>
          <w:p>
            <w:pPr>
              <w:pStyle w:val="null3"/>
              <w:ind w:firstLine="400"/>
            </w:pPr>
            <w:r>
              <w:rPr>
                <w:rFonts w:ascii="仿宋_GB2312" w:hAnsi="仿宋_GB2312" w:cs="仿宋_GB2312" w:eastAsia="仿宋_GB2312"/>
                <w:sz w:val="21"/>
              </w:rPr>
              <w:t>就餐时间安排：工作日及节假日值班人员每日分为早、中、晚餐，每日三餐制。</w:t>
            </w:r>
          </w:p>
          <w:p>
            <w:pPr>
              <w:pStyle w:val="null3"/>
              <w:ind w:firstLine="400"/>
            </w:pPr>
            <w:r>
              <w:rPr>
                <w:rFonts w:ascii="仿宋_GB2312" w:hAnsi="仿宋_GB2312" w:cs="仿宋_GB2312" w:eastAsia="仿宋_GB2312"/>
                <w:sz w:val="21"/>
              </w:rPr>
              <w:t>食品加工生产活动应符合《中华人民共和国食品安全法》、《中华人民共和国安全生产法》和卫生部《餐饮业食品卫生管理办法》等法律法规</w:t>
            </w:r>
          </w:p>
          <w:p>
            <w:pPr>
              <w:pStyle w:val="null3"/>
              <w:ind w:firstLine="400"/>
            </w:pPr>
            <w:r>
              <w:rPr>
                <w:rFonts w:ascii="仿宋_GB2312" w:hAnsi="仿宋_GB2312" w:cs="仿宋_GB2312" w:eastAsia="仿宋_GB2312"/>
                <w:sz w:val="21"/>
              </w:rPr>
              <w:t>二、食材采购要求</w:t>
            </w:r>
          </w:p>
          <w:p>
            <w:pPr>
              <w:pStyle w:val="null3"/>
              <w:ind w:firstLine="400"/>
            </w:pPr>
            <w:r>
              <w:rPr>
                <w:rFonts w:ascii="仿宋_GB2312" w:hAnsi="仿宋_GB2312" w:cs="仿宋_GB2312" w:eastAsia="仿宋_GB2312"/>
                <w:sz w:val="21"/>
              </w:rPr>
              <w:t>采购包含但不限于米、面、油、蔬菜、水果、调味品、干货、肉类等食材的采购；供应商相关采购流程应合法合规，且需按照采购人要求积极提升餐厅菜品及服务质量，不得因食品原材料价格的波动降低菜品质量。严控采购货源，食材采购必须保障新鲜、绿色环保、无公害、无污染。确保餐具定时消毒及定期更换维修，不得拖延，建立食材配送台账，动态跟踪，明确工作责任，确保食材的新鲜度和质量，保证食品安全。</w:t>
            </w:r>
          </w:p>
          <w:p>
            <w:pPr>
              <w:pStyle w:val="null3"/>
              <w:ind w:firstLine="400"/>
            </w:pPr>
            <w:r>
              <w:rPr>
                <w:rFonts w:ascii="仿宋_GB2312" w:hAnsi="仿宋_GB2312" w:cs="仿宋_GB2312" w:eastAsia="仿宋_GB2312"/>
                <w:sz w:val="21"/>
              </w:rPr>
              <w:t>三、食材加工储存要求</w:t>
            </w:r>
          </w:p>
          <w:p>
            <w:pPr>
              <w:pStyle w:val="null3"/>
              <w:ind w:firstLine="400"/>
            </w:pPr>
            <w:r>
              <w:rPr>
                <w:rFonts w:ascii="仿宋_GB2312" w:hAnsi="仿宋_GB2312" w:cs="仿宋_GB2312" w:eastAsia="仿宋_GB2312"/>
                <w:sz w:val="21"/>
              </w:rPr>
              <w:t>食材在粗加工前，要分类洗净，在干净的水池冲泡冲洗三遍以上，在细加工之前，做到生熟食品分开，容器分开，工作区分开，杜绝交叉感染。自觉接受食品安全监管部门监管。食材储存按照《中华人民共和国食品安全法》建立各类食品储存管理制度。详细记录入库物品的名称产地、进货日期、生产日期、保质期、索证情况。并按分类入库时间先后分类存放，以免储存时间过长发霉生虫。库房管理做到物品堆放整齐，归类有序，物品摆放整齐标识清晰，墙壁无蛛网，室内无蚊蝇鼠患。肉禽类存放及半成品存放区分设立独立冰柜。</w:t>
            </w:r>
          </w:p>
          <w:p>
            <w:pPr>
              <w:pStyle w:val="null3"/>
              <w:ind w:firstLine="400"/>
            </w:pPr>
            <w:r>
              <w:rPr>
                <w:rFonts w:ascii="仿宋_GB2312" w:hAnsi="仿宋_GB2312" w:cs="仿宋_GB2312" w:eastAsia="仿宋_GB2312"/>
                <w:sz w:val="21"/>
              </w:rPr>
              <w:t>四、供餐内容：</w:t>
            </w:r>
          </w:p>
          <w:p>
            <w:pPr>
              <w:pStyle w:val="null3"/>
              <w:ind w:firstLine="400"/>
            </w:pPr>
            <w:r>
              <w:rPr>
                <w:rFonts w:ascii="仿宋_GB2312" w:hAnsi="仿宋_GB2312" w:cs="仿宋_GB2312" w:eastAsia="仿宋_GB2312"/>
                <w:sz w:val="21"/>
              </w:rPr>
              <w:t>早餐：稀饭（醪糟、胡辣汤、豆腐脑等每日选一种）、馒头或烧饼或油饼、热菜一样（根据季节可调整热或凉）、两样小菜、鸡蛋。</w:t>
            </w:r>
          </w:p>
          <w:p>
            <w:pPr>
              <w:pStyle w:val="null3"/>
              <w:ind w:firstLine="400"/>
            </w:pPr>
            <w:r>
              <w:rPr>
                <w:rFonts w:ascii="仿宋_GB2312" w:hAnsi="仿宋_GB2312" w:cs="仿宋_GB2312" w:eastAsia="仿宋_GB2312"/>
                <w:sz w:val="21"/>
              </w:rPr>
              <w:t>午餐：①米饭、一荤二素、一汤；②面食（臊子、油泼、牛肉干拌、泡馍或水盆等）、一素小菜、一汤。</w:t>
            </w:r>
          </w:p>
          <w:p>
            <w:pPr>
              <w:pStyle w:val="null3"/>
              <w:ind w:firstLine="400"/>
            </w:pPr>
            <w:r>
              <w:rPr>
                <w:rFonts w:ascii="仿宋_GB2312" w:hAnsi="仿宋_GB2312" w:cs="仿宋_GB2312" w:eastAsia="仿宋_GB2312"/>
                <w:sz w:val="21"/>
              </w:rPr>
              <w:t>晚餐：可根据库存情况进行安排（含节假日）。</w:t>
            </w:r>
          </w:p>
          <w:p>
            <w:pPr>
              <w:pStyle w:val="null3"/>
            </w:pPr>
            <w:r>
              <w:rPr>
                <w:rFonts w:ascii="仿宋_GB2312" w:hAnsi="仿宋_GB2312" w:cs="仿宋_GB2312" w:eastAsia="仿宋_GB2312"/>
                <w:sz w:val="21"/>
              </w:rPr>
              <w:t xml:space="preserve">  五、其他要求</w:t>
            </w:r>
          </w:p>
          <w:p>
            <w:pPr>
              <w:pStyle w:val="null3"/>
              <w:ind w:firstLine="400"/>
            </w:pPr>
            <w:r>
              <w:rPr>
                <w:rFonts w:ascii="仿宋_GB2312" w:hAnsi="仿宋_GB2312" w:cs="仿宋_GB2312" w:eastAsia="仿宋_GB2312"/>
                <w:sz w:val="21"/>
              </w:rPr>
              <w:t>1、供应商自备设备设施，并负责对厨房及餐厅所有设备设施的日常进行管理。设备每月定期进行维护1次、餐具每日必须严格清洗进行消毒处理、烟机烟道每季度清洗1次、砧板及操作台面消杀除菌每周1次、蟑螂鼠患预防灭杀每月1次。</w:t>
            </w:r>
          </w:p>
          <w:p>
            <w:pPr>
              <w:pStyle w:val="null3"/>
            </w:pPr>
            <w:r>
              <w:rPr>
                <w:rFonts w:ascii="仿宋_GB2312" w:hAnsi="仿宋_GB2312" w:cs="仿宋_GB2312" w:eastAsia="仿宋_GB2312"/>
                <w:sz w:val="21"/>
              </w:rPr>
              <w:t xml:space="preserve">  2、杜绝安全事故发生，对存在安全隐患较高的蒸箱、烤箱、和面机、压面机、绞肉机、燃气炉灶等设备，指定专人使用、专人管理并明确操作规程。保障餐厅正常经营，生产环境安全，防范火灾发生。</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服务人员不少于5人，需具有健康证，年龄18-55岁。</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自备厨房及餐厅地点、设备设施，并负责日常管理及清洁。</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西安曲江楼观生态文化旅游度假区范围内</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每月末结算一次</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每月末结算一次</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每月末结算一次</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每月末结算一次</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每月末结算一次</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每月末结算一次</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每月末结算一次</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每月末结算一次</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每月末结算一次</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每月末结算一次</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每月末结算一次</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每月末结算一次</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8.70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 2、具有良好的商业信誉和健全的财务会计制度（供应商须提供会计师事务所出具的2024（或2025）年度审计报告（须赋验证码），或递交响应文件截止之日前六个月内银行开具的资信证明，或信用担保机构出具的担保函（以上三种形式的资料提供任何一种即可））；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磋商授权</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的参保缴费证明（须赋可查询的验证编号或验证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供应商须具有合格有效的食品经营许可证</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供应商按照采购文件要求上传投标文件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一、在谈判过程中，出现下列情形之一的，协商小组会应当启动异常低价响应审查程序:1.响应报价低于采购项目最高限价45%的，即投标(响应)报价&lt;采购项目最高限价×45%; 2.协商小组基于专业判断，认为供应商报价过低，有可能影响产品质量或者不能诚信履约的其他情形。 二、协商小组启动异常低价响应审查后，属于前述第1项至第2项情形的，应当要求相关供应商在合理的时间内对响应价格作出解释，提供项目具体成本测算等与报价合理性相关的书面说明及必要的证明材料，包括但不限于原材料成本、人工成本、制造费用等，给予相关供应商的合理时间一般不少于30分钟。其中，属于第1项情形，供应商已随响应文件一并提交相关书面说明及必要的证明材料的，可不再重复提交。 三、供应商提交的相关证明材料，应当加盖供应商（法定名称）电子印章，在采购小组要求的时间内通过项目电子化交易系统进行提交，否则提交的相关证明材料无效。 四、协商小组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响应应当将其作为无效响应处理。</w:t>
            </w:r>
          </w:p>
        </w:tc>
        <w:tc>
          <w:tcPr>
            <w:tcW w:type="dxa" w:w="1661"/>
          </w:tcPr>
          <w:p>
            <w:pPr>
              <w:pStyle w:val="null3"/>
            </w:pPr>
            <w:r>
              <w:rPr>
                <w:rFonts w:ascii="仿宋_GB2312" w:hAnsi="仿宋_GB2312" w:cs="仿宋_GB2312" w:eastAsia="仿宋_GB2312"/>
              </w:rPr>
              <w:t>标的清单 报价表 响应报价明细表.docx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供应商按照采购文件要求上传投标文件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盖章</w:t>
            </w:r>
          </w:p>
        </w:tc>
        <w:tc>
          <w:tcPr>
            <w:tcW w:type="dxa" w:w="3322"/>
          </w:tcPr>
          <w:p>
            <w:pPr>
              <w:pStyle w:val="null3"/>
            </w:pPr>
            <w:r>
              <w:rPr>
                <w:rFonts w:ascii="仿宋_GB2312" w:hAnsi="仿宋_GB2312" w:cs="仿宋_GB2312" w:eastAsia="仿宋_GB2312"/>
              </w:rPr>
              <w:t>响应文件须加盖供应商单位公章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有效期须达到采购文件的要求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供应商不得出现选择性报价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响应报价不得超出采购预算或最高限价</w:t>
            </w:r>
          </w:p>
        </w:tc>
        <w:tc>
          <w:tcPr>
            <w:tcW w:type="dxa" w:w="3322"/>
          </w:tcPr>
          <w:p>
            <w:pPr>
              <w:pStyle w:val="null3"/>
            </w:pPr>
            <w:r>
              <w:rPr>
                <w:rFonts w:ascii="仿宋_GB2312" w:hAnsi="仿宋_GB2312" w:cs="仿宋_GB2312" w:eastAsia="仿宋_GB2312"/>
              </w:rPr>
              <w:t>响应报价不得超出采购预算或最高限价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响应文件中技术、服务内容须达到采购要求，不得出现重大负偏差，降低采购文件要求</w:t>
            </w:r>
          </w:p>
        </w:tc>
        <w:tc>
          <w:tcPr>
            <w:tcW w:type="dxa" w:w="3322"/>
          </w:tcPr>
          <w:p>
            <w:pPr>
              <w:pStyle w:val="null3"/>
            </w:pPr>
            <w:r>
              <w:rPr>
                <w:rFonts w:ascii="仿宋_GB2312" w:hAnsi="仿宋_GB2312" w:cs="仿宋_GB2312" w:eastAsia="仿宋_GB2312"/>
              </w:rPr>
              <w:t>响应文件中技术、服务内容须达到采购要求，未出现重大负偏差，降低采购文件要求。</w:t>
            </w:r>
          </w:p>
        </w:tc>
        <w:tc>
          <w:tcPr>
            <w:tcW w:type="dxa" w:w="1661"/>
          </w:tcPr>
          <w:p>
            <w:pPr>
              <w:pStyle w:val="null3"/>
            </w:pPr>
            <w:r>
              <w:rPr>
                <w:rFonts w:ascii="仿宋_GB2312" w:hAnsi="仿宋_GB2312" w:cs="仿宋_GB2312" w:eastAsia="仿宋_GB2312"/>
              </w:rPr>
              <w:t>服务方案 采购需求偏离表.docx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响应文件中不得附加采购人难以接受的条件</w:t>
            </w:r>
          </w:p>
        </w:tc>
        <w:tc>
          <w:tcPr>
            <w:tcW w:type="dxa" w:w="3322"/>
          </w:tcPr>
          <w:p>
            <w:pPr>
              <w:pStyle w:val="null3"/>
            </w:pPr>
            <w:r>
              <w:rPr>
                <w:rFonts w:ascii="仿宋_GB2312" w:hAnsi="仿宋_GB2312" w:cs="仿宋_GB2312" w:eastAsia="仿宋_GB2312"/>
              </w:rPr>
              <w:t>响应文件中未附加采购人难以接受的条件</w:t>
            </w:r>
          </w:p>
        </w:tc>
        <w:tc>
          <w:tcPr>
            <w:tcW w:type="dxa" w:w="1661"/>
          </w:tcPr>
          <w:p>
            <w:pPr>
              <w:pStyle w:val="null3"/>
            </w:pPr>
            <w:r>
              <w:rPr>
                <w:rFonts w:ascii="仿宋_GB2312" w:hAnsi="仿宋_GB2312" w:cs="仿宋_GB2312" w:eastAsia="仿宋_GB2312"/>
              </w:rPr>
              <w:t>合同草案条款偏离表.docx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详见附件：合同草案条款偏离表.docx</w:t>
      </w:r>
    </w:p>
    <w:p>
      <w:pPr>
        <w:pStyle w:val="null3"/>
        <w:ind w:firstLine="960"/>
      </w:pPr>
      <w:r>
        <w:rPr>
          <w:rFonts w:ascii="仿宋_GB2312" w:hAnsi="仿宋_GB2312" w:cs="仿宋_GB2312" w:eastAsia="仿宋_GB2312"/>
        </w:rPr>
        <w:t>详见附件：采购需求偏离表.docx</w:t>
      </w:r>
    </w:p>
    <w:p>
      <w:pPr>
        <w:pStyle w:val="null3"/>
        <w:ind w:firstLine="960"/>
      </w:pPr>
      <w:r>
        <w:rPr>
          <w:rFonts w:ascii="仿宋_GB2312" w:hAnsi="仿宋_GB2312" w:cs="仿宋_GB2312" w:eastAsia="仿宋_GB2312"/>
        </w:rPr>
        <w:t>详见附件：响应报价明细表.docx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