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4E7627">
      <w:pPr>
        <w:pStyle w:val="5"/>
        <w:jc w:val="center"/>
        <w:outlineLvl w:val="1"/>
      </w:pPr>
      <w:r>
        <w:rPr>
          <w:rFonts w:ascii="仿宋_GB2312" w:hAnsi="仿宋_GB2312" w:eastAsia="仿宋_GB2312" w:cs="仿宋_GB2312"/>
          <w:b/>
          <w:sz w:val="36"/>
        </w:rPr>
        <w:t>拟签订采购合同文本</w:t>
      </w:r>
    </w:p>
    <w:p w14:paraId="69DE02B1">
      <w:pPr>
        <w:pStyle w:val="2"/>
        <w:tabs>
          <w:tab w:val="clear" w:pos="567"/>
        </w:tabs>
        <w:spacing w:before="0" w:line="360" w:lineRule="auto"/>
        <w:ind w:firstLine="540" w:firstLineChars="225"/>
        <w:rPr>
          <w:rFonts w:hint="eastAsia" w:ascii="仿宋_GB2312" w:eastAsia="仿宋_GB2312"/>
          <w:color w:val="auto"/>
        </w:rPr>
      </w:pPr>
      <w:r>
        <w:rPr>
          <w:rFonts w:hint="eastAsia" w:ascii="仿宋_GB2312" w:eastAsia="仿宋_GB2312"/>
          <w:color w:val="auto"/>
        </w:rPr>
        <w:t>甲方：（前款所称采购人）     住所：</w:t>
      </w:r>
    </w:p>
    <w:p w14:paraId="098CF82D">
      <w:pPr>
        <w:pStyle w:val="2"/>
        <w:tabs>
          <w:tab w:val="clear" w:pos="567"/>
        </w:tabs>
        <w:spacing w:before="0" w:line="360" w:lineRule="auto"/>
        <w:ind w:firstLine="540" w:firstLineChars="225"/>
        <w:rPr>
          <w:rFonts w:hint="eastAsia" w:ascii="仿宋_GB2312" w:eastAsia="仿宋_GB2312"/>
          <w:color w:val="auto"/>
        </w:rPr>
      </w:pPr>
      <w:r>
        <w:rPr>
          <w:rFonts w:hint="eastAsia" w:ascii="仿宋_GB2312" w:eastAsia="仿宋_GB2312"/>
          <w:color w:val="auto"/>
        </w:rPr>
        <w:t>乙方：（前款所称</w:t>
      </w:r>
      <w:r>
        <w:rPr>
          <w:rFonts w:hint="eastAsia" w:ascii="仿宋_GB2312" w:eastAsia="仿宋_GB2312"/>
          <w:color w:val="auto"/>
          <w:lang w:val="en-US" w:eastAsia="zh-CN"/>
        </w:rPr>
        <w:t>供应商</w:t>
      </w:r>
      <w:r>
        <w:rPr>
          <w:rFonts w:hint="eastAsia" w:ascii="仿宋_GB2312" w:eastAsia="仿宋_GB2312"/>
          <w:color w:val="auto"/>
        </w:rPr>
        <w:t>）     住所：</w:t>
      </w:r>
    </w:p>
    <w:p w14:paraId="7CF851E0">
      <w:pPr>
        <w:pStyle w:val="2"/>
        <w:tabs>
          <w:tab w:val="clear" w:pos="567"/>
        </w:tabs>
        <w:spacing w:before="0" w:line="360" w:lineRule="auto"/>
        <w:ind w:left="-181" w:leftChars="-86" w:firstLine="663" w:firstLineChars="275"/>
        <w:rPr>
          <w:rFonts w:hint="eastAsia" w:ascii="仿宋_GB2312" w:eastAsia="仿宋_GB2312"/>
          <w:b/>
          <w:color w:val="auto"/>
        </w:rPr>
      </w:pPr>
      <w:r>
        <w:rPr>
          <w:rFonts w:hint="eastAsia" w:ascii="仿宋_GB2312" w:eastAsia="仿宋_GB2312"/>
          <w:b/>
          <w:color w:val="auto"/>
        </w:rPr>
        <w:t>一、合同内容</w:t>
      </w:r>
      <w:r>
        <w:rPr>
          <w:rFonts w:hint="eastAsia" w:ascii="仿宋_GB2312" w:hAnsi="仿宋" w:eastAsia="仿宋_GB2312"/>
          <w:color w:val="auto"/>
          <w:sz w:val="28"/>
          <w:szCs w:val="28"/>
        </w:rPr>
        <w:t>（</w:t>
      </w:r>
      <w:r>
        <w:rPr>
          <w:rFonts w:hint="eastAsia" w:ascii="仿宋_GB2312" w:eastAsia="仿宋_GB2312"/>
          <w:color w:val="auto"/>
        </w:rPr>
        <w:t>标的、数量、质量等</w:t>
      </w:r>
      <w:r>
        <w:rPr>
          <w:rFonts w:hint="eastAsia" w:ascii="仿宋_GB2312" w:hAnsi="仿宋" w:eastAsia="仿宋_GB2312"/>
          <w:color w:val="auto"/>
          <w:sz w:val="28"/>
          <w:szCs w:val="28"/>
        </w:rPr>
        <w:t>）</w:t>
      </w:r>
      <w:r>
        <w:rPr>
          <w:rFonts w:hint="eastAsia" w:ascii="仿宋_GB2312" w:eastAsia="仿宋_GB2312"/>
          <w:b/>
          <w:color w:val="auto"/>
        </w:rPr>
        <w:t>:</w:t>
      </w:r>
    </w:p>
    <w:p w14:paraId="4C34902A">
      <w:pPr>
        <w:pStyle w:val="2"/>
        <w:tabs>
          <w:tab w:val="clear" w:pos="567"/>
        </w:tabs>
        <w:spacing w:before="0" w:line="360" w:lineRule="auto"/>
        <w:ind w:left="-181" w:leftChars="-86" w:firstLine="663" w:firstLineChars="275"/>
        <w:rPr>
          <w:rFonts w:hint="eastAsia" w:ascii="仿宋_GB2312" w:eastAsia="仿宋_GB2312"/>
          <w:b/>
          <w:color w:val="auto"/>
        </w:rPr>
      </w:pPr>
      <w:r>
        <w:rPr>
          <w:rFonts w:hint="eastAsia" w:ascii="仿宋_GB2312" w:eastAsia="仿宋_GB2312"/>
          <w:b/>
          <w:color w:val="auto"/>
        </w:rPr>
        <w:t>二、合同价款</w:t>
      </w:r>
    </w:p>
    <w:p w14:paraId="218E5136">
      <w:pPr>
        <w:pStyle w:val="2"/>
        <w:tabs>
          <w:tab w:val="clear" w:pos="567"/>
        </w:tabs>
        <w:spacing w:before="0" w:line="360" w:lineRule="auto"/>
        <w:ind w:left="-181" w:leftChars="-86" w:firstLine="660" w:firstLineChars="275"/>
        <w:rPr>
          <w:rFonts w:hint="eastAsia" w:ascii="仿宋_GB2312" w:eastAsia="仿宋_GB2312"/>
          <w:color w:val="auto"/>
        </w:rPr>
      </w:pPr>
      <w:r>
        <w:rPr>
          <w:rFonts w:hint="eastAsia" w:ascii="仿宋_GB2312" w:eastAsia="仿宋_GB2312"/>
          <w:color w:val="auto"/>
        </w:rPr>
        <w:t>1、合同总价：</w:t>
      </w:r>
    </w:p>
    <w:p w14:paraId="1D5149A5">
      <w:pPr>
        <w:pStyle w:val="2"/>
        <w:tabs>
          <w:tab w:val="clear" w:pos="567"/>
        </w:tabs>
        <w:spacing w:before="0" w:line="360" w:lineRule="auto"/>
        <w:ind w:left="-181" w:leftChars="-86" w:firstLine="660" w:firstLineChars="275"/>
        <w:rPr>
          <w:rFonts w:hint="eastAsia" w:ascii="仿宋_GB2312" w:hAnsi="仿宋" w:eastAsia="仿宋_GB2312"/>
          <w:color w:val="auto"/>
        </w:rPr>
      </w:pPr>
      <w:r>
        <w:rPr>
          <w:rFonts w:hint="eastAsia" w:ascii="仿宋_GB2312" w:eastAsia="仿宋_GB2312"/>
          <w:color w:val="auto"/>
        </w:rPr>
        <w:t>2、合同总价包括</w:t>
      </w:r>
      <w:r>
        <w:rPr>
          <w:rFonts w:hint="eastAsia" w:ascii="仿宋_GB2312" w:hAnsi="仿宋" w:eastAsia="仿宋_GB2312"/>
          <w:color w:val="auto"/>
        </w:rPr>
        <w:t>完成服务要求所需的一切费用。</w:t>
      </w:r>
    </w:p>
    <w:p w14:paraId="74F523B2">
      <w:pPr>
        <w:pStyle w:val="2"/>
        <w:tabs>
          <w:tab w:val="clear" w:pos="567"/>
        </w:tabs>
        <w:spacing w:before="0" w:line="360" w:lineRule="auto"/>
        <w:ind w:left="-181" w:leftChars="-86" w:firstLine="660" w:firstLineChars="275"/>
        <w:rPr>
          <w:rFonts w:hint="eastAsia" w:ascii="仿宋_GB2312" w:eastAsia="仿宋_GB2312"/>
          <w:b/>
          <w:color w:val="auto"/>
        </w:rPr>
      </w:pPr>
      <w:r>
        <w:rPr>
          <w:rFonts w:hint="eastAsia" w:ascii="仿宋_GB2312" w:eastAsia="仿宋_GB2312"/>
          <w:color w:val="auto"/>
        </w:rPr>
        <w:t>3、合同总价一次包死，不受市场价变化的影响。</w:t>
      </w:r>
    </w:p>
    <w:p w14:paraId="00F1C77F">
      <w:pPr>
        <w:pStyle w:val="2"/>
        <w:tabs>
          <w:tab w:val="clear" w:pos="567"/>
        </w:tabs>
        <w:spacing w:before="0" w:line="360" w:lineRule="auto"/>
        <w:ind w:firstLine="542" w:firstLineChars="225"/>
        <w:rPr>
          <w:rFonts w:hint="eastAsia" w:ascii="仿宋_GB2312" w:eastAsia="仿宋_GB2312"/>
          <w:b/>
          <w:color w:val="auto"/>
        </w:rPr>
      </w:pPr>
      <w:bookmarkStart w:id="0" w:name="_Toc3174"/>
      <w:bookmarkStart w:id="1" w:name="_Toc20342"/>
      <w:bookmarkStart w:id="2" w:name="_Toc521307608"/>
      <w:r>
        <w:rPr>
          <w:rFonts w:hint="eastAsia" w:ascii="仿宋_GB2312" w:eastAsia="仿宋_GB2312"/>
          <w:b/>
          <w:color w:val="auto"/>
        </w:rPr>
        <w:t>三、</w:t>
      </w:r>
      <w:bookmarkEnd w:id="0"/>
      <w:bookmarkEnd w:id="1"/>
      <w:bookmarkEnd w:id="2"/>
      <w:r>
        <w:rPr>
          <w:rFonts w:hint="eastAsia" w:ascii="仿宋_GB2312" w:eastAsia="仿宋_GB2312"/>
          <w:b/>
          <w:color w:val="auto"/>
        </w:rPr>
        <w:t>合同结算</w:t>
      </w:r>
    </w:p>
    <w:p w14:paraId="5B7EE5B6">
      <w:pPr>
        <w:pStyle w:val="2"/>
        <w:tabs>
          <w:tab w:val="clear" w:pos="567"/>
        </w:tabs>
        <w:spacing w:before="0" w:line="360" w:lineRule="auto"/>
        <w:ind w:left="-181" w:leftChars="-86" w:firstLine="660" w:firstLineChars="275"/>
        <w:rPr>
          <w:rFonts w:hint="eastAsia" w:ascii="仿宋_GB2312" w:hAnsi="仿宋" w:eastAsia="仿宋_GB2312"/>
          <w:color w:val="auto"/>
        </w:rPr>
      </w:pPr>
      <w:r>
        <w:rPr>
          <w:rFonts w:hint="eastAsia" w:ascii="仿宋_GB2312" w:eastAsia="仿宋_GB2312"/>
          <w:color w:val="auto"/>
        </w:rPr>
        <w:t>1、资金支付条件及时间：</w:t>
      </w:r>
      <w:r>
        <w:rPr>
          <w:rFonts w:hint="eastAsia" w:ascii="仿宋_GB2312" w:hAnsi="仿宋" w:eastAsia="仿宋_GB2312"/>
          <w:color w:val="auto"/>
        </w:rPr>
        <w:t>签订合同后，按</w:t>
      </w:r>
      <w:r>
        <w:rPr>
          <w:rFonts w:hint="eastAsia" w:ascii="仿宋_GB2312" w:hAnsi="仿宋" w:eastAsia="仿宋_GB2312"/>
          <w:color w:val="auto"/>
          <w:lang w:val="en-US" w:eastAsia="zh-CN"/>
        </w:rPr>
        <w:t>月</w:t>
      </w:r>
      <w:r>
        <w:rPr>
          <w:rFonts w:hint="eastAsia" w:ascii="仿宋_GB2312" w:hAnsi="仿宋" w:eastAsia="仿宋_GB2312"/>
          <w:color w:val="auto"/>
        </w:rPr>
        <w:t>付款。</w:t>
      </w:r>
    </w:p>
    <w:p w14:paraId="63CB772D">
      <w:pPr>
        <w:pStyle w:val="2"/>
        <w:tabs>
          <w:tab w:val="clear" w:pos="567"/>
        </w:tabs>
        <w:spacing w:before="0" w:line="360" w:lineRule="auto"/>
        <w:ind w:left="-181" w:leftChars="-86" w:firstLine="660" w:firstLineChars="275"/>
        <w:rPr>
          <w:rFonts w:hint="eastAsia" w:ascii="仿宋_GB2312" w:eastAsia="仿宋_GB2312"/>
          <w:color w:val="auto"/>
        </w:rPr>
      </w:pPr>
      <w:r>
        <w:rPr>
          <w:rFonts w:hint="eastAsia" w:ascii="仿宋_GB2312" w:eastAsia="仿宋_GB2312"/>
          <w:color w:val="auto"/>
        </w:rPr>
        <w:t>2、结算方式：银行转账。</w:t>
      </w:r>
    </w:p>
    <w:p w14:paraId="56885DD2">
      <w:pPr>
        <w:pStyle w:val="2"/>
        <w:tabs>
          <w:tab w:val="clear" w:pos="567"/>
        </w:tabs>
        <w:spacing w:before="0" w:line="360" w:lineRule="auto"/>
        <w:ind w:left="-181" w:leftChars="-86" w:firstLine="660" w:firstLineChars="275"/>
        <w:rPr>
          <w:rFonts w:hint="eastAsia" w:ascii="仿宋_GB2312" w:eastAsia="仿宋_GB2312"/>
          <w:color w:val="auto"/>
        </w:rPr>
      </w:pPr>
      <w:r>
        <w:rPr>
          <w:rFonts w:hint="eastAsia" w:ascii="仿宋_GB2312" w:eastAsia="仿宋_GB2312"/>
          <w:color w:val="auto"/>
        </w:rPr>
        <w:t>3、结算单位：由</w:t>
      </w:r>
      <w:r>
        <w:rPr>
          <w:rFonts w:hint="eastAsia" w:ascii="仿宋_GB2312" w:eastAsia="仿宋_GB2312"/>
          <w:color w:val="auto"/>
          <w:u w:val="single"/>
        </w:rPr>
        <w:t>甲方</w:t>
      </w:r>
      <w:r>
        <w:rPr>
          <w:rFonts w:hint="eastAsia" w:ascii="仿宋_GB2312" w:eastAsia="仿宋_GB2312"/>
          <w:color w:val="auto"/>
        </w:rPr>
        <w:t>负责结算，乙方开具合同总价数的全额发票交采购人。</w:t>
      </w:r>
    </w:p>
    <w:p w14:paraId="0D0759B8">
      <w:pPr>
        <w:pStyle w:val="2"/>
        <w:tabs>
          <w:tab w:val="clear" w:pos="567"/>
        </w:tabs>
        <w:spacing w:before="0" w:line="360" w:lineRule="auto"/>
        <w:ind w:firstLine="542" w:firstLineChars="225"/>
        <w:rPr>
          <w:rFonts w:hint="eastAsia" w:ascii="仿宋_GB2312" w:eastAsia="仿宋_GB2312"/>
          <w:color w:val="auto"/>
        </w:rPr>
      </w:pPr>
      <w:bookmarkStart w:id="3" w:name="_Toc663"/>
      <w:bookmarkStart w:id="4" w:name="_Toc521307609"/>
      <w:r>
        <w:rPr>
          <w:rFonts w:hint="eastAsia" w:ascii="仿宋_GB2312" w:eastAsia="仿宋_GB2312"/>
          <w:b/>
          <w:color w:val="auto"/>
        </w:rPr>
        <w:t>四</w:t>
      </w:r>
      <w:bookmarkEnd w:id="3"/>
      <w:bookmarkEnd w:id="4"/>
      <w:r>
        <w:rPr>
          <w:rFonts w:hint="eastAsia" w:ascii="仿宋_GB2312" w:eastAsia="仿宋_GB2312"/>
          <w:b/>
          <w:color w:val="auto"/>
        </w:rPr>
        <w:t>、履行期限、地点及方式:</w:t>
      </w:r>
    </w:p>
    <w:p w14:paraId="6EED6790">
      <w:pPr>
        <w:adjustRightInd w:val="0"/>
        <w:snapToGrid w:val="0"/>
        <w:spacing w:line="360" w:lineRule="auto"/>
        <w:ind w:firstLine="480" w:firstLineChars="200"/>
        <w:rPr>
          <w:rFonts w:hint="eastAsia" w:ascii="仿宋_GB2312" w:hAnsi="仿宋" w:eastAsia="仿宋_GB2312"/>
          <w:color w:val="auto"/>
          <w:sz w:val="24"/>
        </w:rPr>
      </w:pPr>
      <w:r>
        <w:rPr>
          <w:rFonts w:hint="eastAsia" w:ascii="仿宋_GB2312" w:hAnsi="仿宋" w:eastAsia="仿宋_GB2312"/>
          <w:color w:val="auto"/>
          <w:sz w:val="24"/>
        </w:rPr>
        <w:t>1、履行期限：</w:t>
      </w:r>
      <w:r>
        <w:rPr>
          <w:rFonts w:hint="eastAsia" w:ascii="仿宋_GB2312" w:hAnsi="仿宋_GB2312" w:eastAsia="仿宋_GB2312" w:cs="仿宋_GB2312"/>
          <w:color w:val="auto"/>
          <w:sz w:val="24"/>
        </w:rPr>
        <w:t>一年</w:t>
      </w:r>
    </w:p>
    <w:p w14:paraId="6B0E7015">
      <w:pPr>
        <w:adjustRightInd w:val="0"/>
        <w:snapToGrid w:val="0"/>
        <w:spacing w:line="360" w:lineRule="auto"/>
        <w:ind w:firstLine="480" w:firstLineChars="200"/>
        <w:rPr>
          <w:rFonts w:hint="eastAsia" w:ascii="仿宋_GB2312" w:hAnsi="仿宋" w:eastAsia="仿宋_GB2312"/>
          <w:color w:val="auto"/>
          <w:sz w:val="24"/>
        </w:rPr>
      </w:pPr>
      <w:r>
        <w:rPr>
          <w:rFonts w:hint="eastAsia" w:ascii="仿宋_GB2312" w:hAnsi="仿宋" w:eastAsia="仿宋_GB2312"/>
          <w:color w:val="auto"/>
          <w:sz w:val="24"/>
        </w:rPr>
        <w:t>2、地点：按照采购人要求</w:t>
      </w:r>
    </w:p>
    <w:p w14:paraId="2866C89C">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hAnsi="仿宋" w:eastAsia="仿宋_GB2312"/>
          <w:color w:val="auto"/>
          <w:sz w:val="24"/>
        </w:rPr>
        <w:t>3、方式：按照采购人要求</w:t>
      </w:r>
      <w:r>
        <w:rPr>
          <w:rFonts w:hint="eastAsia" w:ascii="仿宋_GB2312" w:eastAsia="仿宋_GB2312"/>
          <w:color w:val="auto"/>
        </w:rPr>
        <w:t xml:space="preserve">               </w:t>
      </w:r>
    </w:p>
    <w:p w14:paraId="75F133C7">
      <w:pPr>
        <w:adjustRightInd w:val="0"/>
        <w:snapToGrid w:val="0"/>
        <w:spacing w:line="360" w:lineRule="auto"/>
        <w:ind w:firstLine="482" w:firstLineChars="200"/>
        <w:rPr>
          <w:rFonts w:hint="eastAsia" w:ascii="仿宋_GB2312" w:eastAsia="仿宋_GB2312"/>
          <w:b/>
          <w:color w:val="auto"/>
          <w:sz w:val="24"/>
          <w:lang w:val="zh-CN"/>
        </w:rPr>
      </w:pPr>
      <w:bookmarkStart w:id="5" w:name="_Toc19515388"/>
      <w:r>
        <w:rPr>
          <w:rFonts w:hint="eastAsia" w:ascii="仿宋_GB2312" w:eastAsia="仿宋_GB2312"/>
          <w:b/>
          <w:color w:val="auto"/>
          <w:sz w:val="24"/>
          <w:lang w:val="zh-CN"/>
        </w:rPr>
        <w:t>五、</w:t>
      </w:r>
      <w:bookmarkEnd w:id="5"/>
      <w:r>
        <w:rPr>
          <w:rFonts w:hint="eastAsia" w:ascii="仿宋_GB2312" w:eastAsia="仿宋_GB2312"/>
          <w:b/>
          <w:color w:val="auto"/>
          <w:sz w:val="24"/>
          <w:lang w:val="zh-CN"/>
        </w:rPr>
        <w:t>服务工作要求和质量保证</w:t>
      </w:r>
    </w:p>
    <w:p w14:paraId="47D95DC5">
      <w:pPr>
        <w:adjustRightInd w:val="0"/>
        <w:snapToGrid w:val="0"/>
        <w:spacing w:line="360" w:lineRule="auto"/>
        <w:ind w:firstLine="480" w:firstLineChars="200"/>
        <w:rPr>
          <w:rFonts w:hint="eastAsia" w:ascii="仿宋_GB2312" w:hAnsi="仿宋_GB2312" w:eastAsia="仿宋_GB2312" w:cs="仿宋_GB2312"/>
          <w:color w:val="auto"/>
          <w:sz w:val="24"/>
          <w:lang w:val="en-US" w:eastAsia="zh-CN"/>
        </w:rPr>
      </w:pPr>
      <w:bookmarkStart w:id="6" w:name="_Toc19515389"/>
      <w:r>
        <w:rPr>
          <w:rFonts w:hint="eastAsia" w:ascii="仿宋_GB2312" w:hAnsi="仿宋_GB2312" w:eastAsia="仿宋_GB2312" w:cs="仿宋_GB2312"/>
          <w:color w:val="auto"/>
          <w:sz w:val="24"/>
          <w:lang w:val="en-US" w:eastAsia="zh-CN"/>
        </w:rPr>
        <w:t>1、2026年有就餐人员53名。供应商需提供制作及就餐地点，地点应在楼观度假区范围内。</w:t>
      </w:r>
      <w:bookmarkStart w:id="13" w:name="_GoBack"/>
      <w:bookmarkEnd w:id="13"/>
      <w:r>
        <w:rPr>
          <w:rFonts w:hint="eastAsia" w:ascii="仿宋_GB2312" w:hAnsi="仿宋_GB2312" w:eastAsia="仿宋_GB2312" w:cs="仿宋_GB2312"/>
          <w:color w:val="auto"/>
          <w:sz w:val="24"/>
          <w:lang w:val="en-US" w:eastAsia="zh-CN"/>
        </w:rPr>
        <w:t xml:space="preserve"> </w:t>
      </w:r>
    </w:p>
    <w:p w14:paraId="31D6DD60">
      <w:pPr>
        <w:adjustRightInd w:val="0"/>
        <w:snapToGrid w:val="0"/>
        <w:spacing w:line="360" w:lineRule="auto"/>
        <w:ind w:firstLine="480"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2、就餐时间安排：工作日及节假日值班人员每日分为早、中、晚餐，每日三餐制。</w:t>
      </w:r>
    </w:p>
    <w:p w14:paraId="06FD19B8">
      <w:pPr>
        <w:adjustRightInd w:val="0"/>
        <w:snapToGrid w:val="0"/>
        <w:spacing w:line="360" w:lineRule="auto"/>
        <w:ind w:firstLine="480"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3、食品加工生产活动应符合《中华人民共和国食品安全法》、《中华人民共和国安全生产法》和卫生部《餐饮业食品卫生管理办法》等法律法规</w:t>
      </w:r>
    </w:p>
    <w:p w14:paraId="21072E47">
      <w:pPr>
        <w:adjustRightInd w:val="0"/>
        <w:snapToGrid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4</w:t>
      </w:r>
      <w:r>
        <w:rPr>
          <w:rFonts w:hint="eastAsia" w:ascii="仿宋_GB2312" w:hAnsi="仿宋_GB2312" w:eastAsia="仿宋_GB2312" w:cs="仿宋_GB2312"/>
          <w:color w:val="auto"/>
          <w:sz w:val="24"/>
        </w:rPr>
        <w:t>、负责</w:t>
      </w:r>
      <w:r>
        <w:rPr>
          <w:rFonts w:hint="eastAsia" w:ascii="仿宋_GB2312" w:hAnsi="仿宋_GB2312" w:eastAsia="仿宋_GB2312" w:cs="仿宋_GB2312"/>
          <w:color w:val="auto"/>
          <w:sz w:val="24"/>
          <w:lang w:val="en-US" w:eastAsia="zh-CN"/>
        </w:rPr>
        <w:t>餐饮服务人员</w:t>
      </w:r>
      <w:r>
        <w:rPr>
          <w:rFonts w:hint="eastAsia" w:ascii="仿宋_GB2312" w:hAnsi="仿宋_GB2312" w:eastAsia="仿宋_GB2312" w:cs="仿宋_GB2312"/>
          <w:color w:val="auto"/>
          <w:sz w:val="24"/>
        </w:rPr>
        <w:t>日常管理，确保甲方员工用餐的正常供给，环境卫生的日常维护、水电设备的正常运转，并承担相关管理责任。</w:t>
      </w:r>
    </w:p>
    <w:p w14:paraId="7A7A9A9F">
      <w:pPr>
        <w:adjustRightInd w:val="0"/>
        <w:snapToGrid w:val="0"/>
        <w:spacing w:line="360" w:lineRule="auto"/>
        <w:ind w:firstLine="482" w:firstLineChars="200"/>
        <w:rPr>
          <w:rFonts w:hint="eastAsia" w:ascii="仿宋_GB2312" w:eastAsia="仿宋_GB2312"/>
          <w:b/>
          <w:color w:val="auto"/>
          <w:sz w:val="24"/>
          <w:lang w:val="zh-CN"/>
        </w:rPr>
      </w:pPr>
      <w:r>
        <w:rPr>
          <w:rFonts w:hint="eastAsia" w:ascii="仿宋_GB2312" w:eastAsia="仿宋_GB2312"/>
          <w:b/>
          <w:color w:val="auto"/>
          <w:sz w:val="24"/>
          <w:lang w:val="zh-CN"/>
        </w:rPr>
        <w:t>六、</w:t>
      </w:r>
      <w:bookmarkEnd w:id="6"/>
      <w:r>
        <w:rPr>
          <w:rFonts w:hint="eastAsia" w:ascii="仿宋_GB2312" w:eastAsia="仿宋_GB2312"/>
          <w:b/>
          <w:color w:val="auto"/>
          <w:sz w:val="24"/>
          <w:lang w:val="zh-CN"/>
        </w:rPr>
        <w:t>验收</w:t>
      </w:r>
    </w:p>
    <w:p w14:paraId="2ECDC43B">
      <w:pPr>
        <w:adjustRightInd w:val="0"/>
        <w:snapToGrid w:val="0"/>
        <w:spacing w:line="360" w:lineRule="auto"/>
        <w:ind w:firstLine="480" w:firstLineChars="200"/>
        <w:rPr>
          <w:rFonts w:hint="eastAsia" w:ascii="仿宋_GB2312" w:hAnsi="仿宋" w:eastAsia="仿宋_GB2312"/>
          <w:color w:val="auto"/>
          <w:sz w:val="24"/>
        </w:rPr>
      </w:pPr>
      <w:bookmarkStart w:id="7" w:name="_Toc19515390"/>
      <w:r>
        <w:rPr>
          <w:rFonts w:ascii="仿宋_GB2312" w:hAnsi="仿宋" w:eastAsia="仿宋_GB2312"/>
          <w:color w:val="auto"/>
          <w:sz w:val="24"/>
        </w:rPr>
        <w:t>1</w:t>
      </w:r>
      <w:r>
        <w:rPr>
          <w:rFonts w:hint="eastAsia" w:ascii="仿宋_GB2312" w:hAnsi="仿宋" w:eastAsia="仿宋_GB2312"/>
          <w:color w:val="auto"/>
          <w:sz w:val="24"/>
        </w:rPr>
        <w:t>、验收依据：</w:t>
      </w:r>
    </w:p>
    <w:p w14:paraId="7B2B36A6">
      <w:pPr>
        <w:adjustRightInd w:val="0"/>
        <w:snapToGrid w:val="0"/>
        <w:spacing w:line="360" w:lineRule="auto"/>
        <w:ind w:firstLine="480" w:firstLineChars="200"/>
        <w:rPr>
          <w:rFonts w:hint="eastAsia" w:ascii="仿宋_GB2312" w:hAnsi="仿宋" w:eastAsia="仿宋_GB2312"/>
          <w:color w:val="auto"/>
          <w:sz w:val="24"/>
        </w:rPr>
      </w:pPr>
      <w:r>
        <w:rPr>
          <w:rFonts w:ascii="仿宋_GB2312" w:hAnsi="仿宋" w:eastAsia="仿宋_GB2312"/>
          <w:color w:val="auto"/>
          <w:sz w:val="24"/>
        </w:rPr>
        <w:t>1</w:t>
      </w:r>
      <w:r>
        <w:rPr>
          <w:rFonts w:hint="eastAsia" w:ascii="仿宋_GB2312" w:hAnsi="仿宋" w:eastAsia="仿宋_GB2312"/>
          <w:color w:val="auto"/>
          <w:sz w:val="24"/>
        </w:rPr>
        <w:t>-1、合同文本、合同附件、</w:t>
      </w:r>
      <w:r>
        <w:rPr>
          <w:rFonts w:hint="eastAsia" w:ascii="仿宋_GB2312" w:hAnsi="仿宋" w:eastAsia="仿宋_GB2312"/>
          <w:color w:val="auto"/>
          <w:sz w:val="24"/>
          <w:lang w:val="en-US" w:eastAsia="zh-CN"/>
        </w:rPr>
        <w:t>磋商</w:t>
      </w:r>
      <w:r>
        <w:rPr>
          <w:rFonts w:hint="eastAsia" w:ascii="仿宋_GB2312" w:hAnsi="仿宋" w:eastAsia="仿宋_GB2312"/>
          <w:color w:val="auto"/>
          <w:sz w:val="24"/>
        </w:rPr>
        <w:t>文件、</w:t>
      </w:r>
      <w:r>
        <w:rPr>
          <w:rFonts w:hint="eastAsia" w:ascii="仿宋_GB2312" w:hAnsi="仿宋" w:eastAsia="仿宋_GB2312"/>
          <w:color w:val="auto"/>
          <w:sz w:val="24"/>
          <w:lang w:val="en-US" w:eastAsia="zh-CN"/>
        </w:rPr>
        <w:t>响应</w:t>
      </w:r>
      <w:r>
        <w:rPr>
          <w:rFonts w:hint="eastAsia" w:ascii="仿宋_GB2312" w:hAnsi="仿宋" w:eastAsia="仿宋_GB2312"/>
          <w:color w:val="auto"/>
          <w:sz w:val="24"/>
        </w:rPr>
        <w:t>文件。</w:t>
      </w:r>
    </w:p>
    <w:p w14:paraId="14AA9F15">
      <w:pPr>
        <w:adjustRightInd w:val="0"/>
        <w:snapToGrid w:val="0"/>
        <w:spacing w:line="360" w:lineRule="auto"/>
        <w:ind w:firstLine="480" w:firstLineChars="200"/>
        <w:rPr>
          <w:rFonts w:hint="eastAsia" w:ascii="仿宋_GB2312" w:hAnsi="仿宋" w:eastAsia="仿宋_GB2312"/>
          <w:color w:val="auto"/>
          <w:sz w:val="24"/>
        </w:rPr>
      </w:pPr>
      <w:r>
        <w:rPr>
          <w:rFonts w:ascii="仿宋_GB2312" w:hAnsi="仿宋" w:eastAsia="仿宋_GB2312"/>
          <w:color w:val="auto"/>
          <w:sz w:val="24"/>
        </w:rPr>
        <w:t>1</w:t>
      </w:r>
      <w:r>
        <w:rPr>
          <w:rFonts w:hint="eastAsia" w:ascii="仿宋_GB2312" w:hAnsi="仿宋" w:eastAsia="仿宋_GB2312"/>
          <w:color w:val="auto"/>
          <w:sz w:val="24"/>
        </w:rPr>
        <w:t>-2、国内相应的标准、规范。</w:t>
      </w:r>
    </w:p>
    <w:p w14:paraId="00891E65">
      <w:pPr>
        <w:adjustRightInd w:val="0"/>
        <w:snapToGrid w:val="0"/>
        <w:spacing w:line="360" w:lineRule="auto"/>
        <w:ind w:firstLine="482" w:firstLineChars="200"/>
        <w:rPr>
          <w:rFonts w:ascii="仿宋_GB2312" w:eastAsia="仿宋_GB2312"/>
          <w:b/>
          <w:color w:val="auto"/>
          <w:sz w:val="24"/>
          <w:lang w:val="zh-CN"/>
        </w:rPr>
      </w:pPr>
      <w:r>
        <w:rPr>
          <w:rFonts w:hint="eastAsia" w:ascii="仿宋_GB2312" w:eastAsia="仿宋_GB2312"/>
          <w:b/>
          <w:color w:val="auto"/>
          <w:sz w:val="24"/>
          <w:lang w:val="zh-CN"/>
        </w:rPr>
        <w:t>七、</w:t>
      </w:r>
      <w:bookmarkEnd w:id="7"/>
      <w:r>
        <w:rPr>
          <w:rFonts w:ascii="仿宋_GB2312" w:eastAsia="仿宋_GB2312"/>
          <w:b/>
          <w:color w:val="auto"/>
          <w:sz w:val="24"/>
          <w:lang w:val="zh-CN"/>
        </w:rPr>
        <w:t>甲方的权利和义务</w:t>
      </w:r>
    </w:p>
    <w:p w14:paraId="3DB53582">
      <w:pPr>
        <w:adjustRightInd w:val="0"/>
        <w:snapToGrid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1、甲方按合同规定监督乙方依法经营、认真履行合同，同时做好指导和协调工作。</w:t>
      </w:r>
    </w:p>
    <w:p w14:paraId="1C63D847">
      <w:pPr>
        <w:adjustRightInd w:val="0"/>
        <w:snapToGrid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2、甲方应保障餐厅运行所需的供水、电、排水等基础设施条件具备。</w:t>
      </w:r>
    </w:p>
    <w:p w14:paraId="679B5D92">
      <w:pPr>
        <w:adjustRightInd w:val="0"/>
        <w:snapToGrid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3、甲方对乙方配菜、营养搭配、服务水平及食品卫生、环境卫生等方面进行监督，并有权要求乙方及时整改。</w:t>
      </w:r>
    </w:p>
    <w:p w14:paraId="1E9F3387">
      <w:pPr>
        <w:adjustRightInd w:val="0"/>
        <w:snapToGrid w:val="0"/>
        <w:spacing w:line="360" w:lineRule="auto"/>
        <w:ind w:firstLine="482" w:firstLineChars="200"/>
        <w:rPr>
          <w:rFonts w:ascii="仿宋_GB2312" w:eastAsia="仿宋_GB2312"/>
          <w:b/>
          <w:color w:val="auto"/>
          <w:sz w:val="24"/>
          <w:lang w:val="zh-CN"/>
        </w:rPr>
      </w:pPr>
      <w:r>
        <w:rPr>
          <w:rFonts w:hint="eastAsia" w:ascii="仿宋_GB2312" w:eastAsia="仿宋_GB2312"/>
          <w:b/>
          <w:color w:val="auto"/>
          <w:sz w:val="24"/>
          <w:lang w:val="zh-CN"/>
        </w:rPr>
        <w:t>八、</w:t>
      </w:r>
      <w:r>
        <w:rPr>
          <w:rFonts w:ascii="仿宋_GB2312" w:eastAsia="仿宋_GB2312"/>
          <w:b/>
          <w:color w:val="auto"/>
          <w:sz w:val="24"/>
          <w:lang w:val="zh-CN"/>
        </w:rPr>
        <w:t>乙方的权利和义务</w:t>
      </w:r>
    </w:p>
    <w:p w14:paraId="244B5109">
      <w:pPr>
        <w:adjustRightInd w:val="0"/>
        <w:snapToGrid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1、乙方根据甲方制定的用餐标准安排每周菜单，根据用餐人数</w:t>
      </w:r>
      <w:r>
        <w:rPr>
          <w:rFonts w:hint="eastAsia" w:ascii="仿宋_GB2312" w:hAnsi="仿宋_GB2312" w:eastAsia="仿宋_GB2312" w:cs="仿宋_GB2312"/>
          <w:color w:val="auto"/>
          <w:sz w:val="24"/>
          <w:lang w:val="en-US" w:eastAsia="zh-CN"/>
        </w:rPr>
        <w:t>确定</w:t>
      </w:r>
      <w:r>
        <w:rPr>
          <w:rFonts w:hint="eastAsia" w:ascii="仿宋_GB2312" w:hAnsi="仿宋_GB2312" w:eastAsia="仿宋_GB2312" w:cs="仿宋_GB2312"/>
          <w:color w:val="auto"/>
          <w:sz w:val="24"/>
        </w:rPr>
        <w:t>食品原材料，并负责食品加工工作。</w:t>
      </w:r>
    </w:p>
    <w:p w14:paraId="149696AD">
      <w:pPr>
        <w:adjustRightInd w:val="0"/>
        <w:snapToGrid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2</w:t>
      </w:r>
      <w:r>
        <w:rPr>
          <w:rFonts w:hint="eastAsia" w:ascii="仿宋_GB2312" w:hAnsi="仿宋_GB2312" w:eastAsia="仿宋_GB2312" w:cs="仿宋_GB2312"/>
          <w:color w:val="auto"/>
          <w:sz w:val="24"/>
        </w:rPr>
        <w:t>、乙方确保餐饮服务人员身份证、供应商证照等基础信息资料需在甲方备案。</w:t>
      </w:r>
    </w:p>
    <w:p w14:paraId="7F6A231C">
      <w:pPr>
        <w:adjustRightInd w:val="0"/>
        <w:snapToGrid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3</w:t>
      </w:r>
      <w:r>
        <w:rPr>
          <w:rFonts w:hint="eastAsia" w:ascii="仿宋_GB2312" w:hAnsi="仿宋_GB2312" w:eastAsia="仿宋_GB2312" w:cs="仿宋_GB2312"/>
          <w:color w:val="auto"/>
          <w:sz w:val="24"/>
        </w:rPr>
        <w:t>、乙方工作人员一律凭“健康证”上岗，每一年体检一次，无健康证者一律不得上岗。</w:t>
      </w:r>
    </w:p>
    <w:p w14:paraId="22762160">
      <w:pPr>
        <w:adjustRightInd w:val="0"/>
        <w:snapToGrid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4</w:t>
      </w:r>
      <w:r>
        <w:rPr>
          <w:rFonts w:hint="eastAsia" w:ascii="仿宋_GB2312" w:hAnsi="仿宋_GB2312" w:eastAsia="仿宋_GB2312" w:cs="仿宋_GB2312"/>
          <w:color w:val="auto"/>
          <w:sz w:val="24"/>
        </w:rPr>
        <w:t>、乙方派遣人员必须将所有食品留样24小时，并注明留样时间及具体负责人，以便发生事故追查原因。</w:t>
      </w:r>
    </w:p>
    <w:p w14:paraId="38102386">
      <w:pPr>
        <w:adjustRightInd w:val="0"/>
        <w:snapToGrid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5</w:t>
      </w:r>
      <w:r>
        <w:rPr>
          <w:rFonts w:hint="eastAsia" w:ascii="仿宋_GB2312" w:hAnsi="仿宋_GB2312" w:eastAsia="仿宋_GB2312" w:cs="仿宋_GB2312"/>
          <w:color w:val="auto"/>
          <w:sz w:val="24"/>
        </w:rPr>
        <w:t>、因不可抗力造成损失时，</w:t>
      </w:r>
      <w:r>
        <w:rPr>
          <w:rFonts w:hint="eastAsia" w:ascii="仿宋_GB2312" w:hAnsi="仿宋_GB2312" w:eastAsia="仿宋_GB2312" w:cs="仿宋_GB2312"/>
          <w:color w:val="auto"/>
          <w:sz w:val="24"/>
          <w:lang w:val="en-US" w:eastAsia="zh-CN"/>
        </w:rPr>
        <w:t>甲方</w:t>
      </w:r>
      <w:r>
        <w:rPr>
          <w:rFonts w:hint="eastAsia" w:ascii="仿宋_GB2312" w:hAnsi="仿宋_GB2312" w:eastAsia="仿宋_GB2312" w:cs="仿宋_GB2312"/>
          <w:color w:val="auto"/>
          <w:sz w:val="24"/>
        </w:rPr>
        <w:t>不承担</w:t>
      </w:r>
      <w:r>
        <w:rPr>
          <w:rFonts w:hint="eastAsia" w:ascii="仿宋_GB2312" w:hAnsi="仿宋_GB2312" w:eastAsia="仿宋_GB2312" w:cs="仿宋_GB2312"/>
          <w:color w:val="auto"/>
          <w:sz w:val="24"/>
          <w:lang w:val="en-US" w:eastAsia="zh-CN"/>
        </w:rPr>
        <w:t>乙</w:t>
      </w:r>
      <w:r>
        <w:rPr>
          <w:rFonts w:hint="eastAsia" w:ascii="仿宋_GB2312" w:hAnsi="仿宋_GB2312" w:eastAsia="仿宋_GB2312" w:cs="仿宋_GB2312"/>
          <w:color w:val="auto"/>
          <w:sz w:val="24"/>
        </w:rPr>
        <w:t>方房产和设施的经济损失。</w:t>
      </w:r>
    </w:p>
    <w:p w14:paraId="12459A8D">
      <w:pPr>
        <w:adjustRightInd w:val="0"/>
        <w:snapToGrid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6</w:t>
      </w:r>
      <w:r>
        <w:rPr>
          <w:rFonts w:hint="eastAsia" w:ascii="仿宋_GB2312" w:hAnsi="仿宋_GB2312" w:eastAsia="仿宋_GB2312" w:cs="仿宋_GB2312"/>
          <w:color w:val="auto"/>
          <w:sz w:val="24"/>
        </w:rPr>
        <w:t>、乙方全面负责餐厅各岗位人员配置，</w:t>
      </w:r>
      <w:r>
        <w:rPr>
          <w:rFonts w:hint="eastAsia" w:ascii="仿宋_GB2312" w:hAnsi="仿宋_GB2312" w:eastAsia="仿宋_GB2312" w:cs="仿宋_GB2312"/>
          <w:color w:val="auto"/>
          <w:sz w:val="24"/>
          <w:lang w:val="en-US" w:eastAsia="zh-CN"/>
        </w:rPr>
        <w:t>保障甲方人员用餐</w:t>
      </w:r>
      <w:r>
        <w:rPr>
          <w:rFonts w:hint="eastAsia" w:ascii="仿宋_GB2312" w:hAnsi="仿宋_GB2312" w:eastAsia="仿宋_GB2312" w:cs="仿宋_GB2312"/>
          <w:color w:val="auto"/>
          <w:sz w:val="24"/>
        </w:rPr>
        <w:t>。</w:t>
      </w:r>
    </w:p>
    <w:p w14:paraId="73B0789E">
      <w:pPr>
        <w:adjustRightInd w:val="0"/>
        <w:snapToGrid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7</w:t>
      </w:r>
      <w:r>
        <w:rPr>
          <w:rFonts w:hint="eastAsia" w:ascii="仿宋_GB2312" w:hAnsi="仿宋_GB2312" w:eastAsia="仿宋_GB2312" w:cs="仿宋_GB2312"/>
          <w:color w:val="auto"/>
          <w:sz w:val="24"/>
        </w:rPr>
        <w:t>、乙方厨师长要严格履行厨师长职责，负责厨房日常管理和全面技术督导，协助甲方管理人员完成餐厅餐饮服务创新工作。</w:t>
      </w:r>
    </w:p>
    <w:p w14:paraId="4CDCF3CE">
      <w:pPr>
        <w:adjustRightInd w:val="0"/>
        <w:snapToGrid w:val="0"/>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8</w:t>
      </w:r>
      <w:r>
        <w:rPr>
          <w:rFonts w:hint="eastAsia" w:ascii="仿宋_GB2312" w:hAnsi="仿宋_GB2312" w:eastAsia="仿宋_GB2312" w:cs="仿宋_GB2312"/>
          <w:color w:val="auto"/>
          <w:sz w:val="24"/>
        </w:rPr>
        <w:t>、乙方</w:t>
      </w:r>
      <w:r>
        <w:rPr>
          <w:rFonts w:hint="eastAsia" w:ascii="仿宋_GB2312" w:hAnsi="仿宋_GB2312" w:eastAsia="仿宋_GB2312" w:cs="仿宋_GB2312"/>
          <w:color w:val="auto"/>
          <w:sz w:val="24"/>
          <w:lang w:val="en-US" w:eastAsia="zh-CN"/>
        </w:rPr>
        <w:t>应</w:t>
      </w:r>
      <w:r>
        <w:rPr>
          <w:rFonts w:hint="eastAsia" w:ascii="仿宋_GB2312" w:hAnsi="仿宋_GB2312" w:eastAsia="仿宋_GB2312" w:cs="仿宋_GB2312"/>
          <w:color w:val="auto"/>
          <w:sz w:val="24"/>
        </w:rPr>
        <w:t>保障菜品质量</w:t>
      </w:r>
      <w:r>
        <w:rPr>
          <w:rFonts w:hint="eastAsia" w:ascii="仿宋_GB2312" w:hAnsi="仿宋_GB2312" w:eastAsia="仿宋_GB2312" w:cs="仿宋_GB2312"/>
          <w:color w:val="auto"/>
          <w:sz w:val="24"/>
          <w:lang w:val="en-US" w:eastAsia="zh-CN"/>
        </w:rPr>
        <w:t>和</w:t>
      </w:r>
      <w:r>
        <w:rPr>
          <w:rFonts w:hint="eastAsia" w:ascii="仿宋_GB2312" w:hAnsi="仿宋_GB2312" w:eastAsia="仿宋_GB2312" w:cs="仿宋_GB2312"/>
          <w:color w:val="auto"/>
          <w:sz w:val="24"/>
        </w:rPr>
        <w:t>数量</w:t>
      </w:r>
      <w:r>
        <w:rPr>
          <w:rFonts w:hint="eastAsia" w:ascii="仿宋_GB2312" w:hAnsi="仿宋_GB2312" w:eastAsia="仿宋_GB2312" w:cs="仿宋_GB2312"/>
          <w:color w:val="auto"/>
          <w:sz w:val="24"/>
          <w:lang w:eastAsia="zh-CN"/>
        </w:rPr>
        <w:t>。</w:t>
      </w:r>
    </w:p>
    <w:p w14:paraId="080DE052">
      <w:pPr>
        <w:adjustRightInd w:val="0"/>
        <w:snapToGrid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9、</w:t>
      </w:r>
      <w:r>
        <w:rPr>
          <w:rFonts w:hint="eastAsia" w:ascii="仿宋_GB2312" w:hAnsi="仿宋_GB2312" w:eastAsia="仿宋_GB2312" w:cs="仿宋_GB2312"/>
          <w:color w:val="auto"/>
          <w:sz w:val="24"/>
        </w:rPr>
        <w:t>乙方对聘用人员发生的一切事故承担全部责任，餐饮卫生条件必须符合《食品安全法》的规定及国家、省市有关环境和食品卫生标准，如因违反有关部门卫生管理办法而遭受处罚，一切责任由乙方承担。</w:t>
      </w:r>
    </w:p>
    <w:p w14:paraId="42795EF3">
      <w:pPr>
        <w:adjustRightInd w:val="0"/>
        <w:snapToGrid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w:t>
      </w:r>
      <w:r>
        <w:rPr>
          <w:rFonts w:hint="eastAsia" w:ascii="仿宋_GB2312" w:hAnsi="仿宋_GB2312" w:eastAsia="仿宋_GB2312" w:cs="仿宋_GB2312"/>
          <w:color w:val="auto"/>
          <w:sz w:val="24"/>
          <w:lang w:val="en-US" w:eastAsia="zh-CN"/>
        </w:rPr>
        <w:t>0</w:t>
      </w:r>
      <w:r>
        <w:rPr>
          <w:rFonts w:hint="eastAsia" w:ascii="仿宋_GB2312" w:hAnsi="仿宋_GB2312" w:eastAsia="仿宋_GB2312" w:cs="仿宋_GB2312"/>
          <w:color w:val="auto"/>
          <w:sz w:val="24"/>
        </w:rPr>
        <w:t>、乙方必须严格遵守安全操作规程，保障安全生产，若因乙方管理问题引起火灾或发生意外事件，此责任及损失由乙方承担。</w:t>
      </w:r>
    </w:p>
    <w:p w14:paraId="5B01DDF4">
      <w:pPr>
        <w:adjustRightInd w:val="0"/>
        <w:snapToGrid w:val="0"/>
        <w:spacing w:line="360" w:lineRule="auto"/>
        <w:ind w:firstLine="482" w:firstLineChars="200"/>
        <w:rPr>
          <w:rFonts w:hint="eastAsia" w:ascii="仿宋_GB2312" w:eastAsia="仿宋_GB2312"/>
          <w:b/>
          <w:color w:val="auto"/>
          <w:sz w:val="24"/>
          <w:lang w:val="zh-CN"/>
        </w:rPr>
      </w:pPr>
      <w:bookmarkStart w:id="8" w:name="_Toc19515391"/>
      <w:r>
        <w:rPr>
          <w:rFonts w:hint="eastAsia" w:ascii="仿宋_GB2312" w:eastAsia="仿宋_GB2312"/>
          <w:b/>
          <w:color w:val="auto"/>
          <w:sz w:val="24"/>
          <w:lang w:val="zh-CN"/>
        </w:rPr>
        <w:t>九、</w:t>
      </w:r>
      <w:bookmarkEnd w:id="8"/>
      <w:bookmarkStart w:id="9" w:name="_Toc19515392"/>
      <w:r>
        <w:rPr>
          <w:rFonts w:hint="eastAsia" w:ascii="仿宋_GB2312" w:eastAsia="仿宋_GB2312"/>
          <w:b/>
          <w:color w:val="auto"/>
          <w:sz w:val="24"/>
          <w:lang w:val="zh-CN"/>
        </w:rPr>
        <w:t>违约责任</w:t>
      </w:r>
      <w:bookmarkEnd w:id="9"/>
    </w:p>
    <w:p w14:paraId="13E4AFE0">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zh-CN"/>
        </w:rPr>
        <w:t>1、违约责任按《中华人民共和国民法典》处理中的相关条款执行。</w:t>
      </w:r>
    </w:p>
    <w:p w14:paraId="5156AB71">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en-US" w:eastAsia="zh-CN"/>
        </w:rPr>
        <w:t>2</w:t>
      </w:r>
      <w:r>
        <w:rPr>
          <w:rFonts w:hint="eastAsia" w:ascii="仿宋_GB2312" w:eastAsia="仿宋_GB2312"/>
          <w:color w:val="auto"/>
          <w:sz w:val="24"/>
          <w:lang w:val="zh-CN"/>
        </w:rPr>
        <w:t>、乙方有下列情形之一的，甲方有权单方面解除合同，因此给甲方造成损失的，乙方应予以赔偿：</w:t>
      </w:r>
    </w:p>
    <w:p w14:paraId="13CBC487">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en-US" w:eastAsia="zh-CN"/>
        </w:rPr>
        <w:t>2-1</w:t>
      </w:r>
      <w:r>
        <w:rPr>
          <w:rFonts w:hint="eastAsia" w:ascii="仿宋_GB2312" w:eastAsia="仿宋_GB2312"/>
          <w:color w:val="auto"/>
          <w:sz w:val="24"/>
          <w:lang w:val="zh-CN"/>
        </w:rPr>
        <w:t>因乙方问题造成就餐人食物中毒。</w:t>
      </w:r>
    </w:p>
    <w:p w14:paraId="408A4CE7">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en-US" w:eastAsia="zh-CN"/>
        </w:rPr>
        <w:t>2-2</w:t>
      </w:r>
      <w:r>
        <w:rPr>
          <w:rFonts w:hint="eastAsia" w:ascii="仿宋_GB2312" w:eastAsia="仿宋_GB2312"/>
          <w:color w:val="auto"/>
          <w:sz w:val="24"/>
          <w:lang w:val="zh-CN"/>
        </w:rPr>
        <w:t>因乙方原因使甲方受到食品安全部门处罚。</w:t>
      </w:r>
    </w:p>
    <w:p w14:paraId="2567EBB7">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en-US" w:eastAsia="zh-CN"/>
        </w:rPr>
        <w:t>3</w:t>
      </w:r>
      <w:r>
        <w:rPr>
          <w:rFonts w:hint="eastAsia" w:ascii="仿宋_GB2312" w:eastAsia="仿宋_GB2312"/>
          <w:color w:val="auto"/>
          <w:sz w:val="24"/>
          <w:lang w:val="zh-CN"/>
        </w:rPr>
        <w:t>、乙方对甲方提出的问题应及时整改，如有拖延或不服管理，每出现一次乙方应向甲方支付合同总费用万分之一的违约金，情况严重，整改后仍不符合甲方要求时甲方可单方解除合同，并赔偿因此给甲方造成的损失。</w:t>
      </w:r>
    </w:p>
    <w:p w14:paraId="54C32EB7">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en-US" w:eastAsia="zh-CN"/>
        </w:rPr>
        <w:t>4</w:t>
      </w:r>
      <w:r>
        <w:rPr>
          <w:rFonts w:hint="eastAsia" w:ascii="仿宋_GB2312" w:eastAsia="仿宋_GB2312"/>
          <w:color w:val="auto"/>
          <w:sz w:val="24"/>
          <w:lang w:val="zh-CN"/>
        </w:rPr>
        <w:t>、违约终止合同：未按合同要求提供</w:t>
      </w:r>
      <w:r>
        <w:rPr>
          <w:rFonts w:hint="eastAsia" w:ascii="仿宋_GB2312" w:eastAsia="仿宋_GB2312"/>
          <w:color w:val="auto"/>
          <w:sz w:val="24"/>
          <w:lang w:val="en-US" w:eastAsia="zh-CN"/>
        </w:rPr>
        <w:t>服务</w:t>
      </w:r>
      <w:r>
        <w:rPr>
          <w:rFonts w:hint="eastAsia" w:ascii="仿宋_GB2312" w:eastAsia="仿宋_GB2312"/>
          <w:color w:val="auto"/>
          <w:sz w:val="24"/>
          <w:lang w:val="zh-CN"/>
        </w:rPr>
        <w:t>或质量不能满足技术要求，甲方会同监督机构有权终止合同，对乙方违约行为进行追究，同时按政府采购法的有关规定进行相应的处罚。</w:t>
      </w:r>
    </w:p>
    <w:p w14:paraId="1115DBC7">
      <w:pPr>
        <w:adjustRightInd w:val="0"/>
        <w:snapToGrid w:val="0"/>
        <w:spacing w:line="360" w:lineRule="auto"/>
        <w:ind w:firstLine="482" w:firstLineChars="200"/>
        <w:rPr>
          <w:rFonts w:ascii="仿宋_GB2312" w:eastAsia="仿宋_GB2312"/>
          <w:b/>
          <w:color w:val="auto"/>
          <w:sz w:val="24"/>
          <w:lang w:val="zh-CN"/>
        </w:rPr>
      </w:pPr>
      <w:r>
        <w:rPr>
          <w:rFonts w:hint="eastAsia" w:ascii="仿宋_GB2312" w:eastAsia="仿宋_GB2312"/>
          <w:b/>
          <w:color w:val="auto"/>
          <w:sz w:val="24"/>
          <w:lang w:val="zh-CN"/>
        </w:rPr>
        <w:t>十、不可抗力事件处理</w:t>
      </w:r>
    </w:p>
    <w:p w14:paraId="7D4B8E66">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zh-CN"/>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372F8071">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zh-CN"/>
        </w:rPr>
        <w:t>2、本合同中的不可抗力指不能预见、不能避免并不能克服的客观情况。包括但不限于：自然灾害如地震、台风、洪水、火灾；政府行为、法律规定或其适用的变化或者其他任何无法预见、避免或者控制的事件。</w:t>
      </w:r>
    </w:p>
    <w:p w14:paraId="59096416">
      <w:pPr>
        <w:adjustRightInd w:val="0"/>
        <w:snapToGrid w:val="0"/>
        <w:spacing w:line="360" w:lineRule="auto"/>
        <w:ind w:firstLine="482" w:firstLineChars="200"/>
        <w:rPr>
          <w:rFonts w:hint="eastAsia" w:ascii="仿宋_GB2312" w:eastAsia="仿宋_GB2312"/>
          <w:b/>
          <w:color w:val="auto"/>
          <w:sz w:val="24"/>
          <w:lang w:val="zh-CN"/>
        </w:rPr>
      </w:pPr>
      <w:bookmarkStart w:id="10" w:name="_Toc19515393"/>
      <w:r>
        <w:rPr>
          <w:rFonts w:hint="eastAsia" w:ascii="仿宋_GB2312" w:eastAsia="仿宋_GB2312"/>
          <w:b/>
          <w:color w:val="auto"/>
          <w:sz w:val="24"/>
          <w:lang w:val="zh-CN"/>
        </w:rPr>
        <w:t>十一、合同组成</w:t>
      </w:r>
      <w:bookmarkEnd w:id="10"/>
    </w:p>
    <w:p w14:paraId="7968978F">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zh-CN"/>
        </w:rPr>
        <w:t>1、</w:t>
      </w:r>
      <w:r>
        <w:rPr>
          <w:rFonts w:hint="eastAsia" w:ascii="仿宋_GB2312" w:eastAsia="仿宋_GB2312"/>
          <w:color w:val="auto"/>
          <w:sz w:val="24"/>
          <w:lang w:val="en-US" w:eastAsia="zh-CN"/>
        </w:rPr>
        <w:t>成交</w:t>
      </w:r>
      <w:r>
        <w:rPr>
          <w:rFonts w:hint="eastAsia" w:ascii="仿宋_GB2312" w:eastAsia="仿宋_GB2312"/>
          <w:color w:val="auto"/>
          <w:sz w:val="24"/>
          <w:lang w:val="zh-CN"/>
        </w:rPr>
        <w:t>通知书</w:t>
      </w:r>
    </w:p>
    <w:p w14:paraId="16D49179">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zh-CN"/>
        </w:rPr>
        <w:t>2、合同文件</w:t>
      </w:r>
    </w:p>
    <w:p w14:paraId="666506AD">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zh-CN"/>
        </w:rPr>
        <w:t>3、国家相关规范及标准</w:t>
      </w:r>
    </w:p>
    <w:p w14:paraId="250E0BC1">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zh-CN"/>
        </w:rPr>
        <w:t>4、供货产品技术规格及参数表</w:t>
      </w:r>
    </w:p>
    <w:p w14:paraId="07A25285">
      <w:pPr>
        <w:adjustRightInd w:val="0"/>
        <w:snapToGrid w:val="0"/>
        <w:spacing w:line="360" w:lineRule="auto"/>
        <w:ind w:firstLine="480" w:firstLineChars="200"/>
        <w:rPr>
          <w:rFonts w:hint="default" w:ascii="仿宋_GB2312" w:eastAsia="仿宋_GB2312"/>
          <w:color w:val="auto"/>
          <w:sz w:val="24"/>
          <w:lang w:val="en-US" w:eastAsia="zh-CN"/>
        </w:rPr>
      </w:pPr>
      <w:r>
        <w:rPr>
          <w:rFonts w:hint="eastAsia" w:ascii="仿宋_GB2312" w:eastAsia="仿宋_GB2312"/>
          <w:color w:val="auto"/>
          <w:sz w:val="24"/>
          <w:lang w:val="zh-CN"/>
        </w:rPr>
        <w:t>5、</w:t>
      </w:r>
      <w:r>
        <w:rPr>
          <w:rFonts w:hint="eastAsia" w:ascii="仿宋_GB2312" w:eastAsia="仿宋_GB2312"/>
          <w:color w:val="auto"/>
          <w:sz w:val="24"/>
          <w:lang w:val="en-US" w:eastAsia="zh-CN"/>
        </w:rPr>
        <w:t>磋商文件</w:t>
      </w:r>
    </w:p>
    <w:p w14:paraId="10D12BD8">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zh-CN"/>
        </w:rPr>
        <w:t>6、</w:t>
      </w:r>
      <w:r>
        <w:rPr>
          <w:rFonts w:hint="eastAsia" w:ascii="仿宋_GB2312" w:eastAsia="仿宋_GB2312"/>
          <w:color w:val="auto"/>
          <w:sz w:val="24"/>
          <w:lang w:val="en-US" w:eastAsia="zh-CN"/>
        </w:rPr>
        <w:t>响应</w:t>
      </w:r>
      <w:r>
        <w:rPr>
          <w:rFonts w:hint="eastAsia" w:ascii="仿宋_GB2312" w:eastAsia="仿宋_GB2312"/>
          <w:color w:val="auto"/>
          <w:sz w:val="24"/>
          <w:lang w:val="zh-CN"/>
        </w:rPr>
        <w:t>文件</w:t>
      </w:r>
    </w:p>
    <w:p w14:paraId="1F004A85">
      <w:pPr>
        <w:adjustRightInd w:val="0"/>
        <w:snapToGrid w:val="0"/>
        <w:spacing w:line="360" w:lineRule="auto"/>
        <w:ind w:firstLine="482" w:firstLineChars="200"/>
        <w:rPr>
          <w:rFonts w:hint="eastAsia" w:ascii="仿宋_GB2312" w:eastAsia="仿宋_GB2312"/>
          <w:b/>
          <w:color w:val="auto"/>
          <w:sz w:val="24"/>
          <w:lang w:val="zh-CN"/>
        </w:rPr>
      </w:pPr>
      <w:bookmarkStart w:id="11" w:name="_Toc19515394"/>
      <w:r>
        <w:rPr>
          <w:rFonts w:hint="eastAsia" w:ascii="仿宋_GB2312" w:eastAsia="仿宋_GB2312"/>
          <w:b/>
          <w:color w:val="auto"/>
          <w:sz w:val="24"/>
          <w:lang w:val="zh-CN"/>
        </w:rPr>
        <w:t>十二、解决争议的方法</w:t>
      </w:r>
      <w:bookmarkEnd w:id="11"/>
    </w:p>
    <w:p w14:paraId="35DA7B43">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zh-CN"/>
        </w:rPr>
        <w:t>凡因本合同引起的或与本合同有关的争议，双方应友好协商解决。协商不成时，双方均同意采用以下第（  ）种争议解决方式：</w:t>
      </w:r>
    </w:p>
    <w:p w14:paraId="4226A623">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zh-CN"/>
        </w:rPr>
        <w:t>（1）、甲、乙双方均同意向（甲方所在地人民法院）提起诉讼。</w:t>
      </w:r>
    </w:p>
    <w:p w14:paraId="4309913A">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zh-CN"/>
        </w:rPr>
        <w:t>（2）、甲、乙双方均同意向（</w:t>
      </w:r>
      <w:r>
        <w:rPr>
          <w:rFonts w:hint="eastAsia" w:ascii="仿宋_GB2312" w:eastAsia="仿宋_GB2312"/>
          <w:color w:val="auto"/>
          <w:sz w:val="24"/>
          <w:lang w:val="zh-CN"/>
        </w:rPr>
        <w:fldChar w:fldCharType="begin"/>
      </w:r>
      <w:r>
        <w:rPr>
          <w:rFonts w:hint="eastAsia" w:ascii="仿宋_GB2312" w:eastAsia="仿宋_GB2312"/>
          <w:color w:val="auto"/>
          <w:sz w:val="24"/>
          <w:lang w:val="zh-CN"/>
        </w:rPr>
        <w:instrText xml:space="preserve"> HYPERLINK "http://www.baidu.com/s?wd=%E4%BB%B2%E8%A3%81%E5%A7%94%E5%91%98%E4%BC%9A&amp;tn=SE_PcZhidaonwhc_ngpagmjz&amp;rsv_dl=gh_pc_zhidao" \t "_blank" </w:instrText>
      </w:r>
      <w:r>
        <w:rPr>
          <w:rFonts w:hint="eastAsia" w:ascii="仿宋_GB2312" w:eastAsia="仿宋_GB2312"/>
          <w:color w:val="auto"/>
          <w:sz w:val="24"/>
          <w:lang w:val="zh-CN"/>
        </w:rPr>
        <w:fldChar w:fldCharType="separate"/>
      </w:r>
      <w:r>
        <w:rPr>
          <w:rFonts w:hint="eastAsia" w:ascii="仿宋_GB2312" w:eastAsia="仿宋_GB2312"/>
          <w:color w:val="auto"/>
          <w:sz w:val="24"/>
          <w:lang w:val="zh-CN"/>
        </w:rPr>
        <w:t>仲裁委员会</w:t>
      </w:r>
      <w:r>
        <w:rPr>
          <w:rFonts w:hint="eastAsia" w:ascii="仿宋_GB2312" w:eastAsia="仿宋_GB2312"/>
          <w:color w:val="auto"/>
          <w:sz w:val="24"/>
          <w:lang w:val="zh-CN"/>
        </w:rPr>
        <w:fldChar w:fldCharType="end"/>
      </w:r>
      <w:r>
        <w:rPr>
          <w:rFonts w:hint="eastAsia" w:ascii="仿宋_GB2312" w:eastAsia="仿宋_GB2312"/>
          <w:color w:val="auto"/>
          <w:sz w:val="24"/>
          <w:lang w:val="zh-CN"/>
        </w:rPr>
        <w:t>）提起仲裁。</w:t>
      </w:r>
    </w:p>
    <w:p w14:paraId="624E9C8E">
      <w:pPr>
        <w:adjustRightInd w:val="0"/>
        <w:snapToGrid w:val="0"/>
        <w:spacing w:line="360" w:lineRule="auto"/>
        <w:ind w:firstLine="482" w:firstLineChars="200"/>
        <w:rPr>
          <w:rFonts w:hint="eastAsia" w:ascii="仿宋_GB2312" w:eastAsia="仿宋_GB2312"/>
          <w:b/>
          <w:color w:val="auto"/>
          <w:sz w:val="24"/>
          <w:lang w:val="zh-CN"/>
        </w:rPr>
      </w:pPr>
      <w:bookmarkStart w:id="12" w:name="_Toc19515395"/>
      <w:r>
        <w:rPr>
          <w:rFonts w:hint="eastAsia" w:ascii="仿宋_GB2312" w:eastAsia="仿宋_GB2312"/>
          <w:b/>
          <w:color w:val="auto"/>
          <w:sz w:val="24"/>
          <w:lang w:val="zh-CN"/>
        </w:rPr>
        <w:t>十三、合同生效及其它</w:t>
      </w:r>
      <w:bookmarkEnd w:id="12"/>
    </w:p>
    <w:p w14:paraId="1E62AD00">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zh-CN"/>
        </w:rPr>
        <w:t>1、合同未尽事宜、由甲、乙双方协商，作为合同补充，与原合同具有同等法律效力。</w:t>
      </w:r>
    </w:p>
    <w:p w14:paraId="4CAE3006">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zh-CN"/>
        </w:rPr>
        <w:t>2、 本合同一式</w:t>
      </w:r>
      <w:r>
        <w:rPr>
          <w:rFonts w:hint="eastAsia" w:ascii="仿宋_GB2312" w:eastAsia="仿宋_GB2312"/>
          <w:color w:val="auto"/>
          <w:sz w:val="24"/>
          <w:u w:val="single"/>
          <w:lang w:val="zh-CN"/>
        </w:rPr>
        <w:t xml:space="preserve">  </w:t>
      </w:r>
      <w:r>
        <w:rPr>
          <w:rFonts w:hint="eastAsia" w:ascii="仿宋_GB2312" w:eastAsia="仿宋_GB2312"/>
          <w:color w:val="auto"/>
          <w:sz w:val="24"/>
          <w:lang w:val="zh-CN"/>
        </w:rPr>
        <w:t xml:space="preserve">份，甲方、乙方双方分别执 </w:t>
      </w:r>
      <w:r>
        <w:rPr>
          <w:rFonts w:hint="eastAsia" w:ascii="仿宋_GB2312" w:eastAsia="仿宋_GB2312"/>
          <w:color w:val="auto"/>
          <w:sz w:val="24"/>
          <w:u w:val="single"/>
          <w:lang w:val="zh-CN"/>
        </w:rPr>
        <w:t xml:space="preserve">  </w:t>
      </w:r>
      <w:r>
        <w:rPr>
          <w:rFonts w:hint="eastAsia" w:ascii="仿宋_GB2312" w:eastAsia="仿宋_GB2312"/>
          <w:color w:val="auto"/>
          <w:sz w:val="24"/>
          <w:lang w:val="zh-CN"/>
        </w:rPr>
        <w:t>份，</w:t>
      </w:r>
      <w:r>
        <w:rPr>
          <w:rFonts w:hint="eastAsia" w:ascii="仿宋_GB2312" w:eastAsia="仿宋_GB2312"/>
          <w:color w:val="auto"/>
          <w:sz w:val="24"/>
          <w:u w:val="single"/>
          <w:lang w:val="zh-CN"/>
        </w:rPr>
        <w:t xml:space="preserve">   </w:t>
      </w:r>
      <w:r>
        <w:rPr>
          <w:rFonts w:hint="eastAsia" w:ascii="仿宋_GB2312" w:eastAsia="仿宋_GB2312"/>
          <w:color w:val="auto"/>
          <w:sz w:val="24"/>
          <w:lang w:val="zh-CN"/>
        </w:rPr>
        <w:t>备案</w:t>
      </w:r>
      <w:r>
        <w:rPr>
          <w:rFonts w:hint="eastAsia" w:ascii="仿宋_GB2312" w:eastAsia="仿宋_GB2312"/>
          <w:color w:val="auto"/>
          <w:sz w:val="24"/>
          <w:u w:val="single"/>
          <w:lang w:val="zh-CN"/>
        </w:rPr>
        <w:t xml:space="preserve">  </w:t>
      </w:r>
      <w:r>
        <w:rPr>
          <w:rFonts w:hint="eastAsia" w:ascii="仿宋_GB2312" w:eastAsia="仿宋_GB2312"/>
          <w:color w:val="auto"/>
          <w:sz w:val="24"/>
          <w:lang w:val="zh-CN"/>
        </w:rPr>
        <w:t>份。</w:t>
      </w:r>
    </w:p>
    <w:p w14:paraId="2C5C9A33">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zh-CN"/>
        </w:rPr>
        <w:t>3、合同经甲乙双方盖章、签字后生效，合同签订地点为</w:t>
      </w:r>
      <w:r>
        <w:rPr>
          <w:rFonts w:hint="eastAsia" w:ascii="仿宋_GB2312" w:eastAsia="仿宋_GB2312"/>
          <w:color w:val="auto"/>
          <w:sz w:val="24"/>
          <w:u w:val="single"/>
          <w:lang w:val="zh-CN"/>
        </w:rPr>
        <w:t xml:space="preserve">         </w:t>
      </w:r>
      <w:r>
        <w:rPr>
          <w:rFonts w:hint="eastAsia" w:ascii="仿宋_GB2312" w:eastAsia="仿宋_GB2312"/>
          <w:color w:val="auto"/>
          <w:sz w:val="24"/>
          <w:lang w:val="zh-CN"/>
        </w:rPr>
        <w:t>。</w:t>
      </w:r>
    </w:p>
    <w:p w14:paraId="33856154">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zh-CN"/>
        </w:rPr>
        <w:t>4、生效时间：</w:t>
      </w:r>
      <w:r>
        <w:rPr>
          <w:rFonts w:hint="eastAsia" w:ascii="仿宋_GB2312" w:eastAsia="仿宋_GB2312"/>
          <w:color w:val="auto"/>
          <w:sz w:val="24"/>
          <w:u w:val="single"/>
          <w:lang w:val="zh-CN"/>
        </w:rPr>
        <w:t xml:space="preserve">   </w:t>
      </w:r>
      <w:r>
        <w:rPr>
          <w:rFonts w:hint="eastAsia" w:ascii="仿宋_GB2312" w:eastAsia="仿宋_GB2312"/>
          <w:color w:val="auto"/>
          <w:sz w:val="24"/>
          <w:lang w:val="zh-CN"/>
        </w:rPr>
        <w:t>年</w:t>
      </w:r>
      <w:r>
        <w:rPr>
          <w:rFonts w:hint="eastAsia" w:ascii="仿宋_GB2312" w:eastAsia="仿宋_GB2312"/>
          <w:color w:val="auto"/>
          <w:sz w:val="24"/>
          <w:u w:val="single"/>
          <w:lang w:val="zh-CN"/>
        </w:rPr>
        <w:t xml:space="preserve">   </w:t>
      </w:r>
      <w:r>
        <w:rPr>
          <w:rFonts w:hint="eastAsia" w:ascii="仿宋_GB2312" w:eastAsia="仿宋_GB2312"/>
          <w:color w:val="auto"/>
          <w:sz w:val="24"/>
          <w:lang w:val="zh-CN"/>
        </w:rPr>
        <w:t>月</w:t>
      </w:r>
      <w:r>
        <w:rPr>
          <w:rFonts w:hint="eastAsia" w:ascii="仿宋_GB2312" w:eastAsia="仿宋_GB2312"/>
          <w:color w:val="auto"/>
          <w:sz w:val="24"/>
          <w:u w:val="single"/>
          <w:lang w:val="zh-CN"/>
        </w:rPr>
        <w:t xml:space="preserve">   </w:t>
      </w:r>
      <w:r>
        <w:rPr>
          <w:rFonts w:hint="eastAsia" w:ascii="仿宋_GB2312" w:eastAsia="仿宋_GB2312"/>
          <w:color w:val="auto"/>
          <w:sz w:val="24"/>
          <w:lang w:val="zh-CN"/>
        </w:rPr>
        <w:t>日</w:t>
      </w:r>
    </w:p>
    <w:p w14:paraId="55B71E15">
      <w:pPr>
        <w:adjustRightInd w:val="0"/>
        <w:snapToGrid w:val="0"/>
        <w:spacing w:line="360" w:lineRule="auto"/>
        <w:ind w:firstLine="480" w:firstLineChars="200"/>
        <w:rPr>
          <w:rFonts w:hint="eastAsia" w:ascii="仿宋_GB2312" w:eastAsia="仿宋_GB2312"/>
          <w:color w:val="auto"/>
          <w:sz w:val="24"/>
          <w:lang w:val="zh-CN"/>
        </w:rPr>
      </w:pPr>
    </w:p>
    <w:tbl>
      <w:tblPr>
        <w:tblStyle w:val="3"/>
        <w:tblW w:w="0" w:type="auto"/>
        <w:jc w:val="center"/>
        <w:tblLayout w:type="fixed"/>
        <w:tblCellMar>
          <w:top w:w="0" w:type="dxa"/>
          <w:left w:w="108" w:type="dxa"/>
          <w:bottom w:w="0" w:type="dxa"/>
          <w:right w:w="108" w:type="dxa"/>
        </w:tblCellMar>
      </w:tblPr>
      <w:tblGrid>
        <w:gridCol w:w="4643"/>
        <w:gridCol w:w="4643"/>
      </w:tblGrid>
      <w:tr w14:paraId="560EB81A">
        <w:tblPrEx>
          <w:tblCellMar>
            <w:top w:w="0" w:type="dxa"/>
            <w:left w:w="108" w:type="dxa"/>
            <w:bottom w:w="0" w:type="dxa"/>
            <w:right w:w="108" w:type="dxa"/>
          </w:tblCellMar>
        </w:tblPrEx>
        <w:trPr>
          <w:jc w:val="center"/>
        </w:trPr>
        <w:tc>
          <w:tcPr>
            <w:tcW w:w="4643" w:type="dxa"/>
            <w:noWrap w:val="0"/>
            <w:vAlign w:val="top"/>
          </w:tcPr>
          <w:p w14:paraId="6D46B89A">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zh-CN"/>
              </w:rPr>
              <w:t>甲方名称（盖章）:</w:t>
            </w:r>
          </w:p>
          <w:p w14:paraId="63953DA9">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zh-CN"/>
              </w:rPr>
              <w:t>地址：</w:t>
            </w:r>
          </w:p>
          <w:p w14:paraId="50D91B8E">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zh-CN"/>
              </w:rPr>
              <w:t>代表人（签字）：</w:t>
            </w:r>
          </w:p>
          <w:p w14:paraId="58B25B8B">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zh-CN"/>
              </w:rPr>
              <w:t>电话：</w:t>
            </w:r>
          </w:p>
          <w:p w14:paraId="5ECAF9F0">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zh-CN"/>
              </w:rPr>
              <w:t>开户银行：</w:t>
            </w:r>
          </w:p>
          <w:p w14:paraId="24CE3131">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en-US" w:eastAsia="zh-CN"/>
              </w:rPr>
              <w:t>账</w:t>
            </w:r>
            <w:r>
              <w:rPr>
                <w:rFonts w:hint="eastAsia" w:ascii="仿宋_GB2312" w:eastAsia="仿宋_GB2312"/>
                <w:color w:val="auto"/>
                <w:sz w:val="24"/>
                <w:lang w:val="zh-CN"/>
              </w:rPr>
              <w:t>号：</w:t>
            </w:r>
          </w:p>
        </w:tc>
        <w:tc>
          <w:tcPr>
            <w:tcW w:w="4643" w:type="dxa"/>
            <w:noWrap w:val="0"/>
            <w:vAlign w:val="top"/>
          </w:tcPr>
          <w:p w14:paraId="49942696">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zh-CN"/>
              </w:rPr>
              <w:t>乙方名称（盖章）:</w:t>
            </w:r>
          </w:p>
          <w:p w14:paraId="6D7BC13C">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zh-CN"/>
              </w:rPr>
              <w:t>地址：</w:t>
            </w:r>
          </w:p>
          <w:p w14:paraId="294CFB99">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zh-CN"/>
              </w:rPr>
              <w:t>代表人（签字）：</w:t>
            </w:r>
          </w:p>
          <w:p w14:paraId="22B8015A">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zh-CN"/>
              </w:rPr>
              <w:t>电话：</w:t>
            </w:r>
          </w:p>
          <w:p w14:paraId="09BFAECE">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zh-CN"/>
              </w:rPr>
              <w:t>开户银行：</w:t>
            </w:r>
          </w:p>
          <w:p w14:paraId="4CB1DAD7">
            <w:pPr>
              <w:adjustRightInd w:val="0"/>
              <w:snapToGrid w:val="0"/>
              <w:spacing w:line="360" w:lineRule="auto"/>
              <w:ind w:firstLine="480" w:firstLineChars="200"/>
              <w:rPr>
                <w:rFonts w:hint="eastAsia" w:ascii="仿宋_GB2312" w:eastAsia="仿宋_GB2312"/>
                <w:color w:val="auto"/>
                <w:sz w:val="24"/>
                <w:lang w:val="zh-CN"/>
              </w:rPr>
            </w:pPr>
            <w:r>
              <w:rPr>
                <w:rFonts w:hint="eastAsia" w:ascii="仿宋_GB2312" w:eastAsia="仿宋_GB2312"/>
                <w:color w:val="auto"/>
                <w:sz w:val="24"/>
                <w:lang w:val="en-US" w:eastAsia="zh-CN"/>
              </w:rPr>
              <w:t>账</w:t>
            </w:r>
            <w:r>
              <w:rPr>
                <w:rFonts w:hint="eastAsia" w:ascii="仿宋_GB2312" w:eastAsia="仿宋_GB2312"/>
                <w:color w:val="auto"/>
                <w:sz w:val="24"/>
                <w:lang w:val="zh-CN"/>
              </w:rPr>
              <w:t>号：</w:t>
            </w:r>
          </w:p>
        </w:tc>
      </w:tr>
    </w:tbl>
    <w:p w14:paraId="7205E1BC">
      <w:pPr>
        <w:pStyle w:val="2"/>
        <w:tabs>
          <w:tab w:val="clear" w:pos="567"/>
        </w:tabs>
        <w:spacing w:before="0" w:line="360" w:lineRule="auto"/>
        <w:ind w:firstLine="540" w:firstLineChars="225"/>
        <w:rPr>
          <w:rFonts w:hint="eastAsia" w:ascii="仿宋" w:eastAsia="仿宋"/>
          <w:color w:val="auto"/>
        </w:rPr>
      </w:pPr>
    </w:p>
    <w:p w14:paraId="17BDDD98">
      <w:pPr>
        <w:pStyle w:val="5"/>
        <w:rPr>
          <w:rFonts w:hint="eastAsia"/>
          <w:lang w:val="en-US" w:eastAsia="zh-Hans"/>
        </w:rPr>
      </w:pPr>
    </w:p>
    <w:p w14:paraId="15E30C5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6E5E94"/>
    <w:rsid w:val="606819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tabs>
        <w:tab w:val="left" w:pos="567"/>
      </w:tabs>
      <w:spacing w:before="120" w:line="22" w:lineRule="atLeast"/>
    </w:pPr>
    <w:rPr>
      <w:rFonts w:ascii="宋体" w:hAnsi="宋体"/>
      <w:sz w:val="24"/>
    </w:rPr>
  </w:style>
  <w:style w:type="paragraph" w:customStyle="1" w:styleId="5">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4</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2026-02-12T06:17:59Z</dcterms:created>
  <dc:creator>Lenovo</dc:creator>
  <cp:lastModifiedBy>钟声</cp:lastModifiedBy>
  <dcterms:modified xsi:type="dcterms:W3CDTF">2026-02-12T06:23:22Z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eyJoZGlkIjoiOTJmM2Y3YjgzNWU3ZDc3NGZmYWVkNzQyNTc3YTk1YjQiLCJ1c2VySWQiOiI2Nzc2MzQ0MTQifQ==</vt:lpwstr>
  </property>
  <property fmtid="{D5CDD505-2E9C-101B-9397-08002B2CF9AE}" pid="4" name="ICV">
    <vt:lpwstr>DA0C52A6297C4E40B5B6B425A6944CB7_12</vt:lpwstr>
  </property>
</Properties>
</file>