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版本号：ZCZX2026-ZB-016（S）20260309001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曲江新区政务服务中心物业服务项目(二次)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ZCZX2026-ZB-016（S）</w:t>
      </w:r>
      <w:r>
        <w:br/>
      </w:r>
      <w:r>
        <w:br/>
      </w:r>
      <w:r>
        <w:br/>
      </w:r>
    </w:p>
    <w:p>
      <w:pPr>
        <w:pStyle w:val="null3"/>
        <w:jc w:val="center"/>
        <w:outlineLvl w:val="2"/>
      </w:pPr>
      <w:r>
        <w:rPr>
          <w:rFonts w:ascii="仿宋_GB2312" w:hAnsi="仿宋_GB2312" w:cs="仿宋_GB2312" w:eastAsia="仿宋_GB2312"/>
          <w:sz w:val="28"/>
          <w:b/>
        </w:rPr>
        <w:t>西安曲江新区事业资产管理中心</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西安曲江新区事业资产管理中心</w:t>
      </w:r>
      <w:r>
        <w:rPr>
          <w:rFonts w:ascii="仿宋_GB2312" w:hAnsi="仿宋_GB2312" w:cs="仿宋_GB2312" w:eastAsia="仿宋_GB2312"/>
        </w:rPr>
        <w:t>委托，拟对</w:t>
      </w:r>
      <w:r>
        <w:rPr>
          <w:rFonts w:ascii="仿宋_GB2312" w:hAnsi="仿宋_GB2312" w:cs="仿宋_GB2312" w:eastAsia="仿宋_GB2312"/>
        </w:rPr>
        <w:t>曲江新区政务服务中心物业服务项目(二次)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ZCZX2026-ZB-016（S）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曲江新区政务服务中心物业服务项目(二次)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曲江新区政务服务中心物业服务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采购包1（曲江新区政务服务中心物业服务项目）：属于专门面向中小企业采购。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书及授权代表本单位证明：投标人应授权合法的人员参加投标全过程，法定代表人（或负责人）委托代理人参加投标时，应提供法定代表人委托授权书及被授权人的参保缴费证明（须赋可查询的验证编号或验证二维码）；法定代表人（或负责人）亲自参加投标时，应提供法定代表人（或负责人）身份证，并与营业执照上信息一致。</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西安曲江新区事业资产管理中心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西安市雁塔区杜陵邑南路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029-81201065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高蕊玲 吴芳超 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西安曲江新区政府采购管理股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采购包1：7,720,500.00元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和改革委员会办公厅关于招标代理服务收费有关问题的通知》（发改办价格〔2003〕857号）规定向中标（成交）供应商收取代理服务费。 2、成交单位的代理服务费交纳信息 银行户名：陕西众诚致信管理咨询有限公司 开户银行：北京银行股份有限公司西安分行营业部 账 号：20000042729000032633420 联系人：李薇 联系电话：029-89565528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西安曲江新区事业资产管理中心</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西安曲江新区事业资产管理中心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西安曲江新区事业资产管理中心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联系人：高蕊玲 吴芳超 孟凌</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曲江新区政务服务中心物业服务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7,720,500.00</w:t>
      </w:r>
    </w:p>
    <w:p>
      <w:pPr>
        <w:pStyle w:val="null3"/>
      </w:pPr>
      <w:r>
        <w:rPr>
          <w:rFonts w:ascii="仿宋_GB2312" w:hAnsi="仿宋_GB2312" w:cs="仿宋_GB2312" w:eastAsia="仿宋_GB2312"/>
        </w:rPr>
        <w:t>采购包最高限价（元）: 7,720,500.00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为曲江新区政务服务中心履行政府职能提供物业服务保障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7,720,500.00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标的名称：为曲江新区政务服务中心履行政府职能提供物业服务保障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left"/>
            </w:pPr>
            <w:r>
              <w:rPr>
                <w:rFonts w:ascii="仿宋_GB2312" w:hAnsi="仿宋_GB2312" w:cs="仿宋_GB2312" w:eastAsia="仿宋_GB2312"/>
                <w:sz w:val="20"/>
                <w:b/>
              </w:rPr>
              <w:t>1</w:t>
            </w:r>
            <w:r>
              <w:rPr>
                <w:rFonts w:ascii="仿宋_GB2312" w:hAnsi="仿宋_GB2312" w:cs="仿宋_GB2312" w:eastAsia="仿宋_GB2312"/>
                <w:sz w:val="20"/>
                <w:b/>
              </w:rPr>
              <w:t>.</w:t>
            </w:r>
            <w:r>
              <w:rPr>
                <w:rFonts w:ascii="仿宋_GB2312" w:hAnsi="仿宋_GB2312" w:cs="仿宋_GB2312" w:eastAsia="仿宋_GB2312"/>
                <w:sz w:val="20"/>
                <w:b/>
              </w:rPr>
              <w:t>项目基本情况</w:t>
            </w:r>
          </w:p>
          <w:tbl>
            <w:tblPr>
              <w:tblInd w:type="dxa" w:w="135"/>
              <w:tblBorders>
                <w:top w:val="none" w:color="000000" w:sz="4"/>
                <w:left w:val="none" w:color="000000" w:sz="4"/>
                <w:bottom w:val="none" w:color="000000" w:sz="4"/>
                <w:right w:val="none" w:color="000000" w:sz="4"/>
                <w:insideH w:val="none"/>
                <w:insideV w:val="none"/>
              </w:tblBorders>
            </w:tblPr>
            <w:tblGrid>
              <w:gridCol w:w="1243"/>
              <w:gridCol w:w="1174"/>
            </w:tblGrid>
            <w:tr>
              <w:tc>
                <w:tcPr>
                  <w:tcW w:type="dxa" w:w="1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物业名称</w:t>
                  </w:r>
                </w:p>
              </w:tc>
              <w:tc>
                <w:tcPr>
                  <w:tcW w:type="dxa" w:w="1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物业地址</w:t>
                  </w:r>
                </w:p>
              </w:tc>
            </w:tr>
            <w:tr>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曲江新区政务服务中心</w:t>
                  </w: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西安市曲江新区</w:t>
                  </w:r>
                  <w:r>
                    <w:rPr>
                      <w:rFonts w:ascii="仿宋_GB2312" w:hAnsi="仿宋_GB2312" w:cs="仿宋_GB2312" w:eastAsia="仿宋_GB2312"/>
                      <w:sz w:val="20"/>
                    </w:rPr>
                    <w:t>雁翔路</w:t>
                  </w:r>
                  <w:r>
                    <w:rPr>
                      <w:rFonts w:ascii="仿宋_GB2312" w:hAnsi="仿宋_GB2312" w:cs="仿宋_GB2312" w:eastAsia="仿宋_GB2312"/>
                      <w:sz w:val="20"/>
                    </w:rPr>
                    <w:t>2600号</w:t>
                  </w:r>
                </w:p>
              </w:tc>
            </w:tr>
          </w:tbl>
          <w:p>
            <w:pPr>
              <w:pStyle w:val="null3"/>
              <w:jc w:val="both"/>
              <w:outlineLvl w:val="2"/>
            </w:pPr>
            <w:r>
              <w:rPr>
                <w:rFonts w:ascii="仿宋_GB2312" w:hAnsi="仿宋_GB2312" w:cs="仿宋_GB2312" w:eastAsia="仿宋_GB2312"/>
                <w:sz w:val="20"/>
                <w:b/>
              </w:rPr>
              <w:t>1.1物业</w:t>
            </w:r>
            <w:r>
              <w:rPr>
                <w:rFonts w:ascii="仿宋_GB2312" w:hAnsi="仿宋_GB2312" w:cs="仿宋_GB2312" w:eastAsia="仿宋_GB2312"/>
                <w:sz w:val="20"/>
                <w:b/>
              </w:rPr>
              <w:t>情况</w:t>
            </w:r>
          </w:p>
          <w:p>
            <w:pPr>
              <w:pStyle w:val="null3"/>
              <w:ind w:firstLine="400"/>
              <w:jc w:val="both"/>
            </w:pPr>
            <w:r>
              <w:rPr>
                <w:rFonts w:ascii="仿宋_GB2312" w:hAnsi="仿宋_GB2312" w:cs="仿宋_GB2312" w:eastAsia="仿宋_GB2312"/>
                <w:sz w:val="20"/>
                <w:color w:val="000000"/>
              </w:rPr>
              <w:t>西安曲江新区政务服务中心是用以履行政府职能、展示曲江形象的窗口，位于雁翔路</w:t>
            </w:r>
            <w:r>
              <w:rPr>
                <w:rFonts w:ascii="仿宋_GB2312" w:hAnsi="仿宋_GB2312" w:cs="仿宋_GB2312" w:eastAsia="仿宋_GB2312"/>
                <w:sz w:val="20"/>
                <w:color w:val="000000"/>
              </w:rPr>
              <w:t>2600号，</w:t>
            </w:r>
            <w:r>
              <w:rPr>
                <w:rFonts w:ascii="仿宋_GB2312" w:hAnsi="仿宋_GB2312" w:cs="仿宋_GB2312" w:eastAsia="仿宋_GB2312"/>
                <w:sz w:val="20"/>
                <w:color w:val="000000"/>
              </w:rPr>
              <w:t>建筑设计为地下两层、地上九层，由三个主要建筑体构成，总建筑面积</w:t>
            </w:r>
            <w:r>
              <w:rPr>
                <w:rFonts w:ascii="仿宋_GB2312" w:hAnsi="仿宋_GB2312" w:cs="仿宋_GB2312" w:eastAsia="仿宋_GB2312"/>
                <w:sz w:val="20"/>
                <w:color w:val="000000"/>
              </w:rPr>
              <w:t>65437.65平方米。</w:t>
            </w:r>
            <w:r>
              <w:rPr>
                <w:rFonts w:ascii="仿宋_GB2312" w:hAnsi="仿宋_GB2312" w:cs="仿宋_GB2312" w:eastAsia="仿宋_GB2312"/>
                <w:sz w:val="20"/>
                <w:color w:val="000000"/>
              </w:rPr>
              <w:t>采购需求的物业费收费面积</w:t>
            </w:r>
            <w:r>
              <w:rPr>
                <w:rFonts w:ascii="仿宋_GB2312" w:hAnsi="仿宋_GB2312" w:cs="仿宋_GB2312" w:eastAsia="仿宋_GB2312"/>
                <w:sz w:val="20"/>
                <w:color w:val="000000"/>
              </w:rPr>
              <w:t>36764.74</w:t>
            </w:r>
            <w:r>
              <w:rPr>
                <w:rFonts w:ascii="仿宋_GB2312" w:hAnsi="仿宋_GB2312" w:cs="仿宋_GB2312" w:eastAsia="仿宋_GB2312"/>
                <w:sz w:val="20"/>
                <w:color w:val="000000"/>
              </w:rPr>
              <w:t>平方米</w:t>
            </w:r>
            <w:r>
              <w:rPr>
                <w:rFonts w:ascii="仿宋_GB2312" w:hAnsi="仿宋_GB2312" w:cs="仿宋_GB2312" w:eastAsia="仿宋_GB2312"/>
                <w:sz w:val="20"/>
                <w:color w:val="000000"/>
              </w:rPr>
              <w:t>。</w:t>
            </w:r>
          </w:p>
          <w:p>
            <w:pPr>
              <w:pStyle w:val="null3"/>
              <w:jc w:val="both"/>
              <w:outlineLvl w:val="1"/>
            </w:pPr>
            <w:r>
              <w:rPr>
                <w:rFonts w:ascii="仿宋_GB2312" w:hAnsi="仿宋_GB2312" w:cs="仿宋_GB2312" w:eastAsia="仿宋_GB2312"/>
                <w:sz w:val="20"/>
                <w:b/>
              </w:rPr>
              <w:t>2.物业服务范围</w:t>
            </w:r>
          </w:p>
          <w:p>
            <w:pPr>
              <w:pStyle w:val="null3"/>
              <w:jc w:val="both"/>
              <w:outlineLvl w:val="2"/>
            </w:pPr>
            <w:r>
              <w:rPr>
                <w:rFonts w:ascii="仿宋_GB2312" w:hAnsi="仿宋_GB2312" w:cs="仿宋_GB2312" w:eastAsia="仿宋_GB2312"/>
                <w:sz w:val="20"/>
                <w:b/>
              </w:rPr>
              <w:t>（</w:t>
            </w:r>
            <w:r>
              <w:rPr>
                <w:rFonts w:ascii="仿宋_GB2312" w:hAnsi="仿宋_GB2312" w:cs="仿宋_GB2312" w:eastAsia="仿宋_GB2312"/>
                <w:sz w:val="20"/>
                <w:b/>
              </w:rPr>
              <w:t>1）物业管理（建筑物）</w:t>
            </w:r>
          </w:p>
          <w:p>
            <w:pPr>
              <w:pStyle w:val="null3"/>
              <w:ind w:firstLine="400"/>
              <w:jc w:val="both"/>
            </w:pPr>
            <w:r>
              <w:rPr>
                <w:rFonts w:ascii="仿宋_GB2312" w:hAnsi="仿宋_GB2312" w:cs="仿宋_GB2312" w:eastAsia="仿宋_GB2312"/>
                <w:sz w:val="20"/>
                <w:color w:val="000000"/>
              </w:rPr>
              <w:t>西安曲江新区政务服务中心是用以履行政府职能、展示曲江形象的窗口，位于雁翔路</w:t>
            </w:r>
            <w:r>
              <w:rPr>
                <w:rFonts w:ascii="仿宋_GB2312" w:hAnsi="仿宋_GB2312" w:cs="仿宋_GB2312" w:eastAsia="仿宋_GB2312"/>
                <w:sz w:val="20"/>
                <w:color w:val="000000"/>
              </w:rPr>
              <w:t>2600号，建筑设计为地下两层、地上九层，由三个主要建筑体构成，总建筑面积65437.65平方米。采购需求的物业费收费面积36764.74平方米。</w:t>
            </w:r>
          </w:p>
          <w:p>
            <w:pPr>
              <w:pStyle w:val="null3"/>
              <w:numPr>
                <w:ilvl w:val="0"/>
                <w:numId w:val="1"/>
              </w:numPr>
              <w:jc w:val="both"/>
            </w:pPr>
            <w:r>
              <w:rPr>
                <w:rFonts w:ascii="仿宋_GB2312" w:hAnsi="仿宋_GB2312" w:cs="仿宋_GB2312" w:eastAsia="仿宋_GB2312"/>
                <w:sz w:val="20"/>
                <w:b/>
              </w:rPr>
              <w:t>物业管理（室外）</w:t>
            </w:r>
          </w:p>
          <w:p>
            <w:pPr>
              <w:pStyle w:val="null3"/>
              <w:ind w:firstLine="400"/>
              <w:jc w:val="both"/>
            </w:pPr>
            <w:r>
              <w:rPr>
                <w:rFonts w:ascii="仿宋_GB2312" w:hAnsi="仿宋_GB2312" w:cs="仿宋_GB2312" w:eastAsia="仿宋_GB2312"/>
                <w:sz w:val="20"/>
              </w:rPr>
              <w:t>室外面积</w:t>
            </w:r>
            <w:r>
              <w:rPr>
                <w:rFonts w:ascii="仿宋_GB2312" w:hAnsi="仿宋_GB2312" w:cs="仿宋_GB2312" w:eastAsia="仿宋_GB2312"/>
                <w:sz w:val="20"/>
              </w:rPr>
              <w:t>11985.98平米、绿化6300平米、广场7119.51平米、路灯50个、草坪灯58个。</w:t>
            </w:r>
          </w:p>
          <w:p>
            <w:pPr>
              <w:pStyle w:val="null3"/>
              <w:jc w:val="both"/>
              <w:outlineLvl w:val="1"/>
            </w:pPr>
            <w:r>
              <w:rPr>
                <w:rFonts w:ascii="仿宋_GB2312" w:hAnsi="仿宋_GB2312" w:cs="仿宋_GB2312" w:eastAsia="仿宋_GB2312"/>
                <w:sz w:val="20"/>
                <w:b/>
              </w:rPr>
              <w:t>3.物业管理服务内容及标准</w:t>
            </w:r>
          </w:p>
          <w:p>
            <w:pPr>
              <w:pStyle w:val="null3"/>
              <w:ind w:firstLine="400"/>
              <w:jc w:val="both"/>
            </w:pPr>
            <w:r>
              <w:rPr>
                <w:rFonts w:ascii="仿宋_GB2312" w:hAnsi="仿宋_GB2312" w:cs="仿宋_GB2312" w:eastAsia="仿宋_GB2312"/>
                <w:sz w:val="20"/>
              </w:rPr>
              <w:t>物业管理服务</w:t>
            </w:r>
            <w:r>
              <w:rPr>
                <w:rFonts w:ascii="仿宋_GB2312" w:hAnsi="仿宋_GB2312" w:cs="仿宋_GB2312" w:eastAsia="仿宋_GB2312"/>
                <w:sz w:val="20"/>
              </w:rPr>
              <w:t>包括房屋建筑的日常巡查养护服务、给、排水系统日常运行维护服务、供电系统日常运行维护服务、会议设备日常维护服务、空调系统运行日常维护服务、电梯设备的运行日常维护服务、公共部位设施设备日常维护服务、大厅及楼层公共区域卫生保洁服务、绿植花卉及室外树木绿化养护服务、公共秩序日常维护服务、消防系统运行日常维护服务、监控日常运行维护服务、车场车辆停放秩序维护服务、外墙清洗等特约服务，水、电、燃气能耗费用托收代缴服务等。</w:t>
            </w:r>
          </w:p>
          <w:p>
            <w:pPr>
              <w:pStyle w:val="null3"/>
              <w:jc w:val="center"/>
              <w:outlineLvl w:val="2"/>
            </w:pPr>
            <w:r>
              <w:rPr>
                <w:rFonts w:ascii="仿宋_GB2312" w:hAnsi="仿宋_GB2312" w:cs="仿宋_GB2312" w:eastAsia="仿宋_GB2312"/>
                <w:sz w:val="20"/>
                <w:b/>
              </w:rPr>
              <w:t>3.</w:t>
            </w:r>
            <w:r>
              <w:rPr>
                <w:rFonts w:ascii="仿宋_GB2312" w:hAnsi="仿宋_GB2312" w:cs="仿宋_GB2312" w:eastAsia="仿宋_GB2312"/>
                <w:sz w:val="20"/>
                <w:b/>
              </w:rPr>
              <w:t>1基本服务</w:t>
            </w:r>
          </w:p>
          <w:tbl>
            <w:tblPr>
              <w:tblInd w:type="dxa" w:w="120"/>
              <w:tblBorders>
                <w:top w:val="none" w:color="000000" w:sz="4"/>
                <w:left w:val="none" w:color="000000" w:sz="4"/>
                <w:bottom w:val="none" w:color="000000" w:sz="4"/>
                <w:right w:val="none" w:color="000000" w:sz="4"/>
                <w:insideH w:val="none"/>
                <w:insideV w:val="none"/>
              </w:tblBorders>
            </w:tblPr>
            <w:tblGrid>
              <w:gridCol w:w="212"/>
              <w:gridCol w:w="457"/>
              <w:gridCol w:w="1881"/>
            </w:tblGrid>
            <w:tr>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服务内容</w:t>
                  </w:r>
                </w:p>
              </w:tc>
              <w:tc>
                <w:tcPr>
                  <w:tcW w:type="dxa" w:w="1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服务标准</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目标与责任</w:t>
                  </w: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1）结合采购人要求及物业服务实际情况，制定年度管理目标，明确责任分工，并制定配套实施方案。</w:t>
                  </w:r>
                </w:p>
              </w:tc>
            </w:tr>
            <w:tr>
              <w:tc>
                <w:tcPr>
                  <w:tcW w:type="dxa" w:w="2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服务人员要求</w:t>
                  </w: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1）每季度至少开展1次岗位技能、职业素质、服务知识、客户文化、绿色节能环保等教育培训，并进行适当形式的考核。</w:t>
                  </w:r>
                </w:p>
              </w:tc>
            </w:tr>
            <w:tr>
              <w:tc>
                <w:tcPr>
                  <w:tcW w:type="dxa" w:w="212"/>
                  <w:vMerge/>
                  <w:tcBorders>
                    <w:top w:val="none" w:color="000000" w:sz="4"/>
                    <w:left w:val="single" w:color="000000" w:sz="4"/>
                    <w:bottom w:val="single" w:color="000000" w:sz="4"/>
                    <w:right w:val="single" w:color="000000" w:sz="4"/>
                  </w:tcBorders>
                </w:tcPr>
                <w:p/>
              </w:tc>
              <w:tc>
                <w:tcPr>
                  <w:tcW w:type="dxa" w:w="457"/>
                  <w:vMerge/>
                  <w:tcBorders>
                    <w:top w:val="none" w:color="000000" w:sz="4"/>
                    <w:left w:val="single" w:color="000000" w:sz="4"/>
                    <w:bottom w:val="single" w:color="000000" w:sz="4"/>
                    <w:right w:val="single" w:color="000000" w:sz="4"/>
                  </w:tcBorders>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2）根据采购人要求对服务人员进行从业资格审查，审查结果向采购人报备。</w:t>
                  </w:r>
                </w:p>
              </w:tc>
            </w:tr>
            <w:tr>
              <w:tc>
                <w:tcPr>
                  <w:tcW w:type="dxa" w:w="212"/>
                  <w:vMerge/>
                  <w:tcBorders>
                    <w:top w:val="none" w:color="000000" w:sz="4"/>
                    <w:left w:val="single" w:color="000000" w:sz="4"/>
                    <w:bottom w:val="single" w:color="000000" w:sz="4"/>
                    <w:right w:val="single" w:color="000000" w:sz="4"/>
                  </w:tcBorders>
                </w:tcPr>
                <w:p/>
              </w:tc>
              <w:tc>
                <w:tcPr>
                  <w:tcW w:type="dxa" w:w="457"/>
                  <w:vMerge/>
                  <w:tcBorders>
                    <w:top w:val="none" w:color="000000" w:sz="4"/>
                    <w:left w:val="single" w:color="000000" w:sz="4"/>
                    <w:bottom w:val="single" w:color="000000" w:sz="4"/>
                    <w:right w:val="single" w:color="000000" w:sz="4"/>
                  </w:tcBorders>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服务人员的年龄、学历、工作经验及资格条件应当与所在岗位能力要求相匹配，到岗前应当经过必要的岗前培训以达到岗位能力要求，国家、行业规定应当取得职业资格证书或特种作业证书的，应当按规定持证上岗。</w:t>
                  </w:r>
                </w:p>
              </w:tc>
            </w:tr>
            <w:tr>
              <w:tc>
                <w:tcPr>
                  <w:tcW w:type="dxa" w:w="212"/>
                  <w:vMerge/>
                  <w:tcBorders>
                    <w:top w:val="none" w:color="000000" w:sz="4"/>
                    <w:left w:val="single" w:color="000000" w:sz="4"/>
                    <w:bottom w:val="single" w:color="000000" w:sz="4"/>
                    <w:right w:val="single" w:color="000000" w:sz="4"/>
                  </w:tcBorders>
                </w:tcPr>
                <w:p/>
              </w:tc>
              <w:tc>
                <w:tcPr>
                  <w:tcW w:type="dxa" w:w="457"/>
                  <w:vMerge/>
                  <w:tcBorders>
                    <w:top w:val="none" w:color="000000" w:sz="4"/>
                    <w:left w:val="single" w:color="000000" w:sz="4"/>
                    <w:bottom w:val="single" w:color="000000" w:sz="4"/>
                    <w:right w:val="single" w:color="000000" w:sz="4"/>
                  </w:tcBorders>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如采购人认为服务人员不适应岗位要求或存在其他影响工作的，可要求供应商进行调换。如因供应商原因对服务人员进行调换，应当经采购人同意，更换比例不得超过本项目服务人员总数的</w:t>
                  </w:r>
                  <w:r>
                    <w:rPr>
                      <w:rFonts w:ascii="仿宋_GB2312" w:hAnsi="仿宋_GB2312" w:cs="仿宋_GB2312" w:eastAsia="仿宋_GB2312"/>
                      <w:sz w:val="20"/>
                    </w:rPr>
                    <w:t>20%。本项目服务人员不得在其他项目兼职。</w:t>
                  </w:r>
                </w:p>
              </w:tc>
            </w:tr>
            <w:tr>
              <w:tc>
                <w:tcPr>
                  <w:tcW w:type="dxa" w:w="212"/>
                  <w:vMerge/>
                  <w:tcBorders>
                    <w:top w:val="none" w:color="000000" w:sz="4"/>
                    <w:left w:val="single" w:color="000000" w:sz="4"/>
                    <w:bottom w:val="single" w:color="000000" w:sz="4"/>
                    <w:right w:val="single" w:color="000000" w:sz="4"/>
                  </w:tcBorders>
                </w:tcPr>
                <w:p/>
              </w:tc>
              <w:tc>
                <w:tcPr>
                  <w:tcW w:type="dxa" w:w="457"/>
                  <w:vMerge/>
                  <w:tcBorders>
                    <w:top w:val="none" w:color="000000" w:sz="4"/>
                    <w:left w:val="single" w:color="000000" w:sz="4"/>
                    <w:bottom w:val="single" w:color="000000" w:sz="4"/>
                    <w:right w:val="single" w:color="000000" w:sz="4"/>
                  </w:tcBorders>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5）着装分类统一，佩戴标识。仪容整洁、姿态端正、举止文明。用语文明礼貌，态度温和耐心。</w:t>
                  </w:r>
                </w:p>
              </w:tc>
            </w:tr>
            <w:tr>
              <w:tc>
                <w:tcPr>
                  <w:tcW w:type="dxa" w:w="2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保密和思想政治教育</w:t>
                  </w: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1）建立保密管理制度。制度内容应当包括但不限于：①明确重点要害岗位保密职责。②对涉密工作岗位的保密要求。</w:t>
                  </w:r>
                </w:p>
              </w:tc>
            </w:tr>
            <w:tr>
              <w:tc>
                <w:tcPr>
                  <w:tcW w:type="dxa" w:w="212"/>
                  <w:vMerge/>
                  <w:tcBorders>
                    <w:top w:val="none" w:color="000000" w:sz="4"/>
                    <w:left w:val="single" w:color="000000" w:sz="4"/>
                    <w:bottom w:val="single" w:color="000000" w:sz="4"/>
                    <w:right w:val="single" w:color="000000" w:sz="4"/>
                  </w:tcBorders>
                </w:tcPr>
                <w:p/>
              </w:tc>
              <w:tc>
                <w:tcPr>
                  <w:tcW w:type="dxa" w:w="457"/>
                  <w:vMerge/>
                  <w:tcBorders>
                    <w:top w:val="none" w:color="000000" w:sz="4"/>
                    <w:left w:val="single" w:color="000000" w:sz="4"/>
                    <w:bottom w:val="single" w:color="000000" w:sz="4"/>
                    <w:right w:val="single" w:color="000000" w:sz="4"/>
                  </w:tcBorders>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2）根据采购人要求与涉密工作岗位的服务人员签订保密协议。保密协议应当向采购人报备。</w:t>
                  </w:r>
                </w:p>
              </w:tc>
            </w:tr>
            <w:tr>
              <w:tc>
                <w:tcPr>
                  <w:tcW w:type="dxa" w:w="212"/>
                  <w:vMerge/>
                  <w:tcBorders>
                    <w:top w:val="none" w:color="000000" w:sz="4"/>
                    <w:left w:val="single" w:color="000000" w:sz="4"/>
                    <w:bottom w:val="single" w:color="000000" w:sz="4"/>
                    <w:right w:val="single" w:color="000000" w:sz="4"/>
                  </w:tcBorders>
                </w:tcPr>
                <w:p/>
              </w:tc>
              <w:tc>
                <w:tcPr>
                  <w:tcW w:type="dxa" w:w="457"/>
                  <w:vMerge/>
                  <w:tcBorders>
                    <w:top w:val="none" w:color="000000" w:sz="4"/>
                    <w:left w:val="single" w:color="000000" w:sz="4"/>
                    <w:bottom w:val="single" w:color="000000" w:sz="4"/>
                    <w:right w:val="single" w:color="000000" w:sz="4"/>
                  </w:tcBorders>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3）每季度开展1次对服务人员进行保密、思想政治教育的培训，提高服务人员保密意识和思想政治意识。新入职员工应当接受保密、思想政治教育培训，进行必要的人员经历审查，合格后签订保密协议方可上岗。</w:t>
                  </w:r>
                </w:p>
              </w:tc>
            </w:tr>
            <w:tr>
              <w:tc>
                <w:tcPr>
                  <w:tcW w:type="dxa" w:w="212"/>
                  <w:vMerge/>
                  <w:tcBorders>
                    <w:top w:val="none" w:color="000000" w:sz="4"/>
                    <w:left w:val="single" w:color="000000" w:sz="4"/>
                    <w:bottom w:val="single" w:color="000000" w:sz="4"/>
                    <w:right w:val="single" w:color="000000" w:sz="4"/>
                  </w:tcBorders>
                </w:tcPr>
                <w:p/>
              </w:tc>
              <w:tc>
                <w:tcPr>
                  <w:tcW w:type="dxa" w:w="457"/>
                  <w:vMerge/>
                  <w:tcBorders>
                    <w:top w:val="none" w:color="000000" w:sz="4"/>
                    <w:left w:val="single" w:color="000000" w:sz="4"/>
                    <w:bottom w:val="single" w:color="000000" w:sz="4"/>
                    <w:right w:val="single" w:color="000000" w:sz="4"/>
                  </w:tcBorders>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4）发现服务人员违法违规或重大过失，及时报告采购人，并采取必要补救措施。</w:t>
                  </w:r>
                </w:p>
              </w:tc>
            </w:tr>
            <w:tr>
              <w:tc>
                <w:tcPr>
                  <w:tcW w:type="dxa" w:w="2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档案管理</w:t>
                  </w: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1）建立物业信息，准确、及时地对文件资料和服务记录进行归档保存，并确保其物理安全。</w:t>
                  </w:r>
                </w:p>
              </w:tc>
            </w:tr>
            <w:tr>
              <w:tc>
                <w:tcPr>
                  <w:tcW w:type="dxa" w:w="212"/>
                  <w:vMerge/>
                  <w:tcBorders>
                    <w:top w:val="none" w:color="000000" w:sz="4"/>
                    <w:left w:val="single" w:color="000000" w:sz="4"/>
                    <w:bottom w:val="single" w:color="000000" w:sz="4"/>
                    <w:right w:val="single" w:color="000000" w:sz="4"/>
                  </w:tcBorders>
                </w:tcPr>
                <w:p/>
              </w:tc>
              <w:tc>
                <w:tcPr>
                  <w:tcW w:type="dxa" w:w="457"/>
                  <w:vMerge/>
                  <w:tcBorders>
                    <w:top w:val="none" w:color="000000" w:sz="4"/>
                    <w:left w:val="single" w:color="000000" w:sz="4"/>
                    <w:bottom w:val="single" w:color="000000" w:sz="4"/>
                    <w:right w:val="single" w:color="000000" w:sz="4"/>
                  </w:tcBorders>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档案和记录齐全，包括但不限于：①采购人建议与投诉等。教育培训和考核记录。保密、思想政治教育培训记录。②房屋维护服务：房屋台账、使用说明、房屋装修、维保记录等。③公用设施设备维护服务：设备台账、设备卡、使用说明、维保记录、巡查记录、设施设备安全运行、设施设备定期巡检、维护保养、维修档案等。④保安服务：监控记录、突发事件演习与处置记录等。⑤保洁服务：工作日志、清洁检查表、用品清单、客户反馈表等。⑥绿化服务：绿化总平面图、清洁整改记录、消杀记录等。⑦其他：客户信息、财务明细、合同协议、信报信息登记、大件物品进出登记等。</w:t>
                  </w:r>
                </w:p>
              </w:tc>
            </w:tr>
            <w:tr>
              <w:tc>
                <w:tcPr>
                  <w:tcW w:type="dxa" w:w="212"/>
                  <w:vMerge/>
                  <w:tcBorders>
                    <w:top w:val="none" w:color="000000" w:sz="4"/>
                    <w:left w:val="single" w:color="000000" w:sz="4"/>
                    <w:bottom w:val="single" w:color="000000" w:sz="4"/>
                    <w:right w:val="single" w:color="000000" w:sz="4"/>
                  </w:tcBorders>
                </w:tcPr>
                <w:p/>
              </w:tc>
              <w:tc>
                <w:tcPr>
                  <w:tcW w:type="dxa" w:w="457"/>
                  <w:vMerge/>
                  <w:tcBorders>
                    <w:top w:val="none" w:color="000000" w:sz="4"/>
                    <w:left w:val="single" w:color="000000" w:sz="4"/>
                    <w:bottom w:val="single" w:color="000000" w:sz="4"/>
                    <w:right w:val="single" w:color="000000" w:sz="4"/>
                  </w:tcBorders>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3）遵守采购人的信息、档案资料保密要求，未经许可，不得将建筑物平面图等资料转作其他用途或向其他单位、个人提供。</w:t>
                  </w:r>
                </w:p>
              </w:tc>
            </w:tr>
            <w:tr>
              <w:tc>
                <w:tcPr>
                  <w:tcW w:type="dxa" w:w="212"/>
                  <w:vMerge/>
                  <w:tcBorders>
                    <w:top w:val="none" w:color="000000" w:sz="4"/>
                    <w:left w:val="single" w:color="000000" w:sz="4"/>
                    <w:bottom w:val="single" w:color="000000" w:sz="4"/>
                    <w:right w:val="single" w:color="000000" w:sz="4"/>
                  </w:tcBorders>
                </w:tcPr>
                <w:p/>
              </w:tc>
              <w:tc>
                <w:tcPr>
                  <w:tcW w:type="dxa" w:w="457"/>
                  <w:vMerge/>
                  <w:tcBorders>
                    <w:top w:val="none" w:color="000000" w:sz="4"/>
                    <w:left w:val="single" w:color="000000" w:sz="4"/>
                    <w:bottom w:val="single" w:color="000000" w:sz="4"/>
                    <w:right w:val="single" w:color="000000" w:sz="4"/>
                  </w:tcBorders>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4）履约结束后，相关资料交还采购人，采购人按政府采购相关规定存档。</w:t>
                  </w:r>
                </w:p>
              </w:tc>
            </w:tr>
            <w:tr>
              <w:tc>
                <w:tcPr>
                  <w:tcW w:type="dxa" w:w="2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服务改进</w:t>
                  </w:r>
                </w:p>
                <w:p>
                  <w:pPr>
                    <w:pStyle w:val="null3"/>
                    <w:jc w:val="center"/>
                  </w:p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1）明确负责人，定期对物业服务过程进行自查，结合反馈意见与评价结果采取改进措施，持续提升管理与服务水平。</w:t>
                  </w:r>
                </w:p>
              </w:tc>
            </w:tr>
            <w:tr>
              <w:tc>
                <w:tcPr>
                  <w:tcW w:type="dxa" w:w="212"/>
                  <w:vMerge/>
                  <w:tcBorders>
                    <w:top w:val="none" w:color="000000" w:sz="4"/>
                    <w:left w:val="single" w:color="000000" w:sz="4"/>
                    <w:bottom w:val="single" w:color="000000" w:sz="4"/>
                    <w:right w:val="single" w:color="000000" w:sz="4"/>
                  </w:tcBorders>
                </w:tcPr>
                <w:p/>
              </w:tc>
              <w:tc>
                <w:tcPr>
                  <w:tcW w:type="dxa" w:w="457"/>
                  <w:vMerge/>
                  <w:tcBorders>
                    <w:top w:val="none" w:color="000000" w:sz="4"/>
                    <w:left w:val="single" w:color="000000" w:sz="4"/>
                    <w:bottom w:val="single" w:color="000000" w:sz="4"/>
                    <w:right w:val="single" w:color="000000" w:sz="4"/>
                  </w:tcBorders>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2）对不合格服务进行控制，对不合格服务的原因进行识别和分析，及时采取纠正措施，消除不合格的原因，防止不合格再发生。</w:t>
                  </w:r>
                </w:p>
              </w:tc>
            </w:tr>
            <w:tr>
              <w:tc>
                <w:tcPr>
                  <w:tcW w:type="dxa" w:w="212"/>
                  <w:vMerge/>
                  <w:tcBorders>
                    <w:top w:val="none" w:color="000000" w:sz="4"/>
                    <w:left w:val="single" w:color="000000" w:sz="4"/>
                    <w:bottom w:val="single" w:color="000000" w:sz="4"/>
                    <w:right w:val="single" w:color="000000" w:sz="4"/>
                  </w:tcBorders>
                </w:tcPr>
                <w:p/>
              </w:tc>
              <w:tc>
                <w:tcPr>
                  <w:tcW w:type="dxa" w:w="457"/>
                  <w:vMerge/>
                  <w:tcBorders>
                    <w:top w:val="none" w:color="000000" w:sz="4"/>
                    <w:left w:val="single" w:color="000000" w:sz="4"/>
                    <w:bottom w:val="single" w:color="000000" w:sz="4"/>
                    <w:right w:val="single" w:color="000000" w:sz="4"/>
                  </w:tcBorders>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3）需整改问题及时整改完成。</w:t>
                  </w:r>
                </w:p>
              </w:tc>
            </w:tr>
            <w:tr>
              <w:tc>
                <w:tcPr>
                  <w:tcW w:type="dxa" w:w="2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重大活动后勤保障</w:t>
                  </w: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1）制订流程。配合采购人制订重大活动后勤保障工作流程，需对任务进行详细了解，并根据工作安排制定详细的后勤保障计划。</w:t>
                  </w:r>
                </w:p>
              </w:tc>
            </w:tr>
            <w:tr>
              <w:tc>
                <w:tcPr>
                  <w:tcW w:type="dxa" w:w="212"/>
                  <w:vMerge/>
                  <w:tcBorders>
                    <w:top w:val="none" w:color="000000" w:sz="4"/>
                    <w:left w:val="single" w:color="000000" w:sz="4"/>
                    <w:bottom w:val="single" w:color="000000" w:sz="4"/>
                    <w:right w:val="single" w:color="000000" w:sz="4"/>
                  </w:tcBorders>
                </w:tcPr>
                <w:p/>
              </w:tc>
              <w:tc>
                <w:tcPr>
                  <w:tcW w:type="dxa" w:w="457"/>
                  <w:vMerge/>
                  <w:tcBorders>
                    <w:top w:val="none" w:color="000000" w:sz="4"/>
                    <w:left w:val="single" w:color="000000" w:sz="4"/>
                    <w:bottom w:val="single" w:color="000000" w:sz="4"/>
                    <w:right w:val="single" w:color="000000" w:sz="4"/>
                  </w:tcBorders>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实施保障。按计划在关键区域和重点部位进行部署，确保任务顺利进行，对活动区域进行全面安全检查，发现并排除安全隐患，对车辆进行有序引导和管理，确保交通安全畅通，以礼貌、专业的态度对待来宾，展现良好形象。</w:t>
                  </w:r>
                </w:p>
              </w:tc>
            </w:tr>
            <w:tr>
              <w:tc>
                <w:tcPr>
                  <w:tcW w:type="dxa" w:w="212"/>
                  <w:vMerge/>
                  <w:tcBorders>
                    <w:top w:val="none" w:color="000000" w:sz="4"/>
                    <w:left w:val="single" w:color="000000" w:sz="4"/>
                    <w:bottom w:val="single" w:color="000000" w:sz="4"/>
                    <w:right w:val="single" w:color="000000" w:sz="4"/>
                  </w:tcBorders>
                </w:tcPr>
                <w:p/>
              </w:tc>
              <w:tc>
                <w:tcPr>
                  <w:tcW w:type="dxa" w:w="457"/>
                  <w:vMerge/>
                  <w:tcBorders>
                    <w:top w:val="none" w:color="000000" w:sz="4"/>
                    <w:left w:val="single" w:color="000000" w:sz="4"/>
                    <w:bottom w:val="single" w:color="000000" w:sz="4"/>
                    <w:right w:val="single" w:color="000000" w:sz="4"/>
                  </w:tcBorders>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3）收尾工作。对现场进行检查，做好清理工作。</w:t>
                  </w:r>
                </w:p>
              </w:tc>
            </w:tr>
            <w:tr>
              <w:tc>
                <w:tcPr>
                  <w:tcW w:type="dxa" w:w="2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应急保障预案</w:t>
                  </w: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重点区域及安全隐患排查。结合项目的实际情况，对重点部位及危险隐患进行排查，并建立清单</w:t>
                  </w:r>
                  <w:r>
                    <w:rPr>
                      <w:rFonts w:ascii="仿宋_GB2312" w:hAnsi="仿宋_GB2312" w:cs="仿宋_GB2312" w:eastAsia="仿宋_GB2312"/>
                      <w:sz w:val="20"/>
                    </w:rPr>
                    <w:t>/台账；应当对危险隐患进行风险分析，制定相应措施进行控制或整改并定期监控；随着设施设备、服务内容的变化，及时更新清单/台账，使风险隐患始终处于受控状态。</w:t>
                  </w:r>
                </w:p>
              </w:tc>
            </w:tr>
            <w:tr>
              <w:tc>
                <w:tcPr>
                  <w:tcW w:type="dxa" w:w="212"/>
                  <w:vMerge/>
                  <w:tcBorders>
                    <w:top w:val="none" w:color="000000" w:sz="4"/>
                    <w:left w:val="single" w:color="000000" w:sz="4"/>
                    <w:bottom w:val="single" w:color="000000" w:sz="4"/>
                    <w:right w:val="single" w:color="000000" w:sz="4"/>
                  </w:tcBorders>
                </w:tcPr>
                <w:p/>
              </w:tc>
              <w:tc>
                <w:tcPr>
                  <w:tcW w:type="dxa" w:w="457"/>
                  <w:vMerge/>
                  <w:tcBorders>
                    <w:top w:val="none" w:color="000000" w:sz="4"/>
                    <w:left w:val="single" w:color="000000" w:sz="4"/>
                    <w:bottom w:val="single" w:color="000000" w:sz="4"/>
                    <w:right w:val="single" w:color="000000" w:sz="4"/>
                  </w:tcBorders>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应急预案的建立。根据办公楼隐患排查的结果和实际情况，制定专项预案，包括但不限于：火情火警紧急处理应急预案、紧急疏散应急预案、停水停电应急预案、有限空间救援应急预案、高空作业救援应急预案、恶劣天气应对应急预案等。</w:t>
                  </w:r>
                </w:p>
              </w:tc>
            </w:tr>
            <w:tr>
              <w:tc>
                <w:tcPr>
                  <w:tcW w:type="dxa" w:w="212"/>
                  <w:vMerge/>
                  <w:tcBorders>
                    <w:top w:val="none" w:color="000000" w:sz="4"/>
                    <w:left w:val="single" w:color="000000" w:sz="4"/>
                    <w:bottom w:val="single" w:color="000000" w:sz="4"/>
                    <w:right w:val="single" w:color="000000" w:sz="4"/>
                  </w:tcBorders>
                </w:tcPr>
                <w:p/>
              </w:tc>
              <w:tc>
                <w:tcPr>
                  <w:tcW w:type="dxa" w:w="457"/>
                  <w:vMerge/>
                  <w:tcBorders>
                    <w:top w:val="none" w:color="000000" w:sz="4"/>
                    <w:left w:val="single" w:color="000000" w:sz="4"/>
                    <w:bottom w:val="single" w:color="000000" w:sz="4"/>
                    <w:right w:val="single" w:color="000000" w:sz="4"/>
                  </w:tcBorders>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应急预案的培训和演练。应急预案定期培训和演练，组织相关岗位每半年开展一次专项应急预案演练；留存培训及演练记录和影像资料，并对预案进行评价，确保与实际情况相结合。</w:t>
                  </w:r>
                </w:p>
              </w:tc>
            </w:tr>
            <w:tr>
              <w:tc>
                <w:tcPr>
                  <w:tcW w:type="dxa" w:w="212"/>
                  <w:vMerge/>
                  <w:tcBorders>
                    <w:top w:val="none" w:color="000000" w:sz="4"/>
                    <w:left w:val="single" w:color="000000" w:sz="4"/>
                    <w:bottom w:val="single" w:color="000000" w:sz="4"/>
                    <w:right w:val="single" w:color="000000" w:sz="4"/>
                  </w:tcBorders>
                </w:tcPr>
                <w:p/>
              </w:tc>
              <w:tc>
                <w:tcPr>
                  <w:tcW w:type="dxa" w:w="457"/>
                  <w:vMerge/>
                  <w:tcBorders>
                    <w:top w:val="none" w:color="000000" w:sz="4"/>
                    <w:left w:val="single" w:color="000000" w:sz="4"/>
                    <w:bottom w:val="single" w:color="000000" w:sz="4"/>
                    <w:right w:val="single" w:color="000000" w:sz="4"/>
                  </w:tcBorders>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应急物资的管理。根据专项预案中的应对需要、必要的应急物资，建立清单或台账，并由专人定期对应急物资进行检查，如有应急物资不足，及时通知采购人购置齐全，确保能够随时正常使用。</w:t>
                  </w:r>
                </w:p>
              </w:tc>
            </w:tr>
            <w:tr>
              <w:tc>
                <w:tcPr>
                  <w:tcW w:type="dxa" w:w="2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服务方案及工作制度</w:t>
                  </w: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1）制定工作制度，</w:t>
                  </w:r>
                  <w:r>
                    <w:rPr>
                      <w:rFonts w:ascii="仿宋_GB2312" w:hAnsi="仿宋_GB2312" w:cs="仿宋_GB2312" w:eastAsia="仿宋_GB2312"/>
                      <w:sz w:val="20"/>
                    </w:rPr>
                    <w:t>主要</w:t>
                  </w:r>
                  <w:r>
                    <w:rPr>
                      <w:rFonts w:ascii="仿宋_GB2312" w:hAnsi="仿宋_GB2312" w:cs="仿宋_GB2312" w:eastAsia="仿宋_GB2312"/>
                      <w:sz w:val="20"/>
                    </w:rPr>
                    <w:t>包括：</w:t>
                  </w:r>
                  <w:r>
                    <w:rPr>
                      <w:rFonts w:ascii="仿宋_GB2312" w:hAnsi="仿宋_GB2312" w:cs="仿宋_GB2312" w:eastAsia="仿宋_GB2312"/>
                      <w:sz w:val="20"/>
                    </w:rPr>
                    <w:t>人员录用制度、</w:t>
                  </w:r>
                  <w:r>
                    <w:rPr>
                      <w:rFonts w:ascii="仿宋_GB2312" w:hAnsi="仿宋_GB2312" w:cs="仿宋_GB2312" w:eastAsia="仿宋_GB2312"/>
                      <w:sz w:val="20"/>
                    </w:rPr>
                    <w:t>档案管理制度、</w:t>
                  </w:r>
                  <w:r>
                    <w:rPr>
                      <w:rFonts w:ascii="仿宋_GB2312" w:hAnsi="仿宋_GB2312" w:cs="仿宋_GB2312" w:eastAsia="仿宋_GB2312"/>
                      <w:sz w:val="20"/>
                    </w:rPr>
                    <w:t>物业服务管理制度</w:t>
                  </w:r>
                  <w:r>
                    <w:rPr>
                      <w:rFonts w:ascii="仿宋_GB2312" w:hAnsi="仿宋_GB2312" w:cs="仿宋_GB2312" w:eastAsia="仿宋_GB2312"/>
                      <w:sz w:val="20"/>
                    </w:rPr>
                    <w:t>、</w:t>
                  </w:r>
                  <w:r>
                    <w:rPr>
                      <w:rFonts w:ascii="仿宋_GB2312" w:hAnsi="仿宋_GB2312" w:cs="仿宋_GB2312" w:eastAsia="仿宋_GB2312"/>
                      <w:sz w:val="20"/>
                    </w:rPr>
                    <w:t>公用设施设备相关管理制度等</w:t>
                  </w:r>
                  <w:r>
                    <w:rPr>
                      <w:rFonts w:ascii="仿宋_GB2312" w:hAnsi="仿宋_GB2312" w:cs="仿宋_GB2312" w:eastAsia="仿宋_GB2312"/>
                      <w:sz w:val="20"/>
                    </w:rPr>
                    <w:t>。</w:t>
                  </w:r>
                </w:p>
              </w:tc>
            </w:tr>
            <w:tr>
              <w:tc>
                <w:tcPr>
                  <w:tcW w:type="dxa" w:w="212"/>
                  <w:vMerge/>
                  <w:tcBorders>
                    <w:top w:val="none" w:color="000000" w:sz="4"/>
                    <w:left w:val="single" w:color="000000" w:sz="4"/>
                    <w:bottom w:val="single" w:color="000000" w:sz="4"/>
                    <w:right w:val="single" w:color="000000" w:sz="4"/>
                  </w:tcBorders>
                </w:tcPr>
                <w:p/>
              </w:tc>
              <w:tc>
                <w:tcPr>
                  <w:tcW w:type="dxa" w:w="457"/>
                  <w:vMerge/>
                  <w:tcBorders>
                    <w:top w:val="none" w:color="000000" w:sz="4"/>
                    <w:left w:val="single" w:color="000000" w:sz="4"/>
                    <w:bottom w:val="single" w:color="000000" w:sz="4"/>
                    <w:right w:val="single" w:color="000000" w:sz="4"/>
                  </w:tcBorders>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2）制定</w:t>
                  </w:r>
                  <w:r>
                    <w:rPr>
                      <w:rFonts w:ascii="仿宋_GB2312" w:hAnsi="仿宋_GB2312" w:cs="仿宋_GB2312" w:eastAsia="仿宋_GB2312"/>
                      <w:sz w:val="20"/>
                    </w:rPr>
                    <w:t>项目实施方案</w:t>
                  </w:r>
                  <w:r>
                    <w:rPr>
                      <w:rFonts w:ascii="仿宋_GB2312" w:hAnsi="仿宋_GB2312" w:cs="仿宋_GB2312" w:eastAsia="仿宋_GB2312"/>
                      <w:sz w:val="20"/>
                    </w:rPr>
                    <w:t>，主要</w:t>
                  </w:r>
                  <w:r>
                    <w:rPr>
                      <w:rFonts w:ascii="仿宋_GB2312" w:hAnsi="仿宋_GB2312" w:cs="仿宋_GB2312" w:eastAsia="仿宋_GB2312"/>
                      <w:sz w:val="20"/>
                    </w:rPr>
                    <w:t>包括：</w:t>
                  </w:r>
                  <w:r>
                    <w:rPr>
                      <w:rFonts w:ascii="仿宋_GB2312" w:hAnsi="仿宋_GB2312" w:cs="仿宋_GB2312" w:eastAsia="仿宋_GB2312"/>
                      <w:sz w:val="20"/>
                    </w:rPr>
                    <w:t>交接</w:t>
                  </w:r>
                  <w:r>
                    <w:rPr>
                      <w:rFonts w:ascii="仿宋_GB2312" w:hAnsi="仿宋_GB2312" w:cs="仿宋_GB2312" w:eastAsia="仿宋_GB2312"/>
                      <w:sz w:val="20"/>
                    </w:rPr>
                    <w:t>方案、人员培训方案、人员稳定性方案、保密方案</w:t>
                  </w:r>
                  <w:r>
                    <w:rPr>
                      <w:rFonts w:ascii="仿宋_GB2312" w:hAnsi="仿宋_GB2312" w:cs="仿宋_GB2312" w:eastAsia="仿宋_GB2312"/>
                      <w:sz w:val="20"/>
                    </w:rPr>
                    <w:t>等</w:t>
                  </w:r>
                  <w:r>
                    <w:rPr>
                      <w:rFonts w:ascii="仿宋_GB2312" w:hAnsi="仿宋_GB2312" w:cs="仿宋_GB2312" w:eastAsia="仿宋_GB2312"/>
                      <w:sz w:val="20"/>
                    </w:rPr>
                    <w:t>。</w:t>
                  </w:r>
                </w:p>
              </w:tc>
            </w:tr>
            <w:tr>
              <w:tc>
                <w:tcPr>
                  <w:tcW w:type="dxa" w:w="212"/>
                  <w:vMerge/>
                  <w:tcBorders>
                    <w:top w:val="none" w:color="000000" w:sz="4"/>
                    <w:left w:val="single" w:color="000000" w:sz="4"/>
                    <w:bottom w:val="single" w:color="000000" w:sz="4"/>
                    <w:right w:val="single" w:color="000000" w:sz="4"/>
                  </w:tcBorders>
                </w:tcPr>
                <w:p/>
              </w:tc>
              <w:tc>
                <w:tcPr>
                  <w:tcW w:type="dxa" w:w="457"/>
                  <w:vMerge/>
                  <w:tcBorders>
                    <w:top w:val="none" w:color="000000" w:sz="4"/>
                    <w:left w:val="single" w:color="000000" w:sz="4"/>
                    <w:bottom w:val="single" w:color="000000" w:sz="4"/>
                    <w:right w:val="single" w:color="000000" w:sz="4"/>
                  </w:tcBorders>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3）制定</w:t>
                  </w:r>
                  <w:r>
                    <w:rPr>
                      <w:rFonts w:ascii="仿宋_GB2312" w:hAnsi="仿宋_GB2312" w:cs="仿宋_GB2312" w:eastAsia="仿宋_GB2312"/>
                      <w:sz w:val="20"/>
                    </w:rPr>
                    <w:t>物业服务方案</w:t>
                  </w:r>
                  <w:r>
                    <w:rPr>
                      <w:rFonts w:ascii="仿宋_GB2312" w:hAnsi="仿宋_GB2312" w:cs="仿宋_GB2312" w:eastAsia="仿宋_GB2312"/>
                      <w:sz w:val="20"/>
                    </w:rPr>
                    <w:t>，主要</w:t>
                  </w:r>
                  <w:r>
                    <w:rPr>
                      <w:rFonts w:ascii="仿宋_GB2312" w:hAnsi="仿宋_GB2312" w:cs="仿宋_GB2312" w:eastAsia="仿宋_GB2312"/>
                      <w:sz w:val="20"/>
                    </w:rPr>
                    <w:t>包括：</w:t>
                  </w:r>
                  <w:r>
                    <w:rPr>
                      <w:rFonts w:ascii="仿宋_GB2312" w:hAnsi="仿宋_GB2312" w:cs="仿宋_GB2312" w:eastAsia="仿宋_GB2312"/>
                      <w:sz w:val="20"/>
                    </w:rPr>
                    <w:t>房屋维护服务方案、公用设施设备维护服务方案、</w:t>
                  </w:r>
                  <w:r>
                    <w:rPr>
                      <w:rFonts w:ascii="仿宋_GB2312" w:hAnsi="仿宋_GB2312" w:cs="仿宋_GB2312" w:eastAsia="仿宋_GB2312"/>
                      <w:sz w:val="20"/>
                    </w:rPr>
                    <w:t>绿化</w:t>
                  </w:r>
                  <w:r>
                    <w:rPr>
                      <w:rFonts w:ascii="仿宋_GB2312" w:hAnsi="仿宋_GB2312" w:cs="仿宋_GB2312" w:eastAsia="仿宋_GB2312"/>
                      <w:sz w:val="20"/>
                    </w:rPr>
                    <w:t>服务</w:t>
                  </w:r>
                  <w:r>
                    <w:rPr>
                      <w:rFonts w:ascii="仿宋_GB2312" w:hAnsi="仿宋_GB2312" w:cs="仿宋_GB2312" w:eastAsia="仿宋_GB2312"/>
                      <w:sz w:val="20"/>
                    </w:rPr>
                    <w:t>方案</w:t>
                  </w:r>
                  <w:r>
                    <w:rPr>
                      <w:rFonts w:ascii="仿宋_GB2312" w:hAnsi="仿宋_GB2312" w:cs="仿宋_GB2312" w:eastAsia="仿宋_GB2312"/>
                      <w:sz w:val="20"/>
                    </w:rPr>
                    <w:t>、</w:t>
                  </w:r>
                  <w:r>
                    <w:rPr>
                      <w:rFonts w:ascii="仿宋_GB2312" w:hAnsi="仿宋_GB2312" w:cs="仿宋_GB2312" w:eastAsia="仿宋_GB2312"/>
                      <w:sz w:val="20"/>
                    </w:rPr>
                    <w:t>保洁服务方案、</w:t>
                  </w:r>
                  <w:r>
                    <w:rPr>
                      <w:rFonts w:ascii="仿宋_GB2312" w:hAnsi="仿宋_GB2312" w:cs="仿宋_GB2312" w:eastAsia="仿宋_GB2312"/>
                      <w:sz w:val="20"/>
                    </w:rPr>
                    <w:t>保安</w:t>
                  </w:r>
                  <w:r>
                    <w:rPr>
                      <w:rFonts w:ascii="仿宋_GB2312" w:hAnsi="仿宋_GB2312" w:cs="仿宋_GB2312" w:eastAsia="仿宋_GB2312"/>
                      <w:sz w:val="20"/>
                    </w:rPr>
                    <w:t>服务方案、会议服务方案</w:t>
                  </w:r>
                  <w:r>
                    <w:rPr>
                      <w:rFonts w:ascii="仿宋_GB2312" w:hAnsi="仿宋_GB2312" w:cs="仿宋_GB2312" w:eastAsia="仿宋_GB2312"/>
                      <w:sz w:val="20"/>
                    </w:rPr>
                    <w:t>等</w:t>
                  </w:r>
                  <w:r>
                    <w:rPr>
                      <w:rFonts w:ascii="仿宋_GB2312" w:hAnsi="仿宋_GB2312" w:cs="仿宋_GB2312" w:eastAsia="仿宋_GB2312"/>
                      <w:sz w:val="20"/>
                    </w:rPr>
                    <w:t>。</w:t>
                  </w:r>
                </w:p>
              </w:tc>
            </w:tr>
            <w:tr>
              <w:tc>
                <w:tcPr>
                  <w:tcW w:type="dxa" w:w="2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信报服务</w:t>
                  </w: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1）配合管理好丰巢柜运行、安全检查和防疫卫生检查。</w:t>
                  </w:r>
                </w:p>
              </w:tc>
            </w:tr>
            <w:tr>
              <w:tc>
                <w:tcPr>
                  <w:tcW w:type="dxa" w:w="212"/>
                  <w:vMerge/>
                  <w:tcBorders>
                    <w:top w:val="none" w:color="000000" w:sz="4"/>
                    <w:left w:val="single" w:color="000000" w:sz="4"/>
                    <w:bottom w:val="single" w:color="000000" w:sz="4"/>
                    <w:right w:val="single" w:color="000000" w:sz="4"/>
                  </w:tcBorders>
                </w:tcPr>
                <w:p/>
              </w:tc>
              <w:tc>
                <w:tcPr>
                  <w:tcW w:type="dxa" w:w="457"/>
                  <w:vMerge/>
                  <w:tcBorders>
                    <w:top w:val="none" w:color="000000" w:sz="4"/>
                    <w:left w:val="single" w:color="000000" w:sz="4"/>
                    <w:bottom w:val="single" w:color="000000" w:sz="4"/>
                    <w:right w:val="single" w:color="000000" w:sz="4"/>
                  </w:tcBorders>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2）及时投送报刊。</w:t>
                  </w:r>
                </w:p>
              </w:tc>
            </w:tr>
            <w:tr>
              <w:tc>
                <w:tcPr>
                  <w:tcW w:type="dxa" w:w="2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服务热线及紧急维修</w:t>
                  </w: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1）设置24小时报修服务热线。</w:t>
                  </w:r>
                </w:p>
              </w:tc>
            </w:tr>
            <w:tr>
              <w:tc>
                <w:tcPr>
                  <w:tcW w:type="dxa" w:w="212"/>
                  <w:vMerge/>
                  <w:tcBorders>
                    <w:top w:val="none" w:color="000000" w:sz="4"/>
                    <w:left w:val="single" w:color="000000" w:sz="4"/>
                    <w:bottom w:val="single" w:color="000000" w:sz="4"/>
                    <w:right w:val="single" w:color="000000" w:sz="4"/>
                  </w:tcBorders>
                </w:tcPr>
                <w:p/>
              </w:tc>
              <w:tc>
                <w:tcPr>
                  <w:tcW w:type="dxa" w:w="457"/>
                  <w:vMerge/>
                  <w:tcBorders>
                    <w:top w:val="none" w:color="000000" w:sz="4"/>
                    <w:left w:val="single" w:color="000000" w:sz="4"/>
                    <w:bottom w:val="single" w:color="000000" w:sz="4"/>
                    <w:right w:val="single" w:color="000000" w:sz="4"/>
                  </w:tcBorders>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紧急维修应当</w:t>
                  </w:r>
                  <w:r>
                    <w:rPr>
                      <w:rFonts w:ascii="仿宋_GB2312" w:hAnsi="仿宋_GB2312" w:cs="仿宋_GB2312" w:eastAsia="仿宋_GB2312"/>
                      <w:sz w:val="20"/>
                    </w:rPr>
                    <w:t>15分钟内到达现场，不间断维修直至修复。</w:t>
                  </w:r>
                </w:p>
              </w:tc>
            </w:tr>
          </w:tbl>
          <w:p>
            <w:pPr>
              <w:pStyle w:val="null3"/>
              <w:jc w:val="center"/>
              <w:outlineLvl w:val="2"/>
            </w:pPr>
            <w:r>
              <w:rPr>
                <w:rFonts w:ascii="仿宋_GB2312" w:hAnsi="仿宋_GB2312" w:cs="仿宋_GB2312" w:eastAsia="仿宋_GB2312"/>
                <w:sz w:val="20"/>
                <w:b/>
              </w:rPr>
              <w:t>3.2房屋建筑的日常巡查养护服务</w:t>
            </w:r>
          </w:p>
          <w:tbl>
            <w:tblPr>
              <w:tblInd w:type="dxa" w:w="120"/>
              <w:tblBorders>
                <w:top w:val="none" w:color="000000" w:sz="4"/>
                <w:left w:val="none" w:color="000000" w:sz="4"/>
                <w:bottom w:val="none" w:color="000000" w:sz="4"/>
                <w:right w:val="none" w:color="000000" w:sz="4"/>
                <w:insideH w:val="none"/>
                <w:insideV w:val="none"/>
              </w:tblBorders>
            </w:tblPr>
            <w:tblGrid>
              <w:gridCol w:w="216"/>
              <w:gridCol w:w="462"/>
              <w:gridCol w:w="1875"/>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服务内容</w:t>
                  </w:r>
                </w:p>
              </w:tc>
              <w:tc>
                <w:tcPr>
                  <w:tcW w:type="dxa" w:w="18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服务标准</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主体结构、围护结构、部品部件</w:t>
                  </w:r>
                </w:p>
              </w:tc>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1）每季度至少开展1次房屋结构安全巡视，发现外观有变形、开裂等现象，及时建议采购人申请房屋安全鉴定，并采取必要的避险和防护措施。</w:t>
                  </w:r>
                </w:p>
              </w:tc>
            </w:tr>
            <w:tr>
              <w:tc>
                <w:tcPr>
                  <w:tcW w:type="dxa" w:w="216"/>
                  <w:vMerge/>
                  <w:tcBorders>
                    <w:top w:val="none" w:color="000000" w:sz="4"/>
                    <w:left w:val="single" w:color="000000" w:sz="4"/>
                    <w:bottom w:val="single" w:color="000000" w:sz="4"/>
                    <w:right w:val="single" w:color="000000" w:sz="4"/>
                  </w:tcBorders>
                </w:tcPr>
                <w:p/>
              </w:tc>
              <w:tc>
                <w:tcPr>
                  <w:tcW w:type="dxa" w:w="462"/>
                  <w:vMerge/>
                  <w:tcBorders>
                    <w:top w:val="none" w:color="000000" w:sz="4"/>
                    <w:left w:val="single" w:color="000000" w:sz="4"/>
                    <w:bottom w:val="single" w:color="000000" w:sz="4"/>
                    <w:right w:val="single" w:color="000000" w:sz="4"/>
                  </w:tcBorders>
                </w:tcPr>
                <w:p/>
              </w:tc>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2）每季度至少开展1次外墙贴饰面、幕墙玻璃、雨篷、散水、空调室外机支撑构件等检查，发现破损，及时向采购人报告，按采购人要求出具维修方案，待采购人同意后按维修方案实施维修。</w:t>
                  </w:r>
                </w:p>
              </w:tc>
            </w:tr>
            <w:tr>
              <w:tc>
                <w:tcPr>
                  <w:tcW w:type="dxa" w:w="216"/>
                  <w:vMerge/>
                  <w:tcBorders>
                    <w:top w:val="none" w:color="000000" w:sz="4"/>
                    <w:left w:val="single" w:color="000000" w:sz="4"/>
                    <w:bottom w:val="single" w:color="000000" w:sz="4"/>
                    <w:right w:val="single" w:color="000000" w:sz="4"/>
                  </w:tcBorders>
                </w:tcPr>
                <w:p/>
              </w:tc>
              <w:tc>
                <w:tcPr>
                  <w:tcW w:type="dxa" w:w="462"/>
                  <w:vMerge/>
                  <w:tcBorders>
                    <w:top w:val="none" w:color="000000" w:sz="4"/>
                    <w:left w:val="single" w:color="000000" w:sz="4"/>
                    <w:bottom w:val="single" w:color="000000" w:sz="4"/>
                    <w:right w:val="single" w:color="000000" w:sz="4"/>
                  </w:tcBorders>
                </w:tcPr>
                <w:p/>
              </w:tc>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3）每半月至少开展1次公用部位的门、窗、楼梯、通风道、室内地面、墙面、吊顶和室外屋面等巡查，发现破损，及时向采购人报告，按采购人要求出具维修方案，待采购人同意后按维修方案实施维修。</w:t>
                  </w:r>
                </w:p>
              </w:tc>
            </w:tr>
            <w:tr>
              <w:tc>
                <w:tcPr>
                  <w:tcW w:type="dxa" w:w="216"/>
                  <w:vMerge/>
                  <w:tcBorders>
                    <w:top w:val="none" w:color="000000" w:sz="4"/>
                    <w:left w:val="single" w:color="000000" w:sz="4"/>
                    <w:bottom w:val="single" w:color="000000" w:sz="4"/>
                    <w:right w:val="single" w:color="000000" w:sz="4"/>
                  </w:tcBorders>
                </w:tcPr>
                <w:p/>
              </w:tc>
              <w:tc>
                <w:tcPr>
                  <w:tcW w:type="dxa" w:w="462"/>
                  <w:vMerge/>
                  <w:tcBorders>
                    <w:top w:val="none" w:color="000000" w:sz="4"/>
                    <w:left w:val="single" w:color="000000" w:sz="4"/>
                    <w:bottom w:val="single" w:color="000000" w:sz="4"/>
                    <w:right w:val="single" w:color="000000" w:sz="4"/>
                  </w:tcBorders>
                </w:tcPr>
                <w:p/>
              </w:tc>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4）每年强降雨天气前后、雨雪季节检查屋面防水和雨落管等，发现破损，及时向采购人报告，按采购人要求出具维修方案，待采购人同意后按维修方案实施维修。</w:t>
                  </w:r>
                </w:p>
              </w:tc>
            </w:tr>
            <w:tr>
              <w:tc>
                <w:tcPr>
                  <w:tcW w:type="dxa" w:w="216"/>
                  <w:vMerge/>
                  <w:tcBorders>
                    <w:top w:val="none" w:color="000000" w:sz="4"/>
                    <w:left w:val="single" w:color="000000" w:sz="4"/>
                    <w:bottom w:val="single" w:color="000000" w:sz="4"/>
                    <w:right w:val="single" w:color="000000" w:sz="4"/>
                  </w:tcBorders>
                </w:tcPr>
                <w:p/>
              </w:tc>
              <w:tc>
                <w:tcPr>
                  <w:tcW w:type="dxa" w:w="462"/>
                  <w:vMerge/>
                  <w:tcBorders>
                    <w:top w:val="none" w:color="000000" w:sz="4"/>
                    <w:left w:val="single" w:color="000000" w:sz="4"/>
                    <w:bottom w:val="single" w:color="000000" w:sz="4"/>
                    <w:right w:val="single" w:color="000000" w:sz="4"/>
                  </w:tcBorders>
                </w:tcPr>
                <w:p/>
              </w:tc>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办公楼外观完好，建筑装饰面无脱落、无破损、无污渍，玻璃幕墙清洁明亮、无破损。</w:t>
                  </w:r>
                </w:p>
              </w:tc>
            </w:tr>
            <w:tr>
              <w:tc>
                <w:tcPr>
                  <w:tcW w:type="dxa" w:w="216"/>
                  <w:vMerge/>
                  <w:tcBorders>
                    <w:top w:val="none" w:color="000000" w:sz="4"/>
                    <w:left w:val="single" w:color="000000" w:sz="4"/>
                    <w:bottom w:val="single" w:color="000000" w:sz="4"/>
                    <w:right w:val="single" w:color="000000" w:sz="4"/>
                  </w:tcBorders>
                </w:tcPr>
                <w:p/>
              </w:tc>
              <w:tc>
                <w:tcPr>
                  <w:tcW w:type="dxa" w:w="462"/>
                  <w:vMerge/>
                  <w:tcBorders>
                    <w:top w:val="none" w:color="000000" w:sz="4"/>
                    <w:left w:val="single" w:color="000000" w:sz="4"/>
                    <w:bottom w:val="single" w:color="000000" w:sz="4"/>
                    <w:right w:val="single" w:color="000000" w:sz="4"/>
                  </w:tcBorders>
                </w:tcPr>
                <w:p/>
              </w:tc>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通道、楼梯、门窗等设施的完好和正常使用。</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其他设施</w:t>
                  </w:r>
                </w:p>
              </w:tc>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每半月至少开展1次大门、围墙、道路、场地、管井、沟渠等巡查，每月检查2次雨污水管井、化粪池等巡查，发现破损，及时向采购人报告，按采购人要求出具维修方案，待采购人同意后按维修方案实施维修。化粪池每年清掏2次，雨污水管道定期检查疏通，确保室内外排水系统正常。</w:t>
                  </w:r>
                </w:p>
              </w:tc>
            </w:tr>
            <w:tr>
              <w:tc>
                <w:tcPr>
                  <w:tcW w:type="dxa" w:w="216"/>
                  <w:vMerge/>
                  <w:tcBorders>
                    <w:top w:val="none" w:color="000000" w:sz="4"/>
                    <w:left w:val="single" w:color="000000" w:sz="4"/>
                    <w:bottom w:val="single" w:color="000000" w:sz="4"/>
                    <w:right w:val="single" w:color="000000" w:sz="4"/>
                  </w:tcBorders>
                </w:tcPr>
                <w:p/>
              </w:tc>
              <w:tc>
                <w:tcPr>
                  <w:tcW w:type="dxa" w:w="462"/>
                  <w:vMerge/>
                  <w:tcBorders>
                    <w:top w:val="none" w:color="000000" w:sz="4"/>
                    <w:left w:val="single" w:color="000000" w:sz="4"/>
                    <w:bottom w:val="single" w:color="000000" w:sz="4"/>
                    <w:right w:val="single" w:color="000000" w:sz="4"/>
                  </w:tcBorders>
                </w:tcPr>
                <w:p/>
              </w:tc>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2）每年至少开展1次避雷系统保养刷漆。发现失效，及时向采购人报告，按采购人要求出具维修方案，待采购人同意后按维修方案实施维修。</w:t>
                  </w:r>
                </w:p>
              </w:tc>
            </w:tr>
            <w:tr>
              <w:tc>
                <w:tcPr>
                  <w:tcW w:type="dxa" w:w="216"/>
                  <w:vMerge/>
                  <w:tcBorders>
                    <w:top w:val="none" w:color="000000" w:sz="4"/>
                    <w:left w:val="single" w:color="000000" w:sz="4"/>
                    <w:bottom w:val="single" w:color="000000" w:sz="4"/>
                    <w:right w:val="single" w:color="000000" w:sz="4"/>
                  </w:tcBorders>
                </w:tcPr>
                <w:p/>
              </w:tc>
              <w:tc>
                <w:tcPr>
                  <w:tcW w:type="dxa" w:w="462"/>
                  <w:vMerge/>
                  <w:tcBorders>
                    <w:top w:val="none" w:color="000000" w:sz="4"/>
                    <w:left w:val="single" w:color="000000" w:sz="4"/>
                    <w:bottom w:val="single" w:color="000000" w:sz="4"/>
                    <w:right w:val="single" w:color="000000" w:sz="4"/>
                  </w:tcBorders>
                </w:tcPr>
                <w:p/>
              </w:tc>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路面状态良好，地漏通畅不堵塞。</w:t>
                  </w:r>
                </w:p>
              </w:tc>
            </w:tr>
            <w:tr>
              <w:tc>
                <w:tcPr>
                  <w:tcW w:type="dxa" w:w="216"/>
                  <w:vMerge/>
                  <w:tcBorders>
                    <w:top w:val="none" w:color="000000" w:sz="4"/>
                    <w:left w:val="single" w:color="000000" w:sz="4"/>
                    <w:bottom w:val="single" w:color="000000" w:sz="4"/>
                    <w:right w:val="single" w:color="000000" w:sz="4"/>
                  </w:tcBorders>
                </w:tcPr>
                <w:p/>
              </w:tc>
              <w:tc>
                <w:tcPr>
                  <w:tcW w:type="dxa" w:w="462"/>
                  <w:vMerge/>
                  <w:tcBorders>
                    <w:top w:val="none" w:color="000000" w:sz="4"/>
                    <w:left w:val="single" w:color="000000" w:sz="4"/>
                    <w:bottom w:val="single" w:color="000000" w:sz="4"/>
                    <w:right w:val="single" w:color="000000" w:sz="4"/>
                  </w:tcBorders>
                </w:tcPr>
                <w:p/>
              </w:tc>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4）接到采购人家具报修服务后，及时通知家具供货商对保修期内的家具进行维修，及时对保修期外的家具进行维修。</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装饰装修</w:t>
                  </w:r>
                  <w:r>
                    <w:rPr>
                      <w:rFonts w:ascii="仿宋_GB2312" w:hAnsi="仿宋_GB2312" w:cs="仿宋_GB2312" w:eastAsia="仿宋_GB2312"/>
                      <w:sz w:val="20"/>
                    </w:rPr>
                    <w:t>监督</w:t>
                  </w:r>
                  <w:r>
                    <w:rPr>
                      <w:rFonts w:ascii="仿宋_GB2312" w:hAnsi="仿宋_GB2312" w:cs="仿宋_GB2312" w:eastAsia="仿宋_GB2312"/>
                      <w:sz w:val="20"/>
                    </w:rPr>
                    <w:t>管理</w:t>
                  </w:r>
                </w:p>
              </w:tc>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1）配合入驻部门及施工单位办理装修审批手续。装饰装修前，供应商应当与采购人或采购人委托的装修企业签订装饰装修管理服务协议，告知装饰装修须知，并对装饰装修过程进行管理服务。</w:t>
                  </w:r>
                </w:p>
              </w:tc>
            </w:tr>
            <w:tr>
              <w:tc>
                <w:tcPr>
                  <w:tcW w:type="dxa" w:w="216"/>
                  <w:vMerge/>
                  <w:tcBorders>
                    <w:top w:val="none" w:color="000000" w:sz="4"/>
                    <w:left w:val="single" w:color="000000" w:sz="4"/>
                    <w:bottom w:val="single" w:color="000000" w:sz="4"/>
                    <w:right w:val="single" w:color="000000" w:sz="4"/>
                  </w:tcBorders>
                </w:tcPr>
                <w:p/>
              </w:tc>
              <w:tc>
                <w:tcPr>
                  <w:tcW w:type="dxa" w:w="462"/>
                  <w:vMerge/>
                  <w:tcBorders>
                    <w:top w:val="none" w:color="000000" w:sz="4"/>
                    <w:left w:val="single" w:color="000000" w:sz="4"/>
                    <w:bottom w:val="single" w:color="000000" w:sz="4"/>
                    <w:right w:val="single" w:color="000000" w:sz="4"/>
                  </w:tcBorders>
                </w:tcPr>
                <w:p/>
              </w:tc>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2）根据协议内容，督促施工单位垃圾袋装定点堆放、及时清运等</w:t>
                  </w:r>
                  <w:r>
                    <w:rPr>
                      <w:rFonts w:ascii="仿宋_GB2312" w:hAnsi="仿宋_GB2312" w:cs="仿宋_GB2312" w:eastAsia="仿宋_GB2312"/>
                      <w:sz w:val="20"/>
                    </w:rPr>
                    <w:t>。</w:t>
                  </w:r>
                </w:p>
              </w:tc>
            </w:tr>
            <w:tr>
              <w:tc>
                <w:tcPr>
                  <w:tcW w:type="dxa" w:w="216"/>
                  <w:vMerge/>
                  <w:tcBorders>
                    <w:top w:val="none" w:color="000000" w:sz="4"/>
                    <w:left w:val="single" w:color="000000" w:sz="4"/>
                    <w:bottom w:val="single" w:color="000000" w:sz="4"/>
                    <w:right w:val="single" w:color="000000" w:sz="4"/>
                  </w:tcBorders>
                </w:tcPr>
                <w:p/>
              </w:tc>
              <w:tc>
                <w:tcPr>
                  <w:tcW w:type="dxa" w:w="462"/>
                  <w:vMerge/>
                  <w:tcBorders>
                    <w:top w:val="none" w:color="000000" w:sz="4"/>
                    <w:left w:val="single" w:color="000000" w:sz="4"/>
                    <w:bottom w:val="single" w:color="000000" w:sz="4"/>
                    <w:right w:val="single" w:color="000000" w:sz="4"/>
                  </w:tcBorders>
                </w:tcPr>
                <w:p/>
              </w:tc>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受</w:t>
                  </w:r>
                  <w:r>
                    <w:rPr>
                      <w:rFonts w:ascii="仿宋_GB2312" w:hAnsi="仿宋_GB2312" w:cs="仿宋_GB2312" w:eastAsia="仿宋_GB2312"/>
                      <w:sz w:val="20"/>
                    </w:rPr>
                    <w:t>采购人</w:t>
                  </w:r>
                  <w:r>
                    <w:rPr>
                      <w:rFonts w:ascii="仿宋_GB2312" w:hAnsi="仿宋_GB2312" w:cs="仿宋_GB2312" w:eastAsia="仿宋_GB2312"/>
                      <w:sz w:val="20"/>
                    </w:rPr>
                    <w:t>委托对房屋内，装修进行严格的监督管理，发现问题及时上报，提醒施工人员安全作业。确保不因装修而危及大楼结构安全、人身安全和影响正常办公秩序。</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标识标牌</w:t>
                  </w:r>
                </w:p>
              </w:tc>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1）标识标牌符合《</w:t>
                  </w:r>
                  <w:r>
                    <w:rPr>
                      <w:rFonts w:ascii="仿宋_GB2312" w:hAnsi="仿宋_GB2312" w:cs="仿宋_GB2312" w:eastAsia="仿宋_GB2312"/>
                      <w:sz w:val="20"/>
                    </w:rPr>
                    <w:t>公共信息图形符号</w:t>
                  </w:r>
                  <w:r>
                    <w:rPr>
                      <w:rFonts w:ascii="仿宋_GB2312" w:hAnsi="仿宋_GB2312" w:cs="仿宋_GB2312" w:eastAsia="仿宋_GB2312"/>
                      <w:sz w:val="20"/>
                    </w:rPr>
                    <w:t>第</w:t>
                  </w:r>
                  <w:r>
                    <w:rPr>
                      <w:rFonts w:ascii="仿宋_GB2312" w:hAnsi="仿宋_GB2312" w:cs="仿宋_GB2312" w:eastAsia="仿宋_GB2312"/>
                      <w:sz w:val="20"/>
                    </w:rPr>
                    <w:t>1部分：通用符号</w:t>
                  </w:r>
                  <w:r>
                    <w:rPr>
                      <w:rFonts w:ascii="仿宋_GB2312" w:hAnsi="仿宋_GB2312" w:cs="仿宋_GB2312" w:eastAsia="仿宋_GB2312"/>
                      <w:sz w:val="20"/>
                    </w:rPr>
                    <w:t>》（</w:t>
                  </w:r>
                  <w:r>
                    <w:rPr>
                      <w:rFonts w:ascii="仿宋_GB2312" w:hAnsi="仿宋_GB2312" w:cs="仿宋_GB2312" w:eastAsia="仿宋_GB2312"/>
                      <w:sz w:val="20"/>
                    </w:rPr>
                    <w:t>GB/T 10001.1</w:t>
                  </w:r>
                  <w:r>
                    <w:rPr>
                      <w:rFonts w:ascii="仿宋_GB2312" w:hAnsi="仿宋_GB2312" w:cs="仿宋_GB2312" w:eastAsia="仿宋_GB2312"/>
                      <w:sz w:val="20"/>
                    </w:rPr>
                    <w:t>）的相关要求，消防与安全标识符合《</w:t>
                  </w:r>
                  <w:r>
                    <w:rPr>
                      <w:rFonts w:ascii="仿宋_GB2312" w:hAnsi="仿宋_GB2312" w:cs="仿宋_GB2312" w:eastAsia="仿宋_GB2312"/>
                      <w:sz w:val="20"/>
                    </w:rPr>
                    <w:t>安全标志及其使用导则</w:t>
                  </w:r>
                  <w:r>
                    <w:rPr>
                      <w:rFonts w:ascii="仿宋_GB2312" w:hAnsi="仿宋_GB2312" w:cs="仿宋_GB2312" w:eastAsia="仿宋_GB2312"/>
                      <w:sz w:val="20"/>
                    </w:rPr>
                    <w:t>》（</w:t>
                  </w:r>
                  <w:r>
                    <w:rPr>
                      <w:rFonts w:ascii="仿宋_GB2312" w:hAnsi="仿宋_GB2312" w:cs="仿宋_GB2312" w:eastAsia="仿宋_GB2312"/>
                      <w:sz w:val="20"/>
                    </w:rPr>
                    <w:t>GB2894）、《消防安全标志 第1部分：标志》（GB13495.1）的相关要求。</w:t>
                  </w:r>
                </w:p>
              </w:tc>
            </w:tr>
            <w:tr>
              <w:tc>
                <w:tcPr>
                  <w:tcW w:type="dxa" w:w="216"/>
                  <w:vMerge/>
                  <w:tcBorders>
                    <w:top w:val="none" w:color="000000" w:sz="4"/>
                    <w:left w:val="single" w:color="000000" w:sz="4"/>
                    <w:bottom w:val="single" w:color="000000" w:sz="4"/>
                    <w:right w:val="single" w:color="000000" w:sz="4"/>
                  </w:tcBorders>
                </w:tcPr>
                <w:p/>
              </w:tc>
              <w:tc>
                <w:tcPr>
                  <w:tcW w:type="dxa" w:w="462"/>
                  <w:vMerge/>
                  <w:tcBorders>
                    <w:top w:val="none" w:color="000000" w:sz="4"/>
                    <w:left w:val="single" w:color="000000" w:sz="4"/>
                    <w:bottom w:val="single" w:color="000000" w:sz="4"/>
                    <w:right w:val="single" w:color="000000" w:sz="4"/>
                  </w:tcBorders>
                </w:tcPr>
                <w:p/>
              </w:tc>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2）每月至少检查1次标识标牌和消防与安全标识。应当规范清晰、路线指引正确、安装稳固。</w:t>
                  </w:r>
                </w:p>
              </w:tc>
            </w:tr>
          </w:tbl>
          <w:p>
            <w:pPr>
              <w:pStyle w:val="null3"/>
              <w:jc w:val="center"/>
              <w:outlineLvl w:val="2"/>
            </w:pPr>
            <w:r>
              <w:rPr>
                <w:rFonts w:ascii="仿宋_GB2312" w:hAnsi="仿宋_GB2312" w:cs="仿宋_GB2312" w:eastAsia="仿宋_GB2312"/>
                <w:sz w:val="20"/>
                <w:b/>
              </w:rPr>
              <w:t>3.3给、排水系统日常运行维护服务</w:t>
            </w:r>
          </w:p>
          <w:tbl>
            <w:tblPr>
              <w:tblInd w:type="dxa" w:w="120"/>
              <w:tblBorders>
                <w:top w:val="none" w:color="000000" w:sz="4"/>
                <w:left w:val="none" w:color="000000" w:sz="4"/>
                <w:bottom w:val="none" w:color="000000" w:sz="4"/>
                <w:right w:val="none" w:color="000000" w:sz="4"/>
                <w:insideH w:val="none"/>
                <w:insideV w:val="none"/>
              </w:tblBorders>
            </w:tblPr>
            <w:tblGrid>
              <w:gridCol w:w="215"/>
              <w:gridCol w:w="463"/>
              <w:gridCol w:w="1874"/>
            </w:tblGrid>
            <w:tr>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服务内容</w:t>
                  </w:r>
                </w:p>
              </w:tc>
              <w:tc>
                <w:tcPr>
                  <w:tcW w:type="dxa" w:w="1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服务标准</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给排水系统</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1）生活饮用水卫生符合《</w:t>
                  </w:r>
                  <w:r>
                    <w:rPr>
                      <w:rFonts w:ascii="仿宋_GB2312" w:hAnsi="仿宋_GB2312" w:cs="仿宋_GB2312" w:eastAsia="仿宋_GB2312"/>
                      <w:sz w:val="20"/>
                    </w:rPr>
                    <w:t>生活饮用水卫生标准</w:t>
                  </w:r>
                  <w:r>
                    <w:rPr>
                      <w:rFonts w:ascii="仿宋_GB2312" w:hAnsi="仿宋_GB2312" w:cs="仿宋_GB2312" w:eastAsia="仿宋_GB2312"/>
                      <w:sz w:val="20"/>
                    </w:rPr>
                    <w:t>》（</w:t>
                  </w:r>
                  <w:r>
                    <w:rPr>
                      <w:rFonts w:ascii="仿宋_GB2312" w:hAnsi="仿宋_GB2312" w:cs="仿宋_GB2312" w:eastAsia="仿宋_GB2312"/>
                      <w:sz w:val="20"/>
                    </w:rPr>
                    <w:t>GB5749）的相关要求。</w:t>
                  </w:r>
                </w:p>
              </w:tc>
            </w:tr>
            <w:tr>
              <w:tc>
                <w:tcPr>
                  <w:tcW w:type="dxa" w:w="215"/>
                  <w:vMerge/>
                  <w:tcBorders>
                    <w:top w:val="none" w:color="000000" w:sz="4"/>
                    <w:left w:val="single" w:color="000000" w:sz="4"/>
                    <w:bottom w:val="single" w:color="000000" w:sz="4"/>
                    <w:right w:val="single" w:color="000000" w:sz="4"/>
                  </w:tcBorders>
                </w:tcPr>
                <w:p/>
              </w:tc>
              <w:tc>
                <w:tcPr>
                  <w:tcW w:type="dxa" w:w="463"/>
                  <w:vMerge/>
                  <w:tcBorders>
                    <w:top w:val="none" w:color="000000" w:sz="4"/>
                    <w:left w:val="single" w:color="000000" w:sz="4"/>
                    <w:bottom w:val="single" w:color="000000" w:sz="4"/>
                    <w:right w:val="single" w:color="000000" w:sz="4"/>
                  </w:tcBorders>
                </w:tcP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2）二次供水卫生符合《二次供水设施卫生规范》（GB17051）的相关要求。</w:t>
                  </w:r>
                </w:p>
              </w:tc>
            </w:tr>
            <w:tr>
              <w:tc>
                <w:tcPr>
                  <w:tcW w:type="dxa" w:w="215"/>
                  <w:vMerge/>
                  <w:tcBorders>
                    <w:top w:val="none" w:color="000000" w:sz="4"/>
                    <w:left w:val="single" w:color="000000" w:sz="4"/>
                    <w:bottom w:val="single" w:color="000000" w:sz="4"/>
                    <w:right w:val="single" w:color="000000" w:sz="4"/>
                  </w:tcBorders>
                </w:tcPr>
                <w:p/>
              </w:tc>
              <w:tc>
                <w:tcPr>
                  <w:tcW w:type="dxa" w:w="463"/>
                  <w:vMerge/>
                  <w:tcBorders>
                    <w:top w:val="none" w:color="000000" w:sz="4"/>
                    <w:left w:val="single" w:color="000000" w:sz="4"/>
                    <w:bottom w:val="single" w:color="000000" w:sz="4"/>
                    <w:right w:val="single" w:color="000000" w:sz="4"/>
                  </w:tcBorders>
                </w:tcP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3）设施设备、阀门、管道等运行正常，无跑、冒、滴、漏现象。</w:t>
                  </w:r>
                </w:p>
              </w:tc>
            </w:tr>
            <w:tr>
              <w:tc>
                <w:tcPr>
                  <w:tcW w:type="dxa" w:w="215"/>
                  <w:vMerge/>
                  <w:tcBorders>
                    <w:top w:val="none" w:color="000000" w:sz="4"/>
                    <w:left w:val="single" w:color="000000" w:sz="4"/>
                    <w:bottom w:val="single" w:color="000000" w:sz="4"/>
                    <w:right w:val="single" w:color="000000" w:sz="4"/>
                  </w:tcBorders>
                </w:tcPr>
                <w:p/>
              </w:tc>
              <w:tc>
                <w:tcPr>
                  <w:tcW w:type="dxa" w:w="463"/>
                  <w:vMerge/>
                  <w:tcBorders>
                    <w:top w:val="none" w:color="000000" w:sz="4"/>
                    <w:left w:val="single" w:color="000000" w:sz="4"/>
                    <w:bottom w:val="single" w:color="000000" w:sz="4"/>
                    <w:right w:val="single" w:color="000000" w:sz="4"/>
                  </w:tcBorders>
                </w:tcP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4）有水泵房、水箱间的，每日至少巡视1次。每年至少养护1次水泵。</w:t>
                  </w:r>
                </w:p>
              </w:tc>
            </w:tr>
            <w:tr>
              <w:tc>
                <w:tcPr>
                  <w:tcW w:type="dxa" w:w="215"/>
                  <w:vMerge/>
                  <w:tcBorders>
                    <w:top w:val="none" w:color="000000" w:sz="4"/>
                    <w:left w:val="single" w:color="000000" w:sz="4"/>
                    <w:bottom w:val="single" w:color="000000" w:sz="4"/>
                    <w:right w:val="single" w:color="000000" w:sz="4"/>
                  </w:tcBorders>
                </w:tcPr>
                <w:p/>
              </w:tc>
              <w:tc>
                <w:tcPr>
                  <w:tcW w:type="dxa" w:w="463"/>
                  <w:vMerge/>
                  <w:tcBorders>
                    <w:top w:val="none" w:color="000000" w:sz="4"/>
                    <w:left w:val="single" w:color="000000" w:sz="4"/>
                    <w:bottom w:val="single" w:color="000000" w:sz="4"/>
                    <w:right w:val="single" w:color="000000" w:sz="4"/>
                  </w:tcBorders>
                </w:tcP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5）遇供水单位限水、停水，按规定时间通知采购人。</w:t>
                  </w:r>
                </w:p>
              </w:tc>
            </w:tr>
            <w:tr>
              <w:tc>
                <w:tcPr>
                  <w:tcW w:type="dxa" w:w="215"/>
                  <w:vMerge/>
                  <w:tcBorders>
                    <w:top w:val="none" w:color="000000" w:sz="4"/>
                    <w:left w:val="single" w:color="000000" w:sz="4"/>
                    <w:bottom w:val="single" w:color="000000" w:sz="4"/>
                    <w:right w:val="single" w:color="000000" w:sz="4"/>
                  </w:tcBorders>
                </w:tcPr>
                <w:p/>
              </w:tc>
              <w:tc>
                <w:tcPr>
                  <w:tcW w:type="dxa" w:w="463"/>
                  <w:vMerge/>
                  <w:tcBorders>
                    <w:top w:val="none" w:color="000000" w:sz="4"/>
                    <w:left w:val="single" w:color="000000" w:sz="4"/>
                    <w:bottom w:val="single" w:color="000000" w:sz="4"/>
                    <w:right w:val="single" w:color="000000" w:sz="4"/>
                  </w:tcBorders>
                </w:tcP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6）每季度至少开展1次对排水管进行疏通、清污，保证室内外排水系统通畅。</w:t>
                  </w:r>
                </w:p>
              </w:tc>
            </w:tr>
            <w:tr>
              <w:tc>
                <w:tcPr>
                  <w:tcW w:type="dxa" w:w="215"/>
                  <w:vMerge/>
                  <w:tcBorders>
                    <w:top w:val="none" w:color="000000" w:sz="4"/>
                    <w:left w:val="single" w:color="000000" w:sz="4"/>
                    <w:bottom w:val="single" w:color="000000" w:sz="4"/>
                    <w:right w:val="single" w:color="000000" w:sz="4"/>
                  </w:tcBorders>
                </w:tcPr>
                <w:p/>
              </w:tc>
              <w:tc>
                <w:tcPr>
                  <w:tcW w:type="dxa" w:w="463"/>
                  <w:vMerge/>
                  <w:tcBorders>
                    <w:top w:val="none" w:color="000000" w:sz="4"/>
                    <w:left w:val="single" w:color="000000" w:sz="4"/>
                    <w:bottom w:val="single" w:color="000000" w:sz="4"/>
                    <w:right w:val="single" w:color="000000" w:sz="4"/>
                  </w:tcBorders>
                </w:tcP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二次供水水箱每年清洗</w:t>
                  </w:r>
                  <w:r>
                    <w:rPr>
                      <w:rFonts w:ascii="仿宋_GB2312" w:hAnsi="仿宋_GB2312" w:cs="仿宋_GB2312" w:eastAsia="仿宋_GB2312"/>
                      <w:sz w:val="20"/>
                    </w:rPr>
                    <w:t>2次，</w:t>
                  </w:r>
                  <w:r>
                    <w:rPr>
                      <w:rFonts w:ascii="仿宋_GB2312" w:hAnsi="仿宋_GB2312" w:cs="仿宋_GB2312" w:eastAsia="仿宋_GB2312"/>
                      <w:sz w:val="20"/>
                    </w:rPr>
                    <w:t>定期水质化验，保证水质符合行业标准</w:t>
                  </w:r>
                  <w:r>
                    <w:rPr>
                      <w:rFonts w:ascii="仿宋_GB2312" w:hAnsi="仿宋_GB2312" w:cs="仿宋_GB2312" w:eastAsia="仿宋_GB2312"/>
                      <w:sz w:val="20"/>
                    </w:rPr>
                    <w:t>。</w:t>
                  </w:r>
                </w:p>
              </w:tc>
            </w:tr>
          </w:tbl>
          <w:p>
            <w:pPr>
              <w:pStyle w:val="null3"/>
              <w:jc w:val="center"/>
              <w:outlineLvl w:val="2"/>
            </w:pPr>
            <w:r>
              <w:rPr>
                <w:rFonts w:ascii="仿宋_GB2312" w:hAnsi="仿宋_GB2312" w:cs="仿宋_GB2312" w:eastAsia="仿宋_GB2312"/>
                <w:sz w:val="20"/>
                <w:b/>
              </w:rPr>
              <w:t>3.4供电系统日常运行维护服务</w:t>
            </w:r>
          </w:p>
          <w:tbl>
            <w:tblPr>
              <w:tblInd w:type="dxa" w:w="120"/>
              <w:tblBorders>
                <w:top w:val="none" w:color="000000" w:sz="4"/>
                <w:left w:val="none" w:color="000000" w:sz="4"/>
                <w:bottom w:val="none" w:color="000000" w:sz="4"/>
                <w:right w:val="none" w:color="000000" w:sz="4"/>
                <w:insideH w:val="none"/>
                <w:insideV w:val="none"/>
              </w:tblBorders>
            </w:tblPr>
            <w:tblGrid>
              <w:gridCol w:w="236"/>
              <w:gridCol w:w="448"/>
              <w:gridCol w:w="1868"/>
            </w:tblGrid>
            <w:tr>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4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服务内容</w:t>
                  </w:r>
                </w:p>
              </w:tc>
              <w:tc>
                <w:tcPr>
                  <w:tcW w:type="dxa" w:w="18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服务标准</w:t>
                  </w:r>
                </w:p>
              </w:tc>
            </w:tr>
            <w:tr>
              <w:tc>
                <w:tcPr>
                  <w:tcW w:type="dxa" w:w="2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供</w:t>
                  </w:r>
                  <w:r>
                    <w:rPr>
                      <w:rFonts w:ascii="仿宋_GB2312" w:hAnsi="仿宋_GB2312" w:cs="仿宋_GB2312" w:eastAsia="仿宋_GB2312"/>
                      <w:sz w:val="20"/>
                      <w:b/>
                    </w:rPr>
                    <w:t>配电</w:t>
                  </w:r>
                  <w:r>
                    <w:rPr>
                      <w:rFonts w:ascii="仿宋_GB2312" w:hAnsi="仿宋_GB2312" w:cs="仿宋_GB2312" w:eastAsia="仿宋_GB2312"/>
                      <w:sz w:val="20"/>
                      <w:b/>
                    </w:rPr>
                    <w:t>系统</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1）建立24小时运行值班监控制度。</w:t>
                  </w:r>
                </w:p>
              </w:tc>
            </w:tr>
            <w:tr>
              <w:tc>
                <w:tcPr>
                  <w:tcW w:type="dxa" w:w="236"/>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2）对供电范围内的电气设备定期巡视维护，加强高低压配电柜、配电箱、控制柜及线路等重点部位监测。</w:t>
                  </w:r>
                </w:p>
              </w:tc>
            </w:tr>
            <w:tr>
              <w:tc>
                <w:tcPr>
                  <w:tcW w:type="dxa" w:w="236"/>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3）公共使用的照明、指示灯具线路、开关、接地等保持完好，确保用电安全。</w:t>
                  </w:r>
                </w:p>
              </w:tc>
            </w:tr>
            <w:tr>
              <w:tc>
                <w:tcPr>
                  <w:tcW w:type="dxa" w:w="236"/>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4）核心部位用电建立可控用电保障和配备应急发电设备，定期维护应急发电设备。</w:t>
                  </w:r>
                </w:p>
              </w:tc>
            </w:tr>
            <w:tr>
              <w:tc>
                <w:tcPr>
                  <w:tcW w:type="dxa" w:w="236"/>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5）发生非计划性停电的，应当在事件发生后及时通知采购人，快速恢复或启用应急电源，并做好应急事件上报及处理工作。</w:t>
                  </w:r>
                </w:p>
              </w:tc>
            </w:tr>
            <w:tr>
              <w:tc>
                <w:tcPr>
                  <w:tcW w:type="dxa" w:w="236"/>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6）复杂故障涉及供电部门维修处置的及时与供电部门联系，并向采购人报告。</w:t>
                  </w:r>
                </w:p>
              </w:tc>
            </w:tr>
          </w:tbl>
          <w:p>
            <w:pPr>
              <w:pStyle w:val="null3"/>
              <w:jc w:val="center"/>
              <w:outlineLvl w:val="2"/>
            </w:pPr>
            <w:r>
              <w:rPr>
                <w:rFonts w:ascii="仿宋_GB2312" w:hAnsi="仿宋_GB2312" w:cs="仿宋_GB2312" w:eastAsia="仿宋_GB2312"/>
                <w:sz w:val="20"/>
                <w:b/>
              </w:rPr>
              <w:t>3.5会议设备日常维护服务</w:t>
            </w:r>
          </w:p>
          <w:tbl>
            <w:tblPr>
              <w:tblInd w:type="dxa" w:w="120"/>
              <w:tblBorders>
                <w:top w:val="none" w:color="000000" w:sz="4"/>
                <w:left w:val="none" w:color="000000" w:sz="4"/>
                <w:bottom w:val="none" w:color="000000" w:sz="4"/>
                <w:right w:val="none" w:color="000000" w:sz="4"/>
                <w:insideH w:val="none"/>
                <w:insideV w:val="none"/>
              </w:tblBorders>
            </w:tblPr>
            <w:tblGrid>
              <w:gridCol w:w="233"/>
              <w:gridCol w:w="449"/>
              <w:gridCol w:w="1871"/>
            </w:tblGrid>
            <w:tr>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服务内容</w:t>
                  </w:r>
                </w:p>
              </w:tc>
              <w:tc>
                <w:tcPr>
                  <w:tcW w:type="dxa" w:w="18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服务标准</w:t>
                  </w:r>
                </w:p>
              </w:tc>
            </w:tr>
            <w:tr>
              <w:tc>
                <w:tcPr>
                  <w:tcW w:type="dxa" w:w="2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会议服务</w:t>
                  </w:r>
                </w:p>
                <w:p>
                  <w:pPr>
                    <w:pStyle w:val="null3"/>
                    <w:jc w:val="both"/>
                  </w:pPr>
                </w:p>
              </w:tc>
              <w:tc>
                <w:tcPr>
                  <w:tcW w:type="dxa" w:w="1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接受会议预订，记录会议需求，</w:t>
                  </w:r>
                  <w:r>
                    <w:rPr>
                      <w:rFonts w:ascii="仿宋_GB2312" w:hAnsi="仿宋_GB2312" w:cs="仿宋_GB2312" w:eastAsia="仿宋_GB2312"/>
                      <w:sz w:val="20"/>
                    </w:rPr>
                    <w:t>根据会议预定要求做好会场布置，包含桌签、桌椅、茶水、投影、话筒、空调等。</w:t>
                  </w:r>
                </w:p>
              </w:tc>
            </w:tr>
            <w:tr>
              <w:tc>
                <w:tcPr>
                  <w:tcW w:type="dxa" w:w="233"/>
                  <w:vMerge/>
                  <w:tcBorders>
                    <w:top w:val="none" w:color="000000" w:sz="4"/>
                    <w:left w:val="single" w:color="000000" w:sz="4"/>
                    <w:bottom w:val="single" w:color="000000" w:sz="4"/>
                    <w:right w:val="single" w:color="000000" w:sz="4"/>
                  </w:tcBorders>
                </w:tcPr>
                <w:p/>
              </w:tc>
              <w:tc>
                <w:tcPr>
                  <w:tcW w:type="dxa" w:w="449"/>
                  <w:vMerge/>
                  <w:tcBorders>
                    <w:top w:val="none" w:color="000000" w:sz="4"/>
                    <w:left w:val="single" w:color="000000" w:sz="4"/>
                    <w:bottom w:val="single" w:color="000000" w:sz="4"/>
                    <w:right w:val="single" w:color="000000" w:sz="4"/>
                  </w:tcBorders>
                </w:tcPr>
                <w:p/>
              </w:tc>
              <w:tc>
                <w:tcPr>
                  <w:tcW w:type="dxa" w:w="1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2）根据参加会议的规格、人数及内容，合理分配大楼内会议室。</w:t>
                  </w:r>
                  <w:r>
                    <w:rPr>
                      <w:rFonts w:ascii="仿宋_GB2312" w:hAnsi="仿宋_GB2312" w:cs="仿宋_GB2312" w:eastAsia="仿宋_GB2312"/>
                      <w:sz w:val="20"/>
                    </w:rPr>
                    <w:t>明确会议桌椅、物品、设备、文具等摆放规定，音、视频设施保障措施。</w:t>
                  </w:r>
                </w:p>
              </w:tc>
            </w:tr>
            <w:tr>
              <w:tc>
                <w:tcPr>
                  <w:tcW w:type="dxa" w:w="233"/>
                  <w:vMerge/>
                  <w:tcBorders>
                    <w:top w:val="none" w:color="000000" w:sz="4"/>
                    <w:left w:val="single" w:color="000000" w:sz="4"/>
                    <w:bottom w:val="single" w:color="000000" w:sz="4"/>
                    <w:right w:val="single" w:color="000000" w:sz="4"/>
                  </w:tcBorders>
                </w:tcPr>
                <w:p/>
              </w:tc>
              <w:tc>
                <w:tcPr>
                  <w:tcW w:type="dxa" w:w="449"/>
                  <w:vMerge/>
                  <w:tcBorders>
                    <w:top w:val="none" w:color="000000" w:sz="4"/>
                    <w:left w:val="single" w:color="000000" w:sz="4"/>
                    <w:bottom w:val="single" w:color="000000" w:sz="4"/>
                    <w:right w:val="single" w:color="000000" w:sz="4"/>
                  </w:tcBorders>
                </w:tcPr>
                <w:p/>
              </w:tc>
              <w:tc>
                <w:tcPr>
                  <w:tcW w:type="dxa" w:w="1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3）会服人员应对会议进行全程关注，及时提供服务。原则上每场会议服务人员不少于2人，原则上每15分钟添加一次茶水，可根据实际情况进行延长。</w:t>
                  </w:r>
                </w:p>
              </w:tc>
            </w:tr>
            <w:tr>
              <w:tc>
                <w:tcPr>
                  <w:tcW w:type="dxa" w:w="233"/>
                  <w:vMerge/>
                  <w:tcBorders>
                    <w:top w:val="none" w:color="000000" w:sz="4"/>
                    <w:left w:val="single" w:color="000000" w:sz="4"/>
                    <w:bottom w:val="single" w:color="000000" w:sz="4"/>
                    <w:right w:val="single" w:color="000000" w:sz="4"/>
                  </w:tcBorders>
                </w:tcPr>
                <w:p/>
              </w:tc>
              <w:tc>
                <w:tcPr>
                  <w:tcW w:type="dxa" w:w="449"/>
                  <w:vMerge/>
                  <w:tcBorders>
                    <w:top w:val="none" w:color="000000" w:sz="4"/>
                    <w:left w:val="single" w:color="000000" w:sz="4"/>
                    <w:bottom w:val="single" w:color="000000" w:sz="4"/>
                    <w:right w:val="single" w:color="000000" w:sz="4"/>
                  </w:tcBorders>
                </w:tcPr>
                <w:p/>
              </w:tc>
              <w:tc>
                <w:tcPr>
                  <w:tcW w:type="dxa" w:w="1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4）会议服务人员应进行岗前培训，统一着装、佩戴工牌，做好会议接待服务工作。</w:t>
                  </w:r>
                </w:p>
              </w:tc>
            </w:tr>
            <w:tr>
              <w:tc>
                <w:tcPr>
                  <w:tcW w:type="dxa" w:w="233"/>
                  <w:vMerge/>
                  <w:tcBorders>
                    <w:top w:val="none" w:color="000000" w:sz="4"/>
                    <w:left w:val="single" w:color="000000" w:sz="4"/>
                    <w:bottom w:val="single" w:color="000000" w:sz="4"/>
                    <w:right w:val="single" w:color="000000" w:sz="4"/>
                  </w:tcBorders>
                </w:tcPr>
                <w:p/>
              </w:tc>
              <w:tc>
                <w:tcPr>
                  <w:tcW w:type="dxa" w:w="449"/>
                  <w:vMerge/>
                  <w:tcBorders>
                    <w:top w:val="none" w:color="000000" w:sz="4"/>
                    <w:left w:val="single" w:color="000000" w:sz="4"/>
                    <w:bottom w:val="single" w:color="000000" w:sz="4"/>
                    <w:right w:val="single" w:color="000000" w:sz="4"/>
                  </w:tcBorders>
                </w:tcPr>
                <w:p/>
              </w:tc>
              <w:tc>
                <w:tcPr>
                  <w:tcW w:type="dxa" w:w="1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5）会议服务人员应仪表清洁、举止端庄、保持微笑服务，使用文明礼貌用语。</w:t>
                  </w:r>
                </w:p>
              </w:tc>
            </w:tr>
            <w:tr>
              <w:tc>
                <w:tcPr>
                  <w:tcW w:type="dxa" w:w="233"/>
                  <w:vMerge/>
                  <w:tcBorders>
                    <w:top w:val="none" w:color="000000" w:sz="4"/>
                    <w:left w:val="single" w:color="000000" w:sz="4"/>
                    <w:bottom w:val="single" w:color="000000" w:sz="4"/>
                    <w:right w:val="single" w:color="000000" w:sz="4"/>
                  </w:tcBorders>
                </w:tcPr>
                <w:p/>
              </w:tc>
              <w:tc>
                <w:tcPr>
                  <w:tcW w:type="dxa" w:w="449"/>
                  <w:vMerge/>
                  <w:tcBorders>
                    <w:top w:val="none" w:color="000000" w:sz="4"/>
                    <w:left w:val="single" w:color="000000" w:sz="4"/>
                    <w:bottom w:val="single" w:color="000000" w:sz="4"/>
                    <w:right w:val="single" w:color="000000" w:sz="4"/>
                  </w:tcBorders>
                </w:tcPr>
                <w:p/>
              </w:tc>
              <w:tc>
                <w:tcPr>
                  <w:tcW w:type="dxa" w:w="1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6）会议结束后，及时收拾清理差距，整理桌面，关闭照明、空调、音响等设施，检查是否有参会人员遗留物品，如有应及时联系相关人员。</w:t>
                  </w:r>
                </w:p>
              </w:tc>
            </w:tr>
            <w:tr>
              <w:tc>
                <w:tcPr>
                  <w:tcW w:type="dxa" w:w="233"/>
                  <w:vMerge/>
                  <w:tcBorders>
                    <w:top w:val="none" w:color="000000" w:sz="4"/>
                    <w:left w:val="single" w:color="000000" w:sz="4"/>
                    <w:bottom w:val="single" w:color="000000" w:sz="4"/>
                    <w:right w:val="single" w:color="000000" w:sz="4"/>
                  </w:tcBorders>
                </w:tcPr>
                <w:p/>
              </w:tc>
              <w:tc>
                <w:tcPr>
                  <w:tcW w:type="dxa" w:w="449"/>
                  <w:vMerge/>
                  <w:tcBorders>
                    <w:top w:val="none" w:color="000000" w:sz="4"/>
                    <w:left w:val="single" w:color="000000" w:sz="4"/>
                    <w:bottom w:val="single" w:color="000000" w:sz="4"/>
                    <w:right w:val="single" w:color="000000" w:sz="4"/>
                  </w:tcBorders>
                </w:tcPr>
                <w:p/>
              </w:tc>
              <w:tc>
                <w:tcPr>
                  <w:tcW w:type="dxa" w:w="1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做好引导牌并放置在指定位置，引导人员引导手势规范，语言标准。</w:t>
                  </w:r>
                </w:p>
              </w:tc>
            </w:tr>
          </w:tbl>
          <w:p>
            <w:pPr>
              <w:pStyle w:val="null3"/>
              <w:jc w:val="center"/>
              <w:outlineLvl w:val="2"/>
            </w:pPr>
            <w:r>
              <w:rPr>
                <w:rFonts w:ascii="仿宋_GB2312" w:hAnsi="仿宋_GB2312" w:cs="仿宋_GB2312" w:eastAsia="仿宋_GB2312"/>
                <w:sz w:val="20"/>
                <w:b/>
              </w:rPr>
              <w:t>3.6空调系统运行日常维护服务</w:t>
            </w:r>
          </w:p>
          <w:tbl>
            <w:tblPr>
              <w:tblInd w:type="dxa" w:w="120"/>
              <w:tblBorders>
                <w:top w:val="none" w:color="000000" w:sz="4"/>
                <w:left w:val="none" w:color="000000" w:sz="4"/>
                <w:bottom w:val="none" w:color="000000" w:sz="4"/>
                <w:right w:val="none" w:color="000000" w:sz="4"/>
                <w:insideH w:val="none"/>
                <w:insideV w:val="none"/>
              </w:tblBorders>
            </w:tblPr>
            <w:tblGrid>
              <w:gridCol w:w="255"/>
              <w:gridCol w:w="443"/>
              <w:gridCol w:w="1855"/>
            </w:tblGrid>
            <w:tr>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服务内容</w:t>
                  </w:r>
                </w:p>
              </w:tc>
              <w:tc>
                <w:tcPr>
                  <w:tcW w:type="dxa" w:w="1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服务标准</w:t>
                  </w:r>
                </w:p>
              </w:tc>
            </w:tr>
            <w:tr>
              <w:tc>
                <w:tcPr>
                  <w:tcW w:type="dxa" w:w="2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空调</w:t>
                  </w:r>
                  <w:r>
                    <w:rPr>
                      <w:rFonts w:ascii="仿宋_GB2312" w:hAnsi="仿宋_GB2312" w:cs="仿宋_GB2312" w:eastAsia="仿宋_GB2312"/>
                      <w:sz w:val="20"/>
                    </w:rPr>
                    <w:t>系统</w:t>
                  </w:r>
                </w:p>
              </w:tc>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1）空调通风系统运行管理符合《空调通风系统运行管理标准》（GB50365）的相关要求。</w:t>
                  </w:r>
                </w:p>
              </w:tc>
            </w:tr>
            <w:tr>
              <w:tc>
                <w:tcPr>
                  <w:tcW w:type="dxa" w:w="255"/>
                  <w:vMerge/>
                  <w:tcBorders>
                    <w:top w:val="none" w:color="000000" w:sz="4"/>
                    <w:left w:val="single" w:color="000000" w:sz="4"/>
                    <w:bottom w:val="single" w:color="000000" w:sz="4"/>
                    <w:right w:val="single" w:color="000000" w:sz="4"/>
                  </w:tcBorders>
                </w:tcPr>
                <w:p/>
              </w:tc>
              <w:tc>
                <w:tcPr>
                  <w:tcW w:type="dxa" w:w="443"/>
                  <w:vMerge/>
                  <w:tcBorders>
                    <w:top w:val="none" w:color="000000" w:sz="4"/>
                    <w:left w:val="single" w:color="000000" w:sz="4"/>
                    <w:bottom w:val="single" w:color="000000" w:sz="4"/>
                    <w:right w:val="single" w:color="000000" w:sz="4"/>
                  </w:tcBorders>
                </w:tcPr>
                <w:p/>
              </w:tc>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2）办公楼内温湿度、空气质量等符合《室内空气质量标准》（GB/T18883）的相关要求。</w:t>
                  </w:r>
                </w:p>
              </w:tc>
            </w:tr>
            <w:tr>
              <w:tc>
                <w:tcPr>
                  <w:tcW w:type="dxa" w:w="255"/>
                  <w:vMerge/>
                  <w:tcBorders>
                    <w:top w:val="none" w:color="000000" w:sz="4"/>
                    <w:left w:val="single" w:color="000000" w:sz="4"/>
                    <w:bottom w:val="single" w:color="000000" w:sz="4"/>
                    <w:right w:val="single" w:color="000000" w:sz="4"/>
                  </w:tcBorders>
                </w:tcPr>
                <w:p/>
              </w:tc>
              <w:tc>
                <w:tcPr>
                  <w:tcW w:type="dxa" w:w="443"/>
                  <w:vMerge/>
                  <w:tcBorders>
                    <w:top w:val="none" w:color="000000" w:sz="4"/>
                    <w:left w:val="single" w:color="000000" w:sz="4"/>
                    <w:bottom w:val="single" w:color="000000" w:sz="4"/>
                    <w:right w:val="single" w:color="000000" w:sz="4"/>
                  </w:tcBorders>
                </w:tcPr>
                <w:p/>
              </w:tc>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3）定期维保并做好记录，保证空调设施设备处于良好状态。</w:t>
                  </w:r>
                </w:p>
              </w:tc>
            </w:tr>
            <w:tr>
              <w:tc>
                <w:tcPr>
                  <w:tcW w:type="dxa" w:w="255"/>
                  <w:vMerge/>
                  <w:tcBorders>
                    <w:top w:val="none" w:color="000000" w:sz="4"/>
                    <w:left w:val="single" w:color="000000" w:sz="4"/>
                    <w:bottom w:val="single" w:color="000000" w:sz="4"/>
                    <w:right w:val="single" w:color="000000" w:sz="4"/>
                  </w:tcBorders>
                </w:tcPr>
                <w:p/>
              </w:tc>
              <w:tc>
                <w:tcPr>
                  <w:tcW w:type="dxa" w:w="443"/>
                  <w:vMerge/>
                  <w:tcBorders>
                    <w:top w:val="none" w:color="000000" w:sz="4"/>
                    <w:left w:val="single" w:color="000000" w:sz="4"/>
                    <w:bottom w:val="single" w:color="000000" w:sz="4"/>
                    <w:right w:val="single" w:color="000000" w:sz="4"/>
                  </w:tcBorders>
                </w:tcPr>
                <w:p/>
              </w:tc>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4）中央空调运行前对冷水机组、循环水泵、冷却塔、风机等设施设备进行系统检查，运行期间每日至少开展1次运行情况巡查。</w:t>
                  </w:r>
                </w:p>
              </w:tc>
            </w:tr>
            <w:tr>
              <w:tc>
                <w:tcPr>
                  <w:tcW w:type="dxa" w:w="255"/>
                  <w:vMerge/>
                  <w:tcBorders>
                    <w:top w:val="none" w:color="000000" w:sz="4"/>
                    <w:left w:val="single" w:color="000000" w:sz="4"/>
                    <w:bottom w:val="single" w:color="000000" w:sz="4"/>
                    <w:right w:val="single" w:color="000000" w:sz="4"/>
                  </w:tcBorders>
                </w:tcPr>
                <w:p/>
              </w:tc>
              <w:tc>
                <w:tcPr>
                  <w:tcW w:type="dxa" w:w="443"/>
                  <w:vMerge/>
                  <w:tcBorders>
                    <w:top w:val="none" w:color="000000" w:sz="4"/>
                    <w:left w:val="single" w:color="000000" w:sz="4"/>
                    <w:bottom w:val="single" w:color="000000" w:sz="4"/>
                    <w:right w:val="single" w:color="000000" w:sz="4"/>
                  </w:tcBorders>
                </w:tcPr>
                <w:p/>
              </w:tc>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5）每半年至少开展1次管道、阀门检查并除锈。</w:t>
                  </w:r>
                </w:p>
              </w:tc>
            </w:tr>
            <w:tr>
              <w:tc>
                <w:tcPr>
                  <w:tcW w:type="dxa" w:w="255"/>
                  <w:vMerge/>
                  <w:tcBorders>
                    <w:top w:val="none" w:color="000000" w:sz="4"/>
                    <w:left w:val="single" w:color="000000" w:sz="4"/>
                    <w:bottom w:val="single" w:color="000000" w:sz="4"/>
                    <w:right w:val="single" w:color="000000" w:sz="4"/>
                  </w:tcBorders>
                </w:tcPr>
                <w:p/>
              </w:tc>
              <w:tc>
                <w:tcPr>
                  <w:tcW w:type="dxa" w:w="443"/>
                  <w:vMerge/>
                  <w:tcBorders>
                    <w:top w:val="none" w:color="000000" w:sz="4"/>
                    <w:left w:val="single" w:color="000000" w:sz="4"/>
                    <w:bottom w:val="single" w:color="000000" w:sz="4"/>
                    <w:right w:val="single" w:color="000000" w:sz="4"/>
                  </w:tcBorders>
                </w:tcPr>
                <w:p/>
              </w:tc>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6）每年至少开展2次系统整体性维修养护，检验1次压力容器、仪表及冷却塔噪声。</w:t>
                  </w:r>
                </w:p>
              </w:tc>
            </w:tr>
            <w:tr>
              <w:tc>
                <w:tcPr>
                  <w:tcW w:type="dxa" w:w="255"/>
                  <w:vMerge/>
                  <w:tcBorders>
                    <w:top w:val="none" w:color="000000" w:sz="4"/>
                    <w:left w:val="single" w:color="000000" w:sz="4"/>
                    <w:bottom w:val="single" w:color="000000" w:sz="4"/>
                    <w:right w:val="single" w:color="000000" w:sz="4"/>
                  </w:tcBorders>
                </w:tcPr>
                <w:p/>
              </w:tc>
              <w:tc>
                <w:tcPr>
                  <w:tcW w:type="dxa" w:w="443"/>
                  <w:vMerge/>
                  <w:tcBorders>
                    <w:top w:val="none" w:color="000000" w:sz="4"/>
                    <w:left w:val="single" w:color="000000" w:sz="4"/>
                    <w:bottom w:val="single" w:color="000000" w:sz="4"/>
                    <w:right w:val="single" w:color="000000" w:sz="4"/>
                  </w:tcBorders>
                </w:tcPr>
                <w:p/>
              </w:tc>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7）每年至少开展2次新风机、空气处理机滤网等清洗消毒；每年至少开展2次风管清洗消毒。</w:t>
                  </w:r>
                </w:p>
              </w:tc>
            </w:tr>
            <w:tr>
              <w:tc>
                <w:tcPr>
                  <w:tcW w:type="dxa" w:w="255"/>
                  <w:vMerge/>
                  <w:tcBorders>
                    <w:top w:val="none" w:color="000000" w:sz="4"/>
                    <w:left w:val="single" w:color="000000" w:sz="4"/>
                    <w:bottom w:val="single" w:color="000000" w:sz="4"/>
                    <w:right w:val="single" w:color="000000" w:sz="4"/>
                  </w:tcBorders>
                </w:tcPr>
                <w:p/>
              </w:tc>
              <w:tc>
                <w:tcPr>
                  <w:tcW w:type="dxa" w:w="443"/>
                  <w:vMerge/>
                  <w:tcBorders>
                    <w:top w:val="none" w:color="000000" w:sz="4"/>
                    <w:left w:val="single" w:color="000000" w:sz="4"/>
                    <w:bottom w:val="single" w:color="000000" w:sz="4"/>
                    <w:right w:val="single" w:color="000000" w:sz="4"/>
                  </w:tcBorders>
                </w:tcPr>
                <w:p/>
              </w:tc>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8）每年至少开展2次分体式空调主机（含空调过滤网）和室外机清洁。每月至少开展2次挂机和室外支架稳固性巡查。</w:t>
                  </w:r>
                </w:p>
              </w:tc>
            </w:tr>
            <w:tr>
              <w:tc>
                <w:tcPr>
                  <w:tcW w:type="dxa" w:w="255"/>
                  <w:vMerge/>
                  <w:tcBorders>
                    <w:top w:val="none" w:color="000000" w:sz="4"/>
                    <w:left w:val="single" w:color="000000" w:sz="4"/>
                    <w:bottom w:val="single" w:color="000000" w:sz="4"/>
                    <w:right w:val="single" w:color="000000" w:sz="4"/>
                  </w:tcBorders>
                </w:tcPr>
                <w:p/>
              </w:tc>
              <w:tc>
                <w:tcPr>
                  <w:tcW w:type="dxa" w:w="443"/>
                  <w:vMerge/>
                  <w:tcBorders>
                    <w:top w:val="none" w:color="000000" w:sz="4"/>
                    <w:left w:val="single" w:color="000000" w:sz="4"/>
                    <w:bottom w:val="single" w:color="000000" w:sz="4"/>
                    <w:right w:val="single" w:color="000000" w:sz="4"/>
                  </w:tcBorders>
                </w:tcPr>
                <w:p/>
              </w:tc>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9）制冷、供暖系统温度设定及启用时间符合节能要求。</w:t>
                  </w:r>
                </w:p>
              </w:tc>
            </w:tr>
            <w:tr>
              <w:tc>
                <w:tcPr>
                  <w:tcW w:type="dxa" w:w="255"/>
                  <w:vMerge/>
                  <w:tcBorders>
                    <w:top w:val="none" w:color="000000" w:sz="4"/>
                    <w:left w:val="single" w:color="000000" w:sz="4"/>
                    <w:bottom w:val="single" w:color="000000" w:sz="4"/>
                    <w:right w:val="single" w:color="000000" w:sz="4"/>
                  </w:tcBorders>
                </w:tcPr>
                <w:p/>
              </w:tc>
              <w:tc>
                <w:tcPr>
                  <w:tcW w:type="dxa" w:w="443"/>
                  <w:vMerge/>
                  <w:tcBorders>
                    <w:top w:val="none" w:color="000000" w:sz="4"/>
                    <w:left w:val="single" w:color="000000" w:sz="4"/>
                    <w:bottom w:val="single" w:color="000000" w:sz="4"/>
                    <w:right w:val="single" w:color="000000" w:sz="4"/>
                  </w:tcBorders>
                </w:tcPr>
                <w:p/>
              </w:tc>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发现故障或损坏应当在</w:t>
                  </w:r>
                  <w:r>
                    <w:rPr>
                      <w:rFonts w:ascii="仿宋_GB2312" w:hAnsi="仿宋_GB2312" w:cs="仿宋_GB2312" w:eastAsia="仿宋_GB2312"/>
                      <w:sz w:val="20"/>
                    </w:rPr>
                    <w:t>30分钟内到场，紧急维修应当在15分钟内到达现场，一般小修在12小时内维修完毕。</w:t>
                  </w:r>
                </w:p>
              </w:tc>
            </w:tr>
          </w:tbl>
          <w:p>
            <w:pPr>
              <w:pStyle w:val="null3"/>
              <w:jc w:val="center"/>
              <w:outlineLvl w:val="2"/>
            </w:pPr>
            <w:r>
              <w:rPr>
                <w:rFonts w:ascii="仿宋_GB2312" w:hAnsi="仿宋_GB2312" w:cs="仿宋_GB2312" w:eastAsia="仿宋_GB2312"/>
                <w:sz w:val="20"/>
                <w:b/>
              </w:rPr>
              <w:t>3.7电梯设备的运行日常维护服务</w:t>
            </w:r>
          </w:p>
          <w:tbl>
            <w:tblPr>
              <w:tblInd w:type="dxa" w:w="120"/>
              <w:tblBorders>
                <w:top w:val="none" w:color="000000" w:sz="4"/>
                <w:left w:val="none" w:color="000000" w:sz="4"/>
                <w:bottom w:val="none" w:color="000000" w:sz="4"/>
                <w:right w:val="none" w:color="000000" w:sz="4"/>
                <w:insideH w:val="none"/>
                <w:insideV w:val="none"/>
              </w:tblBorders>
            </w:tblPr>
            <w:tblGrid>
              <w:gridCol w:w="236"/>
              <w:gridCol w:w="444"/>
              <w:gridCol w:w="1872"/>
            </w:tblGrid>
            <w:tr>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服务内容</w:t>
                  </w:r>
                </w:p>
              </w:tc>
              <w:tc>
                <w:tcPr>
                  <w:tcW w:type="dxa" w:w="18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服务标准</w:t>
                  </w:r>
                </w:p>
              </w:tc>
            </w:tr>
            <w:tr>
              <w:tc>
                <w:tcPr>
                  <w:tcW w:type="dxa" w:w="2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电梯设备</w:t>
                  </w:r>
                </w:p>
              </w:tc>
              <w:tc>
                <w:tcPr>
                  <w:tcW w:type="dxa" w:w="1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1）电梯运行平稳、无异响、平层、开关正常。每周至少开展2次电梯的安全状况检查。</w:t>
                  </w:r>
                </w:p>
              </w:tc>
            </w:tr>
            <w:tr>
              <w:tc>
                <w:tcPr>
                  <w:tcW w:type="dxa" w:w="236"/>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2）电梯准用证、年检合格证等证件齐全。相关证件、紧急救援电话和乘客注意事项置于轿厢醒目位置。</w:t>
                  </w:r>
                </w:p>
              </w:tc>
            </w:tr>
            <w:tr>
              <w:tc>
                <w:tcPr>
                  <w:tcW w:type="dxa" w:w="236"/>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3）每年至少开展1次对电梯的全面检测，并出具检测报告，核发电梯使用标志。</w:t>
                  </w:r>
                </w:p>
              </w:tc>
            </w:tr>
            <w:tr>
              <w:tc>
                <w:tcPr>
                  <w:tcW w:type="dxa" w:w="236"/>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4）电梯维保应当符合《电梯维护保养规则》（TSG T5002）的有关要求。具备资质的维保单位开展电梯维保工作，每日巡查，每月保养2次，每年年检，确保电梯安全运行。</w:t>
                  </w:r>
                </w:p>
              </w:tc>
            </w:tr>
            <w:tr>
              <w:tc>
                <w:tcPr>
                  <w:tcW w:type="dxa" w:w="236"/>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5）电梯使用应当符合《特种设备使用管理规则》（TSG 08）的有关要求。</w:t>
                  </w:r>
                </w:p>
              </w:tc>
            </w:tr>
            <w:tr>
              <w:tc>
                <w:tcPr>
                  <w:tcW w:type="dxa" w:w="236"/>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6）有电梯突发事件或事故的应急措施与救援预案，每年至少开展演练1次。电梯出现故障，物业服务人员10分钟内到场应急处理，维保专业人员30分钟内到场应急处理。</w:t>
                  </w:r>
                </w:p>
              </w:tc>
            </w:tr>
            <w:tr>
              <w:tc>
                <w:tcPr>
                  <w:tcW w:type="dxa" w:w="236"/>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7）到场进行救助和排除故障。电梯紧急电话保持畅通。</w:t>
                  </w:r>
                </w:p>
              </w:tc>
            </w:tr>
            <w:tr>
              <w:tc>
                <w:tcPr>
                  <w:tcW w:type="dxa" w:w="236"/>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8）电梯维修、保养时在现场设置提示标识和防护围栏。</w:t>
                  </w:r>
                </w:p>
              </w:tc>
            </w:tr>
            <w:tr>
              <w:tc>
                <w:tcPr>
                  <w:tcW w:type="dxa" w:w="236"/>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9）根据采购人需求，合理设置电梯开启的数量、时间。</w:t>
                  </w:r>
                </w:p>
              </w:tc>
            </w:tr>
          </w:tbl>
          <w:p>
            <w:pPr>
              <w:pStyle w:val="null3"/>
              <w:jc w:val="center"/>
              <w:outlineLvl w:val="2"/>
            </w:pPr>
            <w:r>
              <w:rPr>
                <w:rFonts w:ascii="仿宋_GB2312" w:hAnsi="仿宋_GB2312" w:cs="仿宋_GB2312" w:eastAsia="仿宋_GB2312"/>
                <w:sz w:val="20"/>
                <w:b/>
              </w:rPr>
              <w:t>3.8公共部位设施设备维护服务</w:t>
            </w:r>
          </w:p>
          <w:tbl>
            <w:tblPr>
              <w:tblInd w:type="dxa" w:w="120"/>
              <w:tblBorders>
                <w:top w:val="none" w:color="000000" w:sz="4"/>
                <w:left w:val="none" w:color="000000" w:sz="4"/>
                <w:bottom w:val="none" w:color="000000" w:sz="4"/>
                <w:right w:val="none" w:color="000000" w:sz="4"/>
                <w:insideH w:val="none"/>
                <w:insideV w:val="none"/>
              </w:tblBorders>
            </w:tblPr>
            <w:tblGrid>
              <w:gridCol w:w="215"/>
              <w:gridCol w:w="459"/>
              <w:gridCol w:w="1878"/>
            </w:tblGrid>
            <w:tr>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服务内容</w:t>
                  </w:r>
                </w:p>
              </w:tc>
              <w:tc>
                <w:tcPr>
                  <w:tcW w:type="dxa" w:w="1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服务标准</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基本要求</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1）重大节假日及恶劣天气前后，组织系统巡检1次。</w:t>
                  </w:r>
                </w:p>
              </w:tc>
            </w:tr>
            <w:tr>
              <w:tc>
                <w:tcPr>
                  <w:tcW w:type="dxa" w:w="215"/>
                  <w:vMerge/>
                  <w:tcBorders>
                    <w:top w:val="none" w:color="000000" w:sz="4"/>
                    <w:left w:val="single" w:color="000000" w:sz="4"/>
                    <w:bottom w:val="single" w:color="000000" w:sz="4"/>
                    <w:right w:val="single" w:color="000000" w:sz="4"/>
                  </w:tcBorders>
                </w:tcPr>
                <w:p/>
              </w:tc>
              <w:tc>
                <w:tcPr>
                  <w:tcW w:type="dxa" w:w="459"/>
                  <w:vMerge/>
                  <w:tcBorders>
                    <w:top w:val="none" w:color="000000" w:sz="4"/>
                    <w:left w:val="single" w:color="000000" w:sz="4"/>
                    <w:bottom w:val="single" w:color="000000" w:sz="4"/>
                    <w:right w:val="single" w:color="000000" w:sz="4"/>
                  </w:tcBorders>
                </w:tcP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2）具备设施设备安全、稳定运行的环境和场所（含有限空间），温湿度、照度、粉尘和烟雾浓度等符合相关安全规范。</w:t>
                  </w:r>
                </w:p>
              </w:tc>
            </w:tr>
            <w:tr>
              <w:tc>
                <w:tcPr>
                  <w:tcW w:type="dxa" w:w="215"/>
                  <w:vMerge/>
                  <w:tcBorders>
                    <w:top w:val="none" w:color="000000" w:sz="4"/>
                    <w:left w:val="single" w:color="000000" w:sz="4"/>
                    <w:bottom w:val="single" w:color="000000" w:sz="4"/>
                    <w:right w:val="single" w:color="000000" w:sz="4"/>
                  </w:tcBorders>
                </w:tcPr>
                <w:p/>
              </w:tc>
              <w:tc>
                <w:tcPr>
                  <w:tcW w:type="dxa" w:w="459"/>
                  <w:vMerge/>
                  <w:tcBorders>
                    <w:top w:val="none" w:color="000000" w:sz="4"/>
                    <w:left w:val="single" w:color="000000" w:sz="4"/>
                    <w:bottom w:val="single" w:color="000000" w:sz="4"/>
                    <w:right w:val="single" w:color="000000" w:sz="4"/>
                  </w:tcBorders>
                </w:tcP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3）楼体</w:t>
                  </w:r>
                  <w:r>
                    <w:rPr>
                      <w:rFonts w:ascii="仿宋_GB2312" w:hAnsi="仿宋_GB2312" w:cs="仿宋_GB2312" w:eastAsia="仿宋_GB2312"/>
                      <w:sz w:val="20"/>
                    </w:rPr>
                    <w:t>外观整洁、完好，定期检查、维护</w:t>
                  </w:r>
                </w:p>
              </w:tc>
            </w:tr>
            <w:tr>
              <w:tc>
                <w:tcPr>
                  <w:tcW w:type="dxa" w:w="215"/>
                  <w:vMerge/>
                  <w:tcBorders>
                    <w:top w:val="none" w:color="000000" w:sz="4"/>
                    <w:left w:val="single" w:color="000000" w:sz="4"/>
                    <w:bottom w:val="single" w:color="000000" w:sz="4"/>
                    <w:right w:val="single" w:color="000000" w:sz="4"/>
                  </w:tcBorders>
                </w:tcPr>
                <w:p/>
              </w:tc>
              <w:tc>
                <w:tcPr>
                  <w:tcW w:type="dxa" w:w="459"/>
                  <w:vMerge/>
                  <w:tcBorders>
                    <w:top w:val="none" w:color="000000" w:sz="4"/>
                    <w:left w:val="single" w:color="000000" w:sz="4"/>
                    <w:bottom w:val="single" w:color="000000" w:sz="4"/>
                    <w:right w:val="single" w:color="000000" w:sz="4"/>
                  </w:tcBorders>
                </w:tcP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完善的设备安全运行、维修养护管理制度，管理责任明确，有设备管理台账、运行记录、检查记录、维修和保养记录。</w:t>
                  </w:r>
                </w:p>
              </w:tc>
            </w:tr>
            <w:tr>
              <w:tc>
                <w:tcPr>
                  <w:tcW w:type="dxa" w:w="215"/>
                  <w:vMerge/>
                  <w:tcBorders>
                    <w:top w:val="none" w:color="000000" w:sz="4"/>
                    <w:left w:val="single" w:color="000000" w:sz="4"/>
                    <w:bottom w:val="single" w:color="000000" w:sz="4"/>
                    <w:right w:val="single" w:color="000000" w:sz="4"/>
                  </w:tcBorders>
                </w:tcPr>
                <w:p/>
              </w:tc>
              <w:tc>
                <w:tcPr>
                  <w:tcW w:type="dxa" w:w="459"/>
                  <w:vMerge/>
                  <w:tcBorders>
                    <w:top w:val="none" w:color="000000" w:sz="4"/>
                    <w:left w:val="single" w:color="000000" w:sz="4"/>
                    <w:bottom w:val="single" w:color="000000" w:sz="4"/>
                    <w:right w:val="single" w:color="000000" w:sz="4"/>
                  </w:tcBorders>
                </w:tcP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停水停电提前通知（市政突发停水停电除外），及时启用应急电源。</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设备机房</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设备机房门口有机房类别及安全标志。落实各类机房责任人、督查人，且设备系统图、应急预案流程图、管理制度、特种作业人员资格证书等上墙文件或证书符合各设备机房国家标准规范要求，机房巡视及外来人员记录清晰完整，标识统一。</w:t>
                  </w:r>
                </w:p>
              </w:tc>
            </w:tr>
            <w:tr>
              <w:tc>
                <w:tcPr>
                  <w:tcW w:type="dxa" w:w="215"/>
                  <w:vMerge/>
                  <w:tcBorders>
                    <w:top w:val="none" w:color="000000" w:sz="4"/>
                    <w:left w:val="single" w:color="000000" w:sz="4"/>
                    <w:bottom w:val="single" w:color="000000" w:sz="4"/>
                    <w:right w:val="single" w:color="000000" w:sz="4"/>
                  </w:tcBorders>
                </w:tcPr>
                <w:p/>
              </w:tc>
              <w:tc>
                <w:tcPr>
                  <w:tcW w:type="dxa" w:w="459"/>
                  <w:vMerge/>
                  <w:tcBorders>
                    <w:top w:val="none" w:color="000000" w:sz="4"/>
                    <w:left w:val="single" w:color="000000" w:sz="4"/>
                    <w:bottom w:val="single" w:color="000000" w:sz="4"/>
                    <w:right w:val="single" w:color="000000" w:sz="4"/>
                  </w:tcBorders>
                </w:tcP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2）设备机房门窗、锁具应当完好、有效。</w:t>
                  </w:r>
                </w:p>
              </w:tc>
            </w:tr>
            <w:tr>
              <w:tc>
                <w:tcPr>
                  <w:tcW w:type="dxa" w:w="215"/>
                  <w:vMerge/>
                  <w:tcBorders>
                    <w:top w:val="none" w:color="000000" w:sz="4"/>
                    <w:left w:val="single" w:color="000000" w:sz="4"/>
                    <w:bottom w:val="single" w:color="000000" w:sz="4"/>
                    <w:right w:val="single" w:color="000000" w:sz="4"/>
                  </w:tcBorders>
                </w:tcPr>
                <w:p/>
              </w:tc>
              <w:tc>
                <w:tcPr>
                  <w:tcW w:type="dxa" w:w="459"/>
                  <w:vMerge/>
                  <w:tcBorders>
                    <w:top w:val="none" w:color="000000" w:sz="4"/>
                    <w:left w:val="single" w:color="000000" w:sz="4"/>
                    <w:bottom w:val="single" w:color="000000" w:sz="4"/>
                    <w:right w:val="single" w:color="000000" w:sz="4"/>
                  </w:tcBorders>
                </w:tcP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3）每半月至少开展1次清洁，整洁有序、无杂物、无积尘、无鼠、无虫害，温湿度符合设备运行要求。</w:t>
                  </w:r>
                </w:p>
              </w:tc>
            </w:tr>
            <w:tr>
              <w:tc>
                <w:tcPr>
                  <w:tcW w:type="dxa" w:w="215"/>
                  <w:vMerge/>
                  <w:tcBorders>
                    <w:top w:val="none" w:color="000000" w:sz="4"/>
                    <w:left w:val="single" w:color="000000" w:sz="4"/>
                    <w:bottom w:val="single" w:color="000000" w:sz="4"/>
                    <w:right w:val="single" w:color="000000" w:sz="4"/>
                  </w:tcBorders>
                </w:tcPr>
                <w:p/>
              </w:tc>
              <w:tc>
                <w:tcPr>
                  <w:tcW w:type="dxa" w:w="459"/>
                  <w:vMerge/>
                  <w:tcBorders>
                    <w:top w:val="none" w:color="000000" w:sz="4"/>
                    <w:left w:val="single" w:color="000000" w:sz="4"/>
                    <w:bottom w:val="single" w:color="000000" w:sz="4"/>
                    <w:right w:val="single" w:color="000000" w:sz="4"/>
                  </w:tcBorders>
                </w:tcP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4）按各设备机房国家标准规范规定维护/保管消防、通风、应急照明，防止小动物进入。</w:t>
                  </w:r>
                </w:p>
              </w:tc>
            </w:tr>
            <w:tr>
              <w:tc>
                <w:tcPr>
                  <w:tcW w:type="dxa" w:w="215"/>
                  <w:vMerge/>
                  <w:tcBorders>
                    <w:top w:val="none" w:color="000000" w:sz="4"/>
                    <w:left w:val="single" w:color="000000" w:sz="4"/>
                    <w:bottom w:val="single" w:color="000000" w:sz="4"/>
                    <w:right w:val="single" w:color="000000" w:sz="4"/>
                  </w:tcBorders>
                </w:tcPr>
                <w:p/>
              </w:tc>
              <w:tc>
                <w:tcPr>
                  <w:tcW w:type="dxa" w:w="459"/>
                  <w:vMerge/>
                  <w:tcBorders>
                    <w:top w:val="none" w:color="000000" w:sz="4"/>
                    <w:left w:val="single" w:color="000000" w:sz="4"/>
                    <w:bottom w:val="single" w:color="000000" w:sz="4"/>
                    <w:right w:val="single" w:color="000000" w:sz="4"/>
                  </w:tcBorders>
                </w:tcP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5）安全防护用具配置齐全，检验合格。</w:t>
                  </w:r>
                </w:p>
              </w:tc>
            </w:tr>
            <w:tr>
              <w:tc>
                <w:tcPr>
                  <w:tcW w:type="dxa" w:w="215"/>
                  <w:vMerge/>
                  <w:tcBorders>
                    <w:top w:val="none" w:color="000000" w:sz="4"/>
                    <w:left w:val="single" w:color="000000" w:sz="4"/>
                    <w:bottom w:val="single" w:color="000000" w:sz="4"/>
                    <w:right w:val="single" w:color="000000" w:sz="4"/>
                  </w:tcBorders>
                </w:tcPr>
                <w:p/>
              </w:tc>
              <w:tc>
                <w:tcPr>
                  <w:tcW w:type="dxa" w:w="459"/>
                  <w:vMerge/>
                  <w:tcBorders>
                    <w:top w:val="none" w:color="000000" w:sz="4"/>
                    <w:left w:val="single" w:color="000000" w:sz="4"/>
                    <w:bottom w:val="single" w:color="000000" w:sz="4"/>
                    <w:right w:val="single" w:color="000000" w:sz="4"/>
                  </w:tcBorders>
                </w:tcP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6）应急设施设备用品应当齐全、完备，可随时启用。</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弱电系统</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1）安全防范系统维护保养符合《安全防范系统维护保养规范》（</w:t>
                  </w:r>
                  <w:r>
                    <w:rPr>
                      <w:rFonts w:ascii="仿宋_GB2312" w:hAnsi="仿宋_GB2312" w:cs="仿宋_GB2312" w:eastAsia="仿宋_GB2312"/>
                      <w:sz w:val="20"/>
                    </w:rPr>
                    <w:t>GA/T 1081</w:t>
                  </w:r>
                  <w:r>
                    <w:rPr>
                      <w:rFonts w:ascii="仿宋_GB2312" w:hAnsi="仿宋_GB2312" w:cs="仿宋_GB2312" w:eastAsia="仿宋_GB2312"/>
                      <w:sz w:val="20"/>
                    </w:rPr>
                    <w:t>）的相关要求。</w:t>
                  </w:r>
                </w:p>
              </w:tc>
            </w:tr>
            <w:tr>
              <w:tc>
                <w:tcPr>
                  <w:tcW w:type="dxa" w:w="215"/>
                  <w:vMerge/>
                  <w:tcBorders>
                    <w:top w:val="none" w:color="000000" w:sz="4"/>
                    <w:left w:val="single" w:color="000000" w:sz="4"/>
                    <w:bottom w:val="single" w:color="000000" w:sz="4"/>
                    <w:right w:val="single" w:color="000000" w:sz="4"/>
                  </w:tcBorders>
                </w:tcPr>
                <w:p/>
              </w:tc>
              <w:tc>
                <w:tcPr>
                  <w:tcW w:type="dxa" w:w="459"/>
                  <w:vMerge/>
                  <w:tcBorders>
                    <w:top w:val="none" w:color="000000" w:sz="4"/>
                    <w:left w:val="single" w:color="000000" w:sz="4"/>
                    <w:bottom w:val="single" w:color="000000" w:sz="4"/>
                    <w:right w:val="single" w:color="000000" w:sz="4"/>
                  </w:tcBorders>
                </w:tcP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2）每月对门禁、监控进行检查维护，确保弱电系统正常运行（不包含各局办自用设备网络及设备机房维护）。保持监控、门禁系统、安全防范系统等运行正常，有故障及时排除。</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照明</w:t>
                  </w:r>
                  <w:r>
                    <w:rPr>
                      <w:rFonts w:ascii="仿宋_GB2312" w:hAnsi="仿宋_GB2312" w:cs="仿宋_GB2312" w:eastAsia="仿宋_GB2312"/>
                      <w:sz w:val="20"/>
                    </w:rPr>
                    <w:t>系统</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1）外观整洁无缺损、无松落。</w:t>
                  </w:r>
                </w:p>
              </w:tc>
            </w:tr>
            <w:tr>
              <w:tc>
                <w:tcPr>
                  <w:tcW w:type="dxa" w:w="215"/>
                  <w:vMerge/>
                  <w:tcBorders>
                    <w:top w:val="none" w:color="000000" w:sz="4"/>
                    <w:left w:val="single" w:color="000000" w:sz="4"/>
                    <w:bottom w:val="single" w:color="000000" w:sz="4"/>
                    <w:right w:val="single" w:color="000000" w:sz="4"/>
                  </w:tcBorders>
                </w:tcPr>
                <w:p/>
              </w:tc>
              <w:tc>
                <w:tcPr>
                  <w:tcW w:type="dxa" w:w="459"/>
                  <w:vMerge/>
                  <w:tcBorders>
                    <w:top w:val="none" w:color="000000" w:sz="4"/>
                    <w:left w:val="single" w:color="000000" w:sz="4"/>
                    <w:bottom w:val="single" w:color="000000" w:sz="4"/>
                    <w:right w:val="single" w:color="000000" w:sz="4"/>
                  </w:tcBorders>
                </w:tcP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2）更换的照明灯具应当选用节能环保产品，亮度与更换前保持一致。</w:t>
                  </w:r>
                </w:p>
              </w:tc>
            </w:tr>
            <w:tr>
              <w:tc>
                <w:tcPr>
                  <w:tcW w:type="dxa" w:w="215"/>
                  <w:vMerge/>
                  <w:tcBorders>
                    <w:top w:val="none" w:color="000000" w:sz="4"/>
                    <w:left w:val="single" w:color="000000" w:sz="4"/>
                    <w:bottom w:val="single" w:color="000000" w:sz="4"/>
                    <w:right w:val="single" w:color="000000" w:sz="4"/>
                  </w:tcBorders>
                </w:tcPr>
                <w:p/>
              </w:tc>
              <w:tc>
                <w:tcPr>
                  <w:tcW w:type="dxa" w:w="459"/>
                  <w:vMerge/>
                  <w:tcBorders>
                    <w:top w:val="none" w:color="000000" w:sz="4"/>
                    <w:left w:val="single" w:color="000000" w:sz="4"/>
                    <w:bottom w:val="single" w:color="000000" w:sz="4"/>
                    <w:right w:val="single" w:color="000000" w:sz="4"/>
                  </w:tcBorders>
                </w:tcP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3）每周至少开展1次公共区域照明设备巡视。</w:t>
                  </w:r>
                </w:p>
              </w:tc>
            </w:tr>
          </w:tbl>
          <w:p>
            <w:pPr>
              <w:pStyle w:val="null3"/>
              <w:jc w:val="center"/>
            </w:pPr>
            <w:r>
              <w:rPr>
                <w:rFonts w:ascii="仿宋_GB2312" w:hAnsi="仿宋_GB2312" w:cs="仿宋_GB2312" w:eastAsia="仿宋_GB2312"/>
                <w:sz w:val="20"/>
                <w:b/>
              </w:rPr>
              <w:t>3.9消防系统运行日常维护服务</w:t>
            </w:r>
          </w:p>
          <w:tbl>
            <w:tblPr>
              <w:tblInd w:type="dxa" w:w="120"/>
              <w:tblBorders>
                <w:top w:val="none" w:color="000000" w:sz="4"/>
                <w:left w:val="none" w:color="000000" w:sz="4"/>
                <w:bottom w:val="none" w:color="000000" w:sz="4"/>
                <w:right w:val="none" w:color="000000" w:sz="4"/>
                <w:insideH w:val="none"/>
                <w:insideV w:val="none"/>
              </w:tblBorders>
            </w:tblPr>
            <w:tblGrid>
              <w:gridCol w:w="233"/>
              <w:gridCol w:w="449"/>
              <w:gridCol w:w="1871"/>
            </w:tblGrid>
            <w:tr>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服务内容</w:t>
                  </w:r>
                </w:p>
              </w:tc>
              <w:tc>
                <w:tcPr>
                  <w:tcW w:type="dxa" w:w="18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服务标准</w:t>
                  </w:r>
                </w:p>
              </w:tc>
            </w:tr>
            <w:tr>
              <w:tc>
                <w:tcPr>
                  <w:tcW w:type="dxa" w:w="2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消防</w:t>
                  </w:r>
                  <w:r>
                    <w:rPr>
                      <w:rFonts w:ascii="仿宋_GB2312" w:hAnsi="仿宋_GB2312" w:cs="仿宋_GB2312" w:eastAsia="仿宋_GB2312"/>
                      <w:sz w:val="20"/>
                    </w:rPr>
                    <w:t>系统</w:t>
                  </w:r>
                </w:p>
              </w:tc>
              <w:tc>
                <w:tcPr>
                  <w:tcW w:type="dxa" w:w="1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1）消防设施的维护管理符合《建筑消防设施的维护管理》（GB25201）的相关要求。</w:t>
                  </w:r>
                </w:p>
              </w:tc>
            </w:tr>
            <w:tr>
              <w:tc>
                <w:tcPr>
                  <w:tcW w:type="dxa" w:w="233"/>
                  <w:vMerge/>
                  <w:tcBorders>
                    <w:top w:val="none" w:color="000000" w:sz="4"/>
                    <w:left w:val="single" w:color="000000" w:sz="4"/>
                    <w:bottom w:val="single" w:color="000000" w:sz="4"/>
                    <w:right w:val="single" w:color="000000" w:sz="4"/>
                  </w:tcBorders>
                </w:tcPr>
                <w:p/>
              </w:tc>
              <w:tc>
                <w:tcPr>
                  <w:tcW w:type="dxa" w:w="449"/>
                  <w:vMerge/>
                  <w:tcBorders>
                    <w:top w:val="none" w:color="000000" w:sz="4"/>
                    <w:left w:val="single" w:color="000000" w:sz="4"/>
                    <w:bottom w:val="single" w:color="000000" w:sz="4"/>
                    <w:right w:val="single" w:color="000000" w:sz="4"/>
                  </w:tcBorders>
                </w:tcPr>
                <w:p/>
              </w:tc>
              <w:tc>
                <w:tcPr>
                  <w:tcW w:type="dxa" w:w="1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2）消防设备检测符合《建筑消防设施检测技术规程》（GA503或XF503）的相关要求。</w:t>
                  </w:r>
                </w:p>
              </w:tc>
            </w:tr>
            <w:tr>
              <w:tc>
                <w:tcPr>
                  <w:tcW w:type="dxa" w:w="233"/>
                  <w:vMerge/>
                  <w:tcBorders>
                    <w:top w:val="none" w:color="000000" w:sz="4"/>
                    <w:left w:val="single" w:color="000000" w:sz="4"/>
                    <w:bottom w:val="single" w:color="000000" w:sz="4"/>
                    <w:right w:val="single" w:color="000000" w:sz="4"/>
                  </w:tcBorders>
                </w:tcPr>
                <w:p/>
              </w:tc>
              <w:tc>
                <w:tcPr>
                  <w:tcW w:type="dxa" w:w="449"/>
                  <w:vMerge/>
                  <w:tcBorders>
                    <w:top w:val="none" w:color="000000" w:sz="4"/>
                    <w:left w:val="single" w:color="000000" w:sz="4"/>
                    <w:bottom w:val="single" w:color="000000" w:sz="4"/>
                    <w:right w:val="single" w:color="000000" w:sz="4"/>
                  </w:tcBorders>
                </w:tcPr>
                <w:p/>
              </w:tc>
              <w:tc>
                <w:tcPr>
                  <w:tcW w:type="dxa" w:w="1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3）消防设施平面图、火警疏散示意图、防火分区图等按幢设置在楼层醒目位置。</w:t>
                  </w:r>
                </w:p>
              </w:tc>
            </w:tr>
            <w:tr>
              <w:tc>
                <w:tcPr>
                  <w:tcW w:type="dxa" w:w="233"/>
                  <w:vMerge/>
                  <w:tcBorders>
                    <w:top w:val="none" w:color="000000" w:sz="4"/>
                    <w:left w:val="single" w:color="000000" w:sz="4"/>
                    <w:bottom w:val="single" w:color="000000" w:sz="4"/>
                    <w:right w:val="single" w:color="000000" w:sz="4"/>
                  </w:tcBorders>
                </w:tcPr>
                <w:p/>
              </w:tc>
              <w:tc>
                <w:tcPr>
                  <w:tcW w:type="dxa" w:w="449"/>
                  <w:vMerge/>
                  <w:tcBorders>
                    <w:top w:val="none" w:color="000000" w:sz="4"/>
                    <w:left w:val="single" w:color="000000" w:sz="4"/>
                    <w:bottom w:val="single" w:color="000000" w:sz="4"/>
                    <w:right w:val="single" w:color="000000" w:sz="4"/>
                  </w:tcBorders>
                </w:tcPr>
                <w:p/>
              </w:tc>
              <w:tc>
                <w:tcPr>
                  <w:tcW w:type="dxa" w:w="1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4）消防系统各设施设备使用说明清晰，宜图文结合。</w:t>
                  </w:r>
                </w:p>
              </w:tc>
            </w:tr>
            <w:tr>
              <w:tc>
                <w:tcPr>
                  <w:tcW w:type="dxa" w:w="233"/>
                  <w:vMerge/>
                  <w:tcBorders>
                    <w:top w:val="none" w:color="000000" w:sz="4"/>
                    <w:left w:val="single" w:color="000000" w:sz="4"/>
                    <w:bottom w:val="single" w:color="000000" w:sz="4"/>
                    <w:right w:val="single" w:color="000000" w:sz="4"/>
                  </w:tcBorders>
                </w:tcPr>
                <w:p/>
              </w:tc>
              <w:tc>
                <w:tcPr>
                  <w:tcW w:type="dxa" w:w="449"/>
                  <w:vMerge/>
                  <w:tcBorders>
                    <w:top w:val="none" w:color="000000" w:sz="4"/>
                    <w:left w:val="single" w:color="000000" w:sz="4"/>
                    <w:bottom w:val="single" w:color="000000" w:sz="4"/>
                    <w:right w:val="single" w:color="000000" w:sz="4"/>
                  </w:tcBorders>
                </w:tcPr>
                <w:p/>
              </w:tc>
              <w:tc>
                <w:tcPr>
                  <w:tcW w:type="dxa" w:w="1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5）自动喷水灭火系统启动正常。</w:t>
                  </w:r>
                </w:p>
              </w:tc>
            </w:tr>
            <w:tr>
              <w:tc>
                <w:tcPr>
                  <w:tcW w:type="dxa" w:w="233"/>
                  <w:vMerge/>
                  <w:tcBorders>
                    <w:top w:val="none" w:color="000000" w:sz="4"/>
                    <w:left w:val="single" w:color="000000" w:sz="4"/>
                    <w:bottom w:val="single" w:color="000000" w:sz="4"/>
                    <w:right w:val="single" w:color="000000" w:sz="4"/>
                  </w:tcBorders>
                </w:tcPr>
                <w:p/>
              </w:tc>
              <w:tc>
                <w:tcPr>
                  <w:tcW w:type="dxa" w:w="449"/>
                  <w:vMerge/>
                  <w:tcBorders>
                    <w:top w:val="none" w:color="000000" w:sz="4"/>
                    <w:left w:val="single" w:color="000000" w:sz="4"/>
                    <w:bottom w:val="single" w:color="000000" w:sz="4"/>
                    <w:right w:val="single" w:color="000000" w:sz="4"/>
                  </w:tcBorders>
                </w:tcPr>
                <w:p/>
              </w:tc>
              <w:tc>
                <w:tcPr>
                  <w:tcW w:type="dxa" w:w="1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6）消火栓箱、防火门、灭火器、消防水泵、红外线报警器、应急照明、安全疏散等系统运行正常。</w:t>
                  </w:r>
                </w:p>
              </w:tc>
            </w:tr>
            <w:tr>
              <w:tc>
                <w:tcPr>
                  <w:tcW w:type="dxa" w:w="233"/>
                  <w:vMerge/>
                  <w:tcBorders>
                    <w:top w:val="none" w:color="000000" w:sz="4"/>
                    <w:left w:val="single" w:color="000000" w:sz="4"/>
                    <w:bottom w:val="single" w:color="000000" w:sz="4"/>
                    <w:right w:val="single" w:color="000000" w:sz="4"/>
                  </w:tcBorders>
                </w:tcPr>
                <w:p/>
              </w:tc>
              <w:tc>
                <w:tcPr>
                  <w:tcW w:type="dxa" w:w="449"/>
                  <w:vMerge/>
                  <w:tcBorders>
                    <w:top w:val="none" w:color="000000" w:sz="4"/>
                    <w:left w:val="single" w:color="000000" w:sz="4"/>
                    <w:bottom w:val="single" w:color="000000" w:sz="4"/>
                    <w:right w:val="single" w:color="000000" w:sz="4"/>
                  </w:tcBorders>
                </w:tcPr>
                <w:p/>
              </w:tc>
              <w:tc>
                <w:tcPr>
                  <w:tcW w:type="dxa" w:w="1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7）消防监控，运行良好，自动和手动报警设施启动正常。</w:t>
                  </w:r>
                </w:p>
              </w:tc>
            </w:tr>
            <w:tr>
              <w:tc>
                <w:tcPr>
                  <w:tcW w:type="dxa" w:w="233"/>
                  <w:vMerge/>
                  <w:tcBorders>
                    <w:top w:val="none" w:color="000000" w:sz="4"/>
                    <w:left w:val="single" w:color="000000" w:sz="4"/>
                    <w:bottom w:val="single" w:color="000000" w:sz="4"/>
                    <w:right w:val="single" w:color="000000" w:sz="4"/>
                  </w:tcBorders>
                </w:tcPr>
                <w:p/>
              </w:tc>
              <w:tc>
                <w:tcPr>
                  <w:tcW w:type="dxa" w:w="449"/>
                  <w:vMerge/>
                  <w:tcBorders>
                    <w:top w:val="none" w:color="000000" w:sz="4"/>
                    <w:left w:val="single" w:color="000000" w:sz="4"/>
                    <w:bottom w:val="single" w:color="000000" w:sz="4"/>
                    <w:right w:val="single" w:color="000000" w:sz="4"/>
                  </w:tcBorders>
                </w:tcPr>
                <w:p/>
              </w:tc>
              <w:tc>
                <w:tcPr>
                  <w:tcW w:type="dxa" w:w="1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8）由具备资质的维保单位开展消防系统维保工作，每月进行消防系统检测，确保系统正常。出具消防检测报告。</w:t>
                  </w:r>
                </w:p>
              </w:tc>
            </w:tr>
            <w:tr>
              <w:tc>
                <w:tcPr>
                  <w:tcW w:type="dxa" w:w="233"/>
                  <w:vMerge/>
                  <w:tcBorders>
                    <w:top w:val="none" w:color="000000" w:sz="4"/>
                    <w:left w:val="single" w:color="000000" w:sz="4"/>
                    <w:bottom w:val="single" w:color="000000" w:sz="4"/>
                    <w:right w:val="single" w:color="000000" w:sz="4"/>
                  </w:tcBorders>
                </w:tcPr>
                <w:p/>
              </w:tc>
              <w:tc>
                <w:tcPr>
                  <w:tcW w:type="dxa" w:w="449"/>
                  <w:vMerge/>
                  <w:tcBorders>
                    <w:top w:val="none" w:color="000000" w:sz="4"/>
                    <w:left w:val="single" w:color="000000" w:sz="4"/>
                    <w:bottom w:val="single" w:color="000000" w:sz="4"/>
                    <w:right w:val="single" w:color="000000" w:sz="4"/>
                  </w:tcBorders>
                </w:tcPr>
                <w:p/>
              </w:tc>
              <w:tc>
                <w:tcPr>
                  <w:tcW w:type="dxa" w:w="1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9）正压送风、防排烟系统运行正常。</w:t>
                  </w:r>
                </w:p>
              </w:tc>
            </w:tr>
          </w:tbl>
          <w:p>
            <w:pPr>
              <w:pStyle w:val="null3"/>
              <w:jc w:val="center"/>
            </w:pPr>
            <w:r>
              <w:rPr>
                <w:rFonts w:ascii="仿宋_GB2312" w:hAnsi="仿宋_GB2312" w:cs="仿宋_GB2312" w:eastAsia="仿宋_GB2312"/>
                <w:sz w:val="20"/>
                <w:b/>
              </w:rPr>
              <w:t>3.10监控日常运行维护服务</w:t>
            </w:r>
          </w:p>
          <w:tbl>
            <w:tblPr>
              <w:tblInd w:type="dxa" w:w="120"/>
              <w:tblBorders>
                <w:top w:val="none" w:color="000000" w:sz="4"/>
                <w:left w:val="none" w:color="000000" w:sz="4"/>
                <w:bottom w:val="none" w:color="000000" w:sz="4"/>
                <w:right w:val="none" w:color="000000" w:sz="4"/>
                <w:insideH w:val="none"/>
                <w:insideV w:val="none"/>
              </w:tblBorders>
            </w:tblPr>
            <w:tblGrid>
              <w:gridCol w:w="233"/>
              <w:gridCol w:w="437"/>
              <w:gridCol w:w="1883"/>
            </w:tblGrid>
            <w:tr>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服务内容</w:t>
                  </w:r>
                </w:p>
              </w:tc>
              <w:tc>
                <w:tcPr>
                  <w:tcW w:type="dxa" w:w="18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服务标准</w:t>
                  </w:r>
                </w:p>
              </w:tc>
            </w:tr>
            <w:tr>
              <w:tc>
                <w:tcPr>
                  <w:tcW w:type="dxa" w:w="2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监控</w:t>
                  </w: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1）监控室环境符合系统设备运行要求，定期进行检查和检测，确保系统功能正常。</w:t>
                  </w:r>
                </w:p>
              </w:tc>
            </w:tr>
            <w:tr>
              <w:tc>
                <w:tcPr>
                  <w:tcW w:type="dxa" w:w="233"/>
                  <w:vMerge/>
                  <w:tcBorders>
                    <w:top w:val="none" w:color="000000" w:sz="4"/>
                    <w:left w:val="single" w:color="000000" w:sz="4"/>
                    <w:bottom w:val="single" w:color="000000" w:sz="4"/>
                    <w:right w:val="single" w:color="000000" w:sz="4"/>
                  </w:tcBorders>
                </w:tcPr>
                <w:p/>
              </w:tc>
              <w:tc>
                <w:tcPr>
                  <w:tcW w:type="dxa" w:w="437"/>
                  <w:vMerge/>
                  <w:tcBorders>
                    <w:top w:val="none" w:color="000000" w:sz="4"/>
                    <w:left w:val="single" w:color="000000" w:sz="4"/>
                    <w:bottom w:val="single" w:color="000000" w:sz="4"/>
                    <w:right w:val="single" w:color="000000" w:sz="4"/>
                  </w:tcBorders>
                </w:tcP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2）监控设备24小时正常运行，监控室实行专人24小时值班制度。</w:t>
                  </w:r>
                </w:p>
              </w:tc>
            </w:tr>
            <w:tr>
              <w:tc>
                <w:tcPr>
                  <w:tcW w:type="dxa" w:w="233"/>
                  <w:vMerge/>
                  <w:tcBorders>
                    <w:top w:val="none" w:color="000000" w:sz="4"/>
                    <w:left w:val="single" w:color="000000" w:sz="4"/>
                    <w:bottom w:val="single" w:color="000000" w:sz="4"/>
                    <w:right w:val="single" w:color="000000" w:sz="4"/>
                  </w:tcBorders>
                </w:tcPr>
                <w:p/>
              </w:tc>
              <w:tc>
                <w:tcPr>
                  <w:tcW w:type="dxa" w:w="437"/>
                  <w:vMerge/>
                  <w:tcBorders>
                    <w:top w:val="none" w:color="000000" w:sz="4"/>
                    <w:left w:val="single" w:color="000000" w:sz="4"/>
                    <w:bottom w:val="single" w:color="000000" w:sz="4"/>
                    <w:right w:val="single" w:color="000000" w:sz="4"/>
                  </w:tcBorders>
                </w:tcP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3）监控记录画面清晰。</w:t>
                  </w:r>
                </w:p>
              </w:tc>
            </w:tr>
            <w:tr>
              <w:tc>
                <w:tcPr>
                  <w:tcW w:type="dxa" w:w="233"/>
                  <w:vMerge/>
                  <w:tcBorders>
                    <w:top w:val="none" w:color="000000" w:sz="4"/>
                    <w:left w:val="single" w:color="000000" w:sz="4"/>
                    <w:bottom w:val="single" w:color="000000" w:sz="4"/>
                    <w:right w:val="single" w:color="000000" w:sz="4"/>
                  </w:tcBorders>
                </w:tcPr>
                <w:p/>
              </w:tc>
              <w:tc>
                <w:tcPr>
                  <w:tcW w:type="dxa" w:w="437"/>
                  <w:vMerge/>
                  <w:tcBorders>
                    <w:top w:val="none" w:color="000000" w:sz="4"/>
                    <w:left w:val="single" w:color="000000" w:sz="4"/>
                    <w:bottom w:val="single" w:color="000000" w:sz="4"/>
                    <w:right w:val="single" w:color="000000" w:sz="4"/>
                  </w:tcBorders>
                </w:tcP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4）值班期间遵守操作规程和保密制度，做好监控记录的保存工作。</w:t>
                  </w:r>
                </w:p>
              </w:tc>
            </w:tr>
            <w:tr>
              <w:tc>
                <w:tcPr>
                  <w:tcW w:type="dxa" w:w="233"/>
                  <w:vMerge/>
                  <w:tcBorders>
                    <w:top w:val="none" w:color="000000" w:sz="4"/>
                    <w:left w:val="single" w:color="000000" w:sz="4"/>
                    <w:bottom w:val="single" w:color="000000" w:sz="4"/>
                    <w:right w:val="single" w:color="000000" w:sz="4"/>
                  </w:tcBorders>
                </w:tcPr>
                <w:p/>
              </w:tc>
              <w:tc>
                <w:tcPr>
                  <w:tcW w:type="dxa" w:w="437"/>
                  <w:vMerge/>
                  <w:tcBorders>
                    <w:top w:val="none" w:color="000000" w:sz="4"/>
                    <w:left w:val="single" w:color="000000" w:sz="4"/>
                    <w:bottom w:val="single" w:color="000000" w:sz="4"/>
                    <w:right w:val="single" w:color="000000" w:sz="4"/>
                  </w:tcBorders>
                </w:tcP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5）监控记录保持完整，保存时间不应少于30天。</w:t>
                  </w:r>
                </w:p>
              </w:tc>
            </w:tr>
            <w:tr>
              <w:tc>
                <w:tcPr>
                  <w:tcW w:type="dxa" w:w="233"/>
                  <w:vMerge/>
                  <w:tcBorders>
                    <w:top w:val="none" w:color="000000" w:sz="4"/>
                    <w:left w:val="single" w:color="000000" w:sz="4"/>
                    <w:bottom w:val="single" w:color="000000" w:sz="4"/>
                    <w:right w:val="single" w:color="000000" w:sz="4"/>
                  </w:tcBorders>
                </w:tcPr>
                <w:p/>
              </w:tc>
              <w:tc>
                <w:tcPr>
                  <w:tcW w:type="dxa" w:w="437"/>
                  <w:vMerge/>
                  <w:tcBorders>
                    <w:top w:val="none" w:color="000000" w:sz="4"/>
                    <w:left w:val="single" w:color="000000" w:sz="4"/>
                    <w:bottom w:val="single" w:color="000000" w:sz="4"/>
                    <w:right w:val="single" w:color="000000" w:sz="4"/>
                  </w:tcBorders>
                </w:tcP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6）无关人员进入监控室或查阅监控记录，经授权人批准并做好相关记录。</w:t>
                  </w:r>
                </w:p>
              </w:tc>
            </w:tr>
          </w:tbl>
          <w:p>
            <w:pPr>
              <w:pStyle w:val="null3"/>
              <w:jc w:val="center"/>
            </w:pPr>
            <w:r>
              <w:rPr>
                <w:rFonts w:ascii="仿宋_GB2312" w:hAnsi="仿宋_GB2312" w:cs="仿宋_GB2312" w:eastAsia="仿宋_GB2312"/>
                <w:sz w:val="20"/>
                <w:b/>
              </w:rPr>
              <w:t>3.11车场车辆停放秩序维护服务</w:t>
            </w:r>
          </w:p>
          <w:tbl>
            <w:tblPr>
              <w:tblInd w:type="dxa" w:w="120"/>
              <w:tblBorders>
                <w:top w:val="none" w:color="000000" w:sz="4"/>
                <w:left w:val="none" w:color="000000" w:sz="4"/>
                <w:bottom w:val="none" w:color="000000" w:sz="4"/>
                <w:right w:val="none" w:color="000000" w:sz="4"/>
                <w:insideH w:val="none"/>
                <w:insideV w:val="none"/>
              </w:tblBorders>
            </w:tblPr>
            <w:tblGrid>
              <w:gridCol w:w="233"/>
              <w:gridCol w:w="437"/>
              <w:gridCol w:w="1883"/>
            </w:tblGrid>
            <w:tr>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服务内容</w:t>
                  </w:r>
                </w:p>
              </w:tc>
              <w:tc>
                <w:tcPr>
                  <w:tcW w:type="dxa" w:w="18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服务标准</w:t>
                  </w:r>
                </w:p>
              </w:tc>
            </w:tr>
            <w:tr>
              <w:tc>
                <w:tcPr>
                  <w:tcW w:type="dxa" w:w="2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车辆停放</w:t>
                  </w: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1）车辆行驶路线设置合理、规范，导向标志完整、清晰。</w:t>
                  </w:r>
                </w:p>
              </w:tc>
            </w:tr>
            <w:tr>
              <w:tc>
                <w:tcPr>
                  <w:tcW w:type="dxa" w:w="233"/>
                  <w:vMerge/>
                  <w:tcBorders>
                    <w:top w:val="none" w:color="000000" w:sz="4"/>
                    <w:left w:val="single" w:color="000000" w:sz="4"/>
                    <w:bottom w:val="single" w:color="000000" w:sz="4"/>
                    <w:right w:val="single" w:color="000000" w:sz="4"/>
                  </w:tcBorders>
                </w:tcPr>
                <w:p/>
              </w:tc>
              <w:tc>
                <w:tcPr>
                  <w:tcW w:type="dxa" w:w="437"/>
                  <w:vMerge/>
                  <w:tcBorders>
                    <w:top w:val="none" w:color="000000" w:sz="4"/>
                    <w:left w:val="single" w:color="000000" w:sz="4"/>
                    <w:bottom w:val="single" w:color="000000" w:sz="4"/>
                    <w:right w:val="single" w:color="000000" w:sz="4"/>
                  </w:tcBorders>
                </w:tcP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2）合理规划车辆停放区域，公示管理制度或停车须知，张贴车辆引导标识，对车辆及停放区域实行规范管理。</w:t>
                  </w:r>
                </w:p>
              </w:tc>
            </w:tr>
            <w:tr>
              <w:tc>
                <w:tcPr>
                  <w:tcW w:type="dxa" w:w="233"/>
                  <w:vMerge/>
                  <w:tcBorders>
                    <w:top w:val="none" w:color="000000" w:sz="4"/>
                    <w:left w:val="single" w:color="000000" w:sz="4"/>
                    <w:bottom w:val="single" w:color="000000" w:sz="4"/>
                    <w:right w:val="single" w:color="000000" w:sz="4"/>
                  </w:tcBorders>
                </w:tcPr>
                <w:p/>
              </w:tc>
              <w:tc>
                <w:tcPr>
                  <w:tcW w:type="dxa" w:w="437"/>
                  <w:vMerge/>
                  <w:tcBorders>
                    <w:top w:val="none" w:color="000000" w:sz="4"/>
                    <w:left w:val="single" w:color="000000" w:sz="4"/>
                    <w:bottom w:val="single" w:color="000000" w:sz="4"/>
                    <w:right w:val="single" w:color="000000" w:sz="4"/>
                  </w:tcBorders>
                </w:tcP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3）严禁在办公楼的公用走道、楼梯间、安全出口处等公共区域停放车辆或充电。</w:t>
                  </w:r>
                </w:p>
              </w:tc>
            </w:tr>
            <w:tr>
              <w:tc>
                <w:tcPr>
                  <w:tcW w:type="dxa" w:w="233"/>
                  <w:vMerge/>
                  <w:tcBorders>
                    <w:top w:val="none" w:color="000000" w:sz="4"/>
                    <w:left w:val="single" w:color="000000" w:sz="4"/>
                    <w:bottom w:val="single" w:color="000000" w:sz="4"/>
                    <w:right w:val="single" w:color="000000" w:sz="4"/>
                  </w:tcBorders>
                </w:tcPr>
                <w:p/>
              </w:tc>
              <w:tc>
                <w:tcPr>
                  <w:tcW w:type="dxa" w:w="437"/>
                  <w:vMerge/>
                  <w:tcBorders>
                    <w:top w:val="none" w:color="000000" w:sz="4"/>
                    <w:left w:val="single" w:color="000000" w:sz="4"/>
                    <w:bottom w:val="single" w:color="000000" w:sz="4"/>
                    <w:right w:val="single" w:color="000000" w:sz="4"/>
                  </w:tcBorders>
                </w:tcP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4）办事大厅前广场实行</w:t>
                  </w:r>
                  <w:r>
                    <w:rPr>
                      <w:rFonts w:ascii="仿宋_GB2312" w:hAnsi="仿宋_GB2312" w:cs="仿宋_GB2312" w:eastAsia="仿宋_GB2312"/>
                      <w:sz w:val="20"/>
                    </w:rPr>
                    <w:t>人车分流，</w:t>
                  </w:r>
                  <w:r>
                    <w:rPr>
                      <w:rFonts w:ascii="仿宋_GB2312" w:hAnsi="仿宋_GB2312" w:cs="仿宋_GB2312" w:eastAsia="仿宋_GB2312"/>
                      <w:sz w:val="20"/>
                    </w:rPr>
                    <w:t>非机动车定点有序停放。</w:t>
                  </w:r>
                </w:p>
              </w:tc>
            </w:tr>
            <w:tr>
              <w:tc>
                <w:tcPr>
                  <w:tcW w:type="dxa" w:w="233"/>
                  <w:vMerge/>
                  <w:tcBorders>
                    <w:top w:val="none" w:color="000000" w:sz="4"/>
                    <w:left w:val="single" w:color="000000" w:sz="4"/>
                    <w:bottom w:val="single" w:color="000000" w:sz="4"/>
                    <w:right w:val="single" w:color="000000" w:sz="4"/>
                  </w:tcBorders>
                </w:tcPr>
                <w:p/>
              </w:tc>
              <w:tc>
                <w:tcPr>
                  <w:tcW w:type="dxa" w:w="437"/>
                  <w:vMerge/>
                  <w:tcBorders>
                    <w:top w:val="none" w:color="000000" w:sz="4"/>
                    <w:left w:val="single" w:color="000000" w:sz="4"/>
                    <w:bottom w:val="single" w:color="000000" w:sz="4"/>
                    <w:right w:val="single" w:color="000000" w:sz="4"/>
                  </w:tcBorders>
                </w:tcP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5）发现车辆异常情况及时通知车主，并做好登记；发生交通事故、自然灾害等意外事故时及时赶赴现场疏导和协助处理，响应时间不超过3分钟。</w:t>
                  </w:r>
                </w:p>
              </w:tc>
            </w:tr>
          </w:tbl>
          <w:p>
            <w:pPr>
              <w:pStyle w:val="null3"/>
              <w:jc w:val="center"/>
            </w:pPr>
            <w:r>
              <w:rPr>
                <w:rFonts w:ascii="仿宋_GB2312" w:hAnsi="仿宋_GB2312" w:cs="仿宋_GB2312" w:eastAsia="仿宋_GB2312"/>
                <w:sz w:val="20"/>
                <w:b/>
              </w:rPr>
              <w:t>3.12外墙清洗等特约服务</w:t>
            </w:r>
          </w:p>
          <w:p>
            <w:pPr>
              <w:pStyle w:val="null3"/>
              <w:ind w:firstLine="400"/>
              <w:jc w:val="both"/>
            </w:pPr>
            <w:r>
              <w:rPr>
                <w:rFonts w:ascii="仿宋_GB2312" w:hAnsi="仿宋_GB2312" w:cs="仿宋_GB2312" w:eastAsia="仿宋_GB2312"/>
                <w:sz w:val="20"/>
              </w:rPr>
              <w:t>外墙清洗每年一次，中标单位应委托有相关经验的第三方合作完成，需明确在高空作业过程中的安全问题由承接单位自行负责。</w:t>
            </w:r>
          </w:p>
          <w:p>
            <w:pPr>
              <w:pStyle w:val="null3"/>
              <w:jc w:val="center"/>
            </w:pPr>
            <w:r>
              <w:rPr>
                <w:rFonts w:ascii="仿宋_GB2312" w:hAnsi="仿宋_GB2312" w:cs="仿宋_GB2312" w:eastAsia="仿宋_GB2312"/>
                <w:sz w:val="20"/>
                <w:b/>
              </w:rPr>
              <w:t>3.13水、电、燃气能耗费用托收代缴服务</w:t>
            </w:r>
          </w:p>
          <w:p>
            <w:pPr>
              <w:pStyle w:val="null3"/>
              <w:ind w:firstLine="400"/>
              <w:jc w:val="left"/>
            </w:pPr>
            <w:r>
              <w:rPr>
                <w:rFonts w:ascii="仿宋_GB2312" w:hAnsi="仿宋_GB2312" w:cs="仿宋_GB2312" w:eastAsia="仿宋_GB2312"/>
                <w:sz w:val="20"/>
              </w:rPr>
              <w:t>水、电、燃气等能耗费用采取托收代缴服务，另外，电梯系统等设施设备的安装改造维修应当由具备相应资质的供应商完成，如供应商自身不具备，可进行分包由具有相应资质的单位完成。</w:t>
            </w:r>
            <w:r>
              <w:rPr>
                <w:rFonts w:ascii="仿宋_GB2312" w:hAnsi="仿宋_GB2312" w:cs="仿宋_GB2312" w:eastAsia="仿宋_GB2312"/>
                <w:sz w:val="20"/>
              </w:rPr>
              <w:t>服务标准涉及的国家标准有更新的，执行国家最新标准。</w:t>
            </w:r>
          </w:p>
          <w:p>
            <w:pPr>
              <w:pStyle w:val="null3"/>
              <w:jc w:val="center"/>
              <w:outlineLvl w:val="2"/>
            </w:pPr>
            <w:r>
              <w:rPr>
                <w:rFonts w:ascii="仿宋_GB2312" w:hAnsi="仿宋_GB2312" w:cs="仿宋_GB2312" w:eastAsia="仿宋_GB2312"/>
                <w:sz w:val="20"/>
                <w:b/>
              </w:rPr>
              <w:t>3.14大厅及楼层公共区域卫生保洁服务保洁服务</w:t>
            </w:r>
          </w:p>
          <w:tbl>
            <w:tblPr>
              <w:tblInd w:type="dxa" w:w="120"/>
              <w:tblBorders>
                <w:top w:val="none" w:color="000000" w:sz="4"/>
                <w:left w:val="none" w:color="000000" w:sz="4"/>
                <w:bottom w:val="none" w:color="000000" w:sz="4"/>
                <w:right w:val="none" w:color="000000" w:sz="4"/>
                <w:insideH w:val="none"/>
                <w:insideV w:val="none"/>
              </w:tblBorders>
            </w:tblPr>
            <w:tblGrid>
              <w:gridCol w:w="212"/>
              <w:gridCol w:w="387"/>
              <w:gridCol w:w="1953"/>
            </w:tblGrid>
            <w:tr>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服务内容</w:t>
                  </w:r>
                </w:p>
              </w:tc>
              <w:tc>
                <w:tcPr>
                  <w:tcW w:type="dxa" w:w="19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服务标准</w:t>
                  </w:r>
                </w:p>
              </w:tc>
            </w:tr>
            <w:tr>
              <w:tc>
                <w:tcPr>
                  <w:tcW w:type="dxa" w:w="2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基本要求</w:t>
                  </w: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1）建立保洁服务的工作制度及工作计划，并按照执行。</w:t>
                  </w:r>
                </w:p>
              </w:tc>
            </w:tr>
            <w:tr>
              <w:tc>
                <w:tcPr>
                  <w:tcW w:type="dxa" w:w="212"/>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2）做好保洁服务工作记录，记录填写规范、保存完好。</w:t>
                  </w:r>
                </w:p>
              </w:tc>
            </w:tr>
            <w:tr>
              <w:tc>
                <w:tcPr>
                  <w:tcW w:type="dxa" w:w="212"/>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3）作业时采取安全防护措施，防止对作业人员或他人造成伤害。相关耗材的环保、安全性等应当符合国家相关规定要求。</w:t>
                  </w:r>
                </w:p>
              </w:tc>
            </w:tr>
            <w:tr>
              <w:tc>
                <w:tcPr>
                  <w:tcW w:type="dxa" w:w="212"/>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4）进入保密区域时，有采购人相关人员全程在场。</w:t>
                  </w:r>
                </w:p>
              </w:tc>
            </w:tr>
            <w:tr>
              <w:tc>
                <w:tcPr>
                  <w:tcW w:type="dxa" w:w="2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办公用房区域保洁</w:t>
                  </w: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1）大厅、楼内公共通道：</w:t>
                  </w:r>
                </w:p>
                <w:p>
                  <w:pPr>
                    <w:pStyle w:val="null3"/>
                    <w:ind w:firstLine="200"/>
                    <w:jc w:val="left"/>
                  </w:pPr>
                  <w:r>
                    <w:rPr>
                      <w:rFonts w:ascii="仿宋_GB2312" w:hAnsi="仿宋_GB2312" w:cs="仿宋_GB2312" w:eastAsia="仿宋_GB2312"/>
                      <w:sz w:val="20"/>
                    </w:rPr>
                    <w:t>①大厅公共区域每日清洁，地面无污迹，墙面无灰尘蜘蛛网，等待区物品摆放整齐。公共通道保持干净，无异味、无杂物、无积水，每日至少开展1次清洁作业。</w:t>
                  </w:r>
                </w:p>
                <w:p>
                  <w:pPr>
                    <w:pStyle w:val="null3"/>
                    <w:ind w:firstLine="200"/>
                    <w:jc w:val="left"/>
                  </w:pPr>
                  <w:r>
                    <w:rPr>
                      <w:rFonts w:ascii="仿宋_GB2312" w:hAnsi="仿宋_GB2312" w:cs="仿宋_GB2312" w:eastAsia="仿宋_GB2312"/>
                      <w:sz w:val="20"/>
                    </w:rPr>
                    <w:t>②门窗玻璃干净无尘，透光性好，每周至少开展1次清洁作业。</w:t>
                  </w:r>
                </w:p>
                <w:p>
                  <w:pPr>
                    <w:pStyle w:val="null3"/>
                    <w:ind w:firstLine="200"/>
                    <w:jc w:val="left"/>
                  </w:pPr>
                  <w:r>
                    <w:rPr>
                      <w:rFonts w:ascii="仿宋_GB2312" w:hAnsi="仿宋_GB2312" w:cs="仿宋_GB2312" w:eastAsia="仿宋_GB2312"/>
                      <w:sz w:val="20"/>
                    </w:rPr>
                    <w:t>③指示牌干净，无污渍，每日至少开展1次清洁作业</w:t>
                  </w:r>
                </w:p>
                <w:p>
                  <w:pPr>
                    <w:pStyle w:val="null3"/>
                    <w:ind w:firstLine="200"/>
                    <w:jc w:val="left"/>
                  </w:pPr>
                  <w:r>
                    <w:rPr>
                      <w:rFonts w:ascii="仿宋_GB2312" w:hAnsi="仿宋_GB2312" w:cs="仿宋_GB2312" w:eastAsia="仿宋_GB2312"/>
                      <w:sz w:val="20"/>
                    </w:rPr>
                    <w:t>l卫生间台面、镜面洁净，地面无污水、污迹，便池无异味，洗手液及卷纸补充及时。</w:t>
                  </w:r>
                </w:p>
                <w:p>
                  <w:pPr>
                    <w:pStyle w:val="null3"/>
                    <w:ind w:firstLine="200"/>
                    <w:jc w:val="left"/>
                  </w:pPr>
                  <w:r>
                    <w:rPr>
                      <w:rFonts w:ascii="仿宋_GB2312" w:hAnsi="仿宋_GB2312" w:cs="仿宋_GB2312" w:eastAsia="仿宋_GB2312"/>
                      <w:sz w:val="20"/>
                    </w:rPr>
                    <w:t>l楼层清洁地面无杂物，墙面无污迹，设施洁净。</w:t>
                  </w:r>
                </w:p>
                <w:p>
                  <w:pPr>
                    <w:pStyle w:val="null3"/>
                    <w:ind w:firstLine="200"/>
                    <w:jc w:val="left"/>
                  </w:pPr>
                  <w:r>
                    <w:rPr>
                      <w:rFonts w:ascii="仿宋_GB2312" w:hAnsi="仿宋_GB2312" w:cs="仿宋_GB2312" w:eastAsia="仿宋_GB2312"/>
                      <w:sz w:val="20"/>
                    </w:rPr>
                    <w:t>l外围区域每日清扫，并进行循环维护，保持地面干净整洁无污渍。</w:t>
                  </w:r>
                </w:p>
                <w:p>
                  <w:pPr>
                    <w:pStyle w:val="null3"/>
                    <w:ind w:firstLine="200"/>
                    <w:jc w:val="left"/>
                  </w:pPr>
                  <w:r>
                    <w:rPr>
                      <w:rFonts w:ascii="仿宋_GB2312" w:hAnsi="仿宋_GB2312" w:cs="仿宋_GB2312" w:eastAsia="仿宋_GB2312"/>
                      <w:sz w:val="20"/>
                    </w:rPr>
                    <w:t>l每月对玻璃门、窗进行清洗，玻璃面无明显污渍、无泥痕。</w:t>
                  </w:r>
                </w:p>
                <w:p>
                  <w:pPr>
                    <w:pStyle w:val="null3"/>
                    <w:ind w:firstLine="200"/>
                    <w:jc w:val="left"/>
                  </w:pPr>
                  <w:r>
                    <w:rPr>
                      <w:rFonts w:ascii="仿宋_GB2312" w:hAnsi="仿宋_GB2312" w:cs="仿宋_GB2312" w:eastAsia="仿宋_GB2312"/>
                      <w:sz w:val="20"/>
                    </w:rPr>
                    <w:t>l每月对不锈钢装饰进行保养，无明显浮尘、光亮无污渍。</w:t>
                  </w:r>
                </w:p>
                <w:p>
                  <w:pPr>
                    <w:pStyle w:val="null3"/>
                    <w:ind w:firstLine="200"/>
                    <w:jc w:val="left"/>
                  </w:pPr>
                  <w:r>
                    <w:rPr>
                      <w:rFonts w:ascii="仿宋_GB2312" w:hAnsi="仿宋_GB2312" w:cs="仿宋_GB2312" w:eastAsia="仿宋_GB2312"/>
                      <w:sz w:val="20"/>
                    </w:rPr>
                    <w:t>l每季度对办公区灯具进行清洁，无明显积尘、无泥渍。</w:t>
                  </w:r>
                </w:p>
                <w:p>
                  <w:pPr>
                    <w:pStyle w:val="null3"/>
                    <w:ind w:firstLine="200"/>
                    <w:jc w:val="left"/>
                  </w:pPr>
                  <w:r>
                    <w:rPr>
                      <w:rFonts w:ascii="仿宋_GB2312" w:hAnsi="仿宋_GB2312" w:cs="仿宋_GB2312" w:eastAsia="仿宋_GB2312"/>
                      <w:sz w:val="20"/>
                    </w:rPr>
                    <w:t>l每季度对沙发进行清洗保养，无浮尘、整洁无污渍。</w:t>
                  </w:r>
                </w:p>
              </w:tc>
            </w:tr>
            <w:tr>
              <w:tc>
                <w:tcPr>
                  <w:tcW w:type="dxa" w:w="212"/>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2）电器、消防等设施设备：</w:t>
                  </w:r>
                </w:p>
                <w:p>
                  <w:pPr>
                    <w:pStyle w:val="null3"/>
                    <w:ind w:firstLine="200"/>
                    <w:jc w:val="left"/>
                  </w:pPr>
                  <w:r>
                    <w:rPr>
                      <w:rFonts w:ascii="仿宋_GB2312" w:hAnsi="仿宋_GB2312" w:cs="仿宋_GB2312" w:eastAsia="仿宋_GB2312"/>
                      <w:sz w:val="20"/>
                    </w:rPr>
                    <w:t>①配电箱、设备机房、会议室音视频设备、消防栓及开关插座等保持表面干净，无尘无污迹，每月至少开展1次清洁作业。</w:t>
                  </w:r>
                </w:p>
                <w:p>
                  <w:pPr>
                    <w:pStyle w:val="null3"/>
                    <w:ind w:firstLine="200"/>
                    <w:jc w:val="left"/>
                  </w:pPr>
                  <w:r>
                    <w:rPr>
                      <w:rFonts w:ascii="仿宋_GB2312" w:hAnsi="仿宋_GB2312" w:cs="仿宋_GB2312" w:eastAsia="仿宋_GB2312"/>
                      <w:sz w:val="20"/>
                    </w:rPr>
                    <w:t>②监控摄像头、门禁系统等表面光亮，无尘、无斑点，每月至少开展1次清洁作业。</w:t>
                  </w:r>
                </w:p>
              </w:tc>
            </w:tr>
            <w:tr>
              <w:tc>
                <w:tcPr>
                  <w:tcW w:type="dxa" w:w="212"/>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3）楼梯及楼梯间保持干净、无异味、无杂物、无积水，每日至少开展1次清洁作业。</w:t>
                  </w:r>
                </w:p>
              </w:tc>
            </w:tr>
            <w:tr>
              <w:tc>
                <w:tcPr>
                  <w:tcW w:type="dxa" w:w="212"/>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4）作业工具间：</w:t>
                  </w:r>
                </w:p>
                <w:p>
                  <w:pPr>
                    <w:pStyle w:val="null3"/>
                    <w:ind w:firstLine="200"/>
                    <w:jc w:val="left"/>
                  </w:pPr>
                  <w:r>
                    <w:rPr>
                      <w:rFonts w:ascii="仿宋_GB2312" w:hAnsi="仿宋_GB2312" w:cs="仿宋_GB2312" w:eastAsia="仿宋_GB2312"/>
                      <w:sz w:val="20"/>
                    </w:rPr>
                    <w:t>①保持干净，无异味、无杂物、无积水，每日至少开展1次清洁作业。</w:t>
                  </w:r>
                </w:p>
                <w:p>
                  <w:pPr>
                    <w:pStyle w:val="null3"/>
                    <w:ind w:firstLine="200"/>
                    <w:jc w:val="left"/>
                  </w:pPr>
                  <w:r>
                    <w:rPr>
                      <w:rFonts w:ascii="仿宋_GB2312" w:hAnsi="仿宋_GB2312" w:cs="仿宋_GB2312" w:eastAsia="仿宋_GB2312"/>
                      <w:sz w:val="20"/>
                    </w:rPr>
                    <w:t>②作业工具摆放整齐有序，表面干净无渍，每日消毒。</w:t>
                  </w:r>
                </w:p>
              </w:tc>
            </w:tr>
            <w:tr>
              <w:tc>
                <w:tcPr>
                  <w:tcW w:type="dxa" w:w="212"/>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5）公共卫生间：</w:t>
                  </w:r>
                </w:p>
                <w:p>
                  <w:pPr>
                    <w:pStyle w:val="null3"/>
                    <w:ind w:firstLine="200"/>
                    <w:jc w:val="left"/>
                  </w:pPr>
                  <w:r>
                    <w:rPr>
                      <w:rFonts w:ascii="仿宋_GB2312" w:hAnsi="仿宋_GB2312" w:cs="仿宋_GB2312" w:eastAsia="仿宋_GB2312"/>
                      <w:sz w:val="20"/>
                    </w:rPr>
                    <w:t>①保持干净，无异味，内壁及天花板、灯具洁净、光亮、无尘土、无污渍。垃圾无溢出，每日至少开展3次清洁作业。</w:t>
                  </w:r>
                </w:p>
                <w:p>
                  <w:pPr>
                    <w:pStyle w:val="null3"/>
                    <w:ind w:firstLine="200"/>
                    <w:jc w:val="left"/>
                  </w:pPr>
                  <w:r>
                    <w:rPr>
                      <w:rFonts w:ascii="仿宋_GB2312" w:hAnsi="仿宋_GB2312" w:cs="仿宋_GB2312" w:eastAsia="仿宋_GB2312"/>
                      <w:sz w:val="20"/>
                    </w:rPr>
                    <w:t>②及时补充厕纸等必要用品。</w:t>
                  </w:r>
                </w:p>
              </w:tc>
            </w:tr>
            <w:tr>
              <w:tc>
                <w:tcPr>
                  <w:tcW w:type="dxa" w:w="212"/>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6）电梯轿厢：</w:t>
                  </w:r>
                </w:p>
                <w:p>
                  <w:pPr>
                    <w:pStyle w:val="null3"/>
                    <w:ind w:left="315"/>
                    <w:jc w:val="left"/>
                  </w:pPr>
                  <w:r>
                    <w:rPr>
                      <w:rFonts w:ascii="仿宋_GB2312" w:hAnsi="仿宋_GB2312" w:cs="仿宋_GB2312" w:eastAsia="仿宋_GB2312"/>
                      <w:sz w:val="20"/>
                    </w:rPr>
                    <w:t>①保持干净，无污渍、无粘贴物、无异味，每日至少开展1次清洁作业。</w:t>
                  </w:r>
                </w:p>
                <w:p>
                  <w:pPr>
                    <w:pStyle w:val="null3"/>
                    <w:ind w:left="315"/>
                    <w:jc w:val="left"/>
                  </w:pPr>
                  <w:r>
                    <w:rPr>
                      <w:rFonts w:ascii="仿宋_GB2312" w:hAnsi="仿宋_GB2312" w:cs="仿宋_GB2312" w:eastAsia="仿宋_GB2312"/>
                      <w:sz w:val="20"/>
                    </w:rPr>
                    <w:t>②灯具、操作指示板明亮。</w:t>
                  </w:r>
                </w:p>
              </w:tc>
            </w:tr>
            <w:tr>
              <w:tc>
                <w:tcPr>
                  <w:tcW w:type="dxa" w:w="212"/>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7）平台、屋顶、天沟保持干净，有杂物及时清扫，每周至少开展1次清洁作业。</w:t>
                  </w:r>
                </w:p>
              </w:tc>
            </w:tr>
            <w:tr>
              <w:tc>
                <w:tcPr>
                  <w:tcW w:type="dxa" w:w="212"/>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石材地面、内墙做好养护工作</w:t>
                  </w:r>
                  <w:r>
                    <w:rPr>
                      <w:rFonts w:ascii="仿宋_GB2312" w:hAnsi="仿宋_GB2312" w:cs="仿宋_GB2312" w:eastAsia="仿宋_GB2312"/>
                      <w:sz w:val="20"/>
                    </w:rPr>
                    <w:t>，每季度开展</w:t>
                  </w:r>
                  <w:r>
                    <w:rPr>
                      <w:rFonts w:ascii="仿宋_GB2312" w:hAnsi="仿宋_GB2312" w:cs="仿宋_GB2312" w:eastAsia="仿宋_GB2312"/>
                      <w:sz w:val="20"/>
                    </w:rPr>
                    <w:t>1次清洁作业。（各类材质地面、内墙服务管理标准详见3.4.1）</w:t>
                  </w:r>
                </w:p>
              </w:tc>
            </w:tr>
            <w:tr>
              <w:tc>
                <w:tcPr>
                  <w:tcW w:type="dxa" w:w="212"/>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地毯干净、无油渍、无污渍、无褪色</w:t>
                  </w:r>
                  <w:r>
                    <w:rPr>
                      <w:rFonts w:ascii="仿宋_GB2312" w:hAnsi="仿宋_GB2312" w:cs="仿宋_GB2312" w:eastAsia="仿宋_GB2312"/>
                      <w:sz w:val="20"/>
                    </w:rPr>
                    <w:t>，每月至少开展</w:t>
                  </w:r>
                  <w:r>
                    <w:rPr>
                      <w:rFonts w:ascii="仿宋_GB2312" w:hAnsi="仿宋_GB2312" w:cs="仿宋_GB2312" w:eastAsia="仿宋_GB2312"/>
                      <w:sz w:val="20"/>
                    </w:rPr>
                    <w:t>1次清洁作业。</w:t>
                  </w:r>
                </w:p>
              </w:tc>
            </w:tr>
            <w:tr>
              <w:tc>
                <w:tcPr>
                  <w:tcW w:type="dxa" w:w="2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公共场地区域保洁</w:t>
                  </w: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1）每日清扫道路地面、停车场等公共区域2次，保持干净、无杂物、无积水。</w:t>
                  </w:r>
                </w:p>
              </w:tc>
            </w:tr>
            <w:tr>
              <w:tc>
                <w:tcPr>
                  <w:tcW w:type="dxa" w:w="212"/>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2）雪、冰冻等恶劣天气时及时清扫积水、积雪，并采取安全防护措施。</w:t>
                  </w:r>
                </w:p>
              </w:tc>
            </w:tr>
            <w:tr>
              <w:tc>
                <w:tcPr>
                  <w:tcW w:type="dxa" w:w="212"/>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3）各种路标、宣传栏等保持干净，每月至少开展1次清洁作业。</w:t>
                  </w:r>
                </w:p>
              </w:tc>
            </w:tr>
            <w:tr>
              <w:tc>
                <w:tcPr>
                  <w:tcW w:type="dxa" w:w="212"/>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4）清洁室外照明设备，每月至少开展1次清洁作业。</w:t>
                  </w:r>
                </w:p>
              </w:tc>
            </w:tr>
            <w:tr>
              <w:tc>
                <w:tcPr>
                  <w:tcW w:type="dxa" w:w="212"/>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5）绿地内无杂物、无改变用途和破坏、践踏、占用现象，每天至少开展1次巡查。</w:t>
                  </w:r>
                </w:p>
              </w:tc>
            </w:tr>
            <w:tr>
              <w:tc>
                <w:tcPr>
                  <w:tcW w:type="dxa" w:w="212"/>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办公区外立面</w:t>
                  </w:r>
                  <w:r>
                    <w:rPr>
                      <w:rFonts w:ascii="仿宋_GB2312" w:hAnsi="仿宋_GB2312" w:cs="仿宋_GB2312" w:eastAsia="仿宋_GB2312"/>
                      <w:sz w:val="20"/>
                    </w:rPr>
                    <w:t>定期</w:t>
                  </w:r>
                  <w:r>
                    <w:rPr>
                      <w:rFonts w:ascii="仿宋_GB2312" w:hAnsi="仿宋_GB2312" w:cs="仿宋_GB2312" w:eastAsia="仿宋_GB2312"/>
                      <w:sz w:val="20"/>
                    </w:rPr>
                    <w:t>清洗、</w:t>
                  </w:r>
                  <w:r>
                    <w:rPr>
                      <w:rFonts w:ascii="仿宋_GB2312" w:hAnsi="仿宋_GB2312" w:cs="仿宋_GB2312" w:eastAsia="仿宋_GB2312"/>
                      <w:sz w:val="20"/>
                    </w:rPr>
                    <w:t>2米以下</w:t>
                  </w:r>
                  <w:r>
                    <w:rPr>
                      <w:rFonts w:ascii="仿宋_GB2312" w:hAnsi="仿宋_GB2312" w:cs="仿宋_GB2312" w:eastAsia="仿宋_GB2312"/>
                      <w:sz w:val="20"/>
                    </w:rPr>
                    <w:t>外窗玻璃擦拭</w:t>
                  </w:r>
                  <w:r>
                    <w:rPr>
                      <w:rFonts w:ascii="仿宋_GB2312" w:hAnsi="仿宋_GB2312" w:cs="仿宋_GB2312" w:eastAsia="仿宋_GB2312"/>
                      <w:sz w:val="20"/>
                    </w:rPr>
                    <w:t>，</w:t>
                  </w:r>
                  <w:r>
                    <w:rPr>
                      <w:rFonts w:ascii="仿宋_GB2312" w:hAnsi="仿宋_GB2312" w:cs="仿宋_GB2312" w:eastAsia="仿宋_GB2312"/>
                      <w:sz w:val="20"/>
                    </w:rPr>
                    <w:t>每季度</w:t>
                  </w:r>
                  <w:r>
                    <w:rPr>
                      <w:rFonts w:ascii="仿宋_GB2312" w:hAnsi="仿宋_GB2312" w:cs="仿宋_GB2312" w:eastAsia="仿宋_GB2312"/>
                      <w:sz w:val="20"/>
                    </w:rPr>
                    <w:t>至少开展</w:t>
                  </w:r>
                  <w:r>
                    <w:rPr>
                      <w:rFonts w:ascii="仿宋_GB2312" w:hAnsi="仿宋_GB2312" w:cs="仿宋_GB2312" w:eastAsia="仿宋_GB2312"/>
                      <w:sz w:val="20"/>
                    </w:rPr>
                    <w:t>1次清洗。</w:t>
                  </w:r>
                  <w:r>
                    <w:rPr>
                      <w:rFonts w:ascii="仿宋_GB2312" w:hAnsi="仿宋_GB2312" w:cs="仿宋_GB2312" w:eastAsia="仿宋_GB2312"/>
                      <w:sz w:val="20"/>
                    </w:rPr>
                    <w:t>（各类材质外立面服务标准详见</w:t>
                  </w:r>
                  <w:r>
                    <w:rPr>
                      <w:rFonts w:ascii="仿宋_GB2312" w:hAnsi="仿宋_GB2312" w:cs="仿宋_GB2312" w:eastAsia="仿宋_GB2312"/>
                      <w:sz w:val="20"/>
                    </w:rPr>
                    <w:t>3.4.1）</w:t>
                  </w:r>
                </w:p>
              </w:tc>
            </w:tr>
            <w:tr>
              <w:tc>
                <w:tcPr>
                  <w:tcW w:type="dxa" w:w="2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垃圾处理</w:t>
                  </w: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1）在指定位置摆放分类垃圾桶，并在显著处张贴垃圾分类标识。分类垃圾桶和垃圾分类标识根据所在城市的要求设置。按生活垃圾分类要求分类、每日收集并清运1次。</w:t>
                  </w:r>
                </w:p>
              </w:tc>
            </w:tr>
            <w:tr>
              <w:tc>
                <w:tcPr>
                  <w:tcW w:type="dxa" w:w="212"/>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2）桶身表面干净，无污渍，每日开展至少1次清洁作业。</w:t>
                  </w:r>
                </w:p>
              </w:tc>
            </w:tr>
            <w:tr>
              <w:tc>
                <w:tcPr>
                  <w:tcW w:type="dxa" w:w="212"/>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3）垃圾中转房保持整洁，无明显异味，每日至少开展1次清洁作业。</w:t>
                  </w:r>
                </w:p>
              </w:tc>
            </w:tr>
            <w:tr>
              <w:tc>
                <w:tcPr>
                  <w:tcW w:type="dxa" w:w="212"/>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4）化粪池清掏，无明显异味，每半年开展1次清洁作业。</w:t>
                  </w:r>
                </w:p>
              </w:tc>
            </w:tr>
            <w:tr>
              <w:tc>
                <w:tcPr>
                  <w:tcW w:type="dxa" w:w="212"/>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每个工作日内要对楼层产生的垃圾，进行清理分类，并运至垃圾集中堆放点。</w:t>
                  </w:r>
                </w:p>
              </w:tc>
            </w:tr>
            <w:tr>
              <w:tc>
                <w:tcPr>
                  <w:tcW w:type="dxa" w:w="212"/>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6）垃圾装袋，日产日清。</w:t>
                  </w:r>
                </w:p>
              </w:tc>
            </w:tr>
            <w:tr>
              <w:tc>
                <w:tcPr>
                  <w:tcW w:type="dxa" w:w="212"/>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7）建立垃圾清运台账，交由规范的渠道回收处理。</w:t>
                  </w:r>
                </w:p>
              </w:tc>
            </w:tr>
            <w:tr>
              <w:tc>
                <w:tcPr>
                  <w:tcW w:type="dxa" w:w="212"/>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做好垃圾分类管理的宣传工作，督促并引导全员参与垃圾分类投放。</w:t>
                  </w:r>
                </w:p>
              </w:tc>
            </w:tr>
            <w:tr>
              <w:tc>
                <w:tcPr>
                  <w:tcW w:type="dxa" w:w="212"/>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垃圾分类投放管理工作的执行标准，按</w:t>
                  </w:r>
                  <w:r>
                    <w:rPr>
                      <w:rFonts w:ascii="仿宋_GB2312" w:hAnsi="仿宋_GB2312" w:cs="仿宋_GB2312" w:eastAsia="仿宋_GB2312"/>
                      <w:sz w:val="20"/>
                    </w:rPr>
                    <w:t>所在城市</w:t>
                  </w:r>
                  <w:r>
                    <w:rPr>
                      <w:rFonts w:ascii="仿宋_GB2312" w:hAnsi="仿宋_GB2312" w:cs="仿宋_GB2312" w:eastAsia="仿宋_GB2312"/>
                      <w:sz w:val="20"/>
                    </w:rPr>
                    <w:t>的要求执行。</w:t>
                  </w:r>
                </w:p>
              </w:tc>
            </w:tr>
            <w:tr>
              <w:tc>
                <w:tcPr>
                  <w:tcW w:type="dxa" w:w="2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卫生消毒</w:t>
                  </w: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1）办公用房区域、公共场所区域和周围环境预防性卫生消毒，</w:t>
                  </w:r>
                  <w:r>
                    <w:rPr>
                      <w:rFonts w:ascii="仿宋_GB2312" w:hAnsi="仿宋_GB2312" w:cs="仿宋_GB2312" w:eastAsia="仿宋_GB2312"/>
                      <w:sz w:val="20"/>
                    </w:rPr>
                    <w:t>消毒后及时通风，每周</w:t>
                  </w:r>
                  <w:r>
                    <w:rPr>
                      <w:rFonts w:ascii="仿宋_GB2312" w:hAnsi="仿宋_GB2312" w:cs="仿宋_GB2312" w:eastAsia="仿宋_GB2312"/>
                      <w:sz w:val="20"/>
                    </w:rPr>
                    <w:t>至少开展</w:t>
                  </w:r>
                  <w:r>
                    <w:rPr>
                      <w:rFonts w:ascii="仿宋_GB2312" w:hAnsi="仿宋_GB2312" w:cs="仿宋_GB2312" w:eastAsia="仿宋_GB2312"/>
                      <w:sz w:val="20"/>
                    </w:rPr>
                    <w:t>1次作业。</w:t>
                  </w:r>
                </w:p>
              </w:tc>
            </w:tr>
            <w:tr>
              <w:tc>
                <w:tcPr>
                  <w:tcW w:type="dxa" w:w="212"/>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2）采取综合措施消灭老鼠、蟑螂，控制室内外蚊虫孳生，达到基本无蝇。</w:t>
                  </w:r>
                  <w:r>
                    <w:rPr>
                      <w:rFonts w:ascii="仿宋_GB2312" w:hAnsi="仿宋_GB2312" w:cs="仿宋_GB2312" w:eastAsia="仿宋_GB2312"/>
                      <w:sz w:val="20"/>
                    </w:rPr>
                    <w:t>蚊、蝇夏季消杀每月</w:t>
                  </w:r>
                  <w:r>
                    <w:rPr>
                      <w:rFonts w:ascii="仿宋_GB2312" w:hAnsi="仿宋_GB2312" w:cs="仿宋_GB2312" w:eastAsia="仿宋_GB2312"/>
                      <w:sz w:val="20"/>
                    </w:rPr>
                    <w:t>2次，其他季节每月消杀1次，大型消杀每季度1次。长期灭鼠，每季度检查补充药品。</w:t>
                  </w:r>
                </w:p>
              </w:tc>
            </w:tr>
            <w:tr>
              <w:tc>
                <w:tcPr>
                  <w:tcW w:type="dxa" w:w="212"/>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3）发生公共卫生事件时，邀请专业单位开展消毒、检测等工作。</w:t>
                  </w:r>
                </w:p>
              </w:tc>
            </w:tr>
          </w:tbl>
          <w:p>
            <w:pPr>
              <w:pStyle w:val="null3"/>
              <w:jc w:val="both"/>
              <w:outlineLvl w:val="2"/>
            </w:pPr>
            <w:r>
              <w:rPr>
                <w:rFonts w:ascii="仿宋_GB2312" w:hAnsi="仿宋_GB2312" w:cs="仿宋_GB2312" w:eastAsia="仿宋_GB2312"/>
                <w:sz w:val="20"/>
                <w:b/>
              </w:rPr>
              <w:t>具体清洁要求</w:t>
            </w:r>
            <w:r>
              <w:rPr>
                <w:rFonts w:ascii="仿宋_GB2312" w:hAnsi="仿宋_GB2312" w:cs="仿宋_GB2312" w:eastAsia="仿宋_GB2312"/>
                <w:sz w:val="20"/>
                <w:b/>
              </w:rPr>
              <w:t>:</w:t>
            </w:r>
          </w:p>
          <w:tbl>
            <w:tblPr>
              <w:tblInd w:type="dxa" w:w="120"/>
              <w:tblBorders>
                <w:top w:val="none" w:color="000000" w:sz="4"/>
                <w:left w:val="none" w:color="000000" w:sz="4"/>
                <w:bottom w:val="none" w:color="000000" w:sz="4"/>
                <w:right w:val="none" w:color="000000" w:sz="4"/>
                <w:insideH w:val="none"/>
                <w:insideV w:val="none"/>
              </w:tblBorders>
            </w:tblPr>
            <w:tblGrid>
              <w:gridCol w:w="241"/>
              <w:gridCol w:w="400"/>
              <w:gridCol w:w="1909"/>
            </w:tblGrid>
            <w:tr>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材质</w:t>
                  </w:r>
                </w:p>
              </w:tc>
              <w:tc>
                <w:tcPr>
                  <w:tcW w:type="dxa" w:w="19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清洁要求</w:t>
                  </w:r>
                </w:p>
              </w:tc>
            </w:tr>
            <w:tr>
              <w:tc>
                <w:tcPr>
                  <w:tcW w:type="dxa" w:w="2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环氧地坪地面</w:t>
                  </w:r>
                </w:p>
              </w:tc>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清理垃圾：清理地面上的垃圾和杂物。</w:t>
                  </w:r>
                </w:p>
              </w:tc>
            </w:tr>
            <w:tr>
              <w:tc>
                <w:tcPr>
                  <w:tcW w:type="dxa" w:w="241"/>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清洗地面：用专业的清洁剂或去污剂清洗地面。清洁剂和去污剂的选取要根据污垢的性质而定。环氧地坪一般使用弱酸性或弱碱性的清洁剂，避免使用酸性或碱性强的清洁剂。</w:t>
                  </w:r>
                </w:p>
              </w:tc>
            </w:tr>
            <w:tr>
              <w:tc>
                <w:tcPr>
                  <w:tcW w:type="dxa" w:w="241"/>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滚刷或颗粒机进行深层清洗：对于顽固沉积物，需要使用滚刷或颗粒机进行深层清洗。</w:t>
                  </w:r>
                </w:p>
              </w:tc>
            </w:tr>
            <w:tr>
              <w:tc>
                <w:tcPr>
                  <w:tcW w:type="dxa" w:w="241"/>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浸泡：将清洁剂或去污剂浸泡在环氧地坪上，加强去除污渍的效果。</w:t>
                  </w:r>
                </w:p>
              </w:tc>
            </w:tr>
            <w:tr>
              <w:tc>
                <w:tcPr>
                  <w:tcW w:type="dxa" w:w="241"/>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冲洗：用清水将地面冲洗干净，以去除残留的清洁剂或去污剂。</w:t>
                  </w:r>
                </w:p>
              </w:tc>
            </w:tr>
            <w:tr>
              <w:tc>
                <w:tcPr>
                  <w:tcW w:type="dxa" w:w="2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耐磨漆地面</w:t>
                  </w:r>
                </w:p>
              </w:tc>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日常清洁：使用软质拖把或地板清洁机，配合清水和中性清洁剂进行清洁。避免使用酸性或碱性清洁剂，以免损坏地面表面。定期清理地面上的污渍和杂物，保持地面干净整洁。</w:t>
                  </w:r>
                </w:p>
              </w:tc>
            </w:tr>
            <w:tr>
              <w:tc>
                <w:tcPr>
                  <w:tcW w:type="dxa" w:w="241"/>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打蜡：为了增加耐磨地面的光亮度和耐磨性，可以进行打蜡处理。使用适合聚氨酯地面的蜡进行均匀涂抹，待蜡干燥后使用抛光机或拖把清理地面，使其变得光滑而有光泽。</w:t>
                  </w:r>
                </w:p>
              </w:tc>
            </w:tr>
            <w:tr>
              <w:tc>
                <w:tcPr>
                  <w:tcW w:type="dxa" w:w="2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瓷砖地面</w:t>
                  </w:r>
                </w:p>
              </w:tc>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日常清洁：</w:t>
                  </w:r>
                  <w:r>
                    <w:rPr>
                      <w:rFonts w:ascii="仿宋_GB2312" w:hAnsi="仿宋_GB2312" w:cs="仿宋_GB2312" w:eastAsia="仿宋_GB2312"/>
                      <w:sz w:val="20"/>
                    </w:rPr>
                    <w:t>推尘，保持地面干净无杂物。</w:t>
                  </w:r>
                </w:p>
              </w:tc>
            </w:tr>
            <w:tr>
              <w:tc>
                <w:tcPr>
                  <w:tcW w:type="dxa" w:w="241"/>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深度清洁：使用洗洁精或肥皂水清理。</w:t>
                  </w:r>
                </w:p>
              </w:tc>
            </w:tr>
            <w:tr>
              <w:tc>
                <w:tcPr>
                  <w:tcW w:type="dxa" w:w="2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石材地面</w:t>
                  </w:r>
                </w:p>
              </w:tc>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根</w:t>
                  </w:r>
                  <w:r>
                    <w:rPr>
                      <w:rFonts w:ascii="仿宋_GB2312" w:hAnsi="仿宋_GB2312" w:cs="仿宋_GB2312" w:eastAsia="仿宋_GB2312"/>
                      <w:sz w:val="20"/>
                    </w:rPr>
                    <w:t>据各区域的人流量及大理石的实际磨损程度制定大理石的晶面保养计划。</w:t>
                  </w:r>
                  <w:r>
                    <w:rPr>
                      <w:rFonts w:ascii="仿宋_GB2312" w:hAnsi="仿宋_GB2312" w:cs="仿宋_GB2312" w:eastAsia="仿宋_GB2312"/>
                      <w:sz w:val="20"/>
                    </w:rPr>
                    <w:t>每半年对</w:t>
                  </w:r>
                  <w:r>
                    <w:rPr>
                      <w:rFonts w:ascii="仿宋_GB2312" w:hAnsi="仿宋_GB2312" w:cs="仿宋_GB2312" w:eastAsia="仿宋_GB2312"/>
                      <w:sz w:val="20"/>
                    </w:rPr>
                    <w:t>大厅</w:t>
                  </w:r>
                  <w:r>
                    <w:rPr>
                      <w:rFonts w:ascii="仿宋_GB2312" w:hAnsi="仿宋_GB2312" w:cs="仿宋_GB2312" w:eastAsia="仿宋_GB2312"/>
                      <w:sz w:val="20"/>
                    </w:rPr>
                    <w:t>石材进行</w:t>
                  </w:r>
                  <w:r>
                    <w:rPr>
                      <w:rFonts w:ascii="仿宋_GB2312" w:hAnsi="仿宋_GB2312" w:cs="仿宋_GB2312" w:eastAsia="仿宋_GB2312"/>
                      <w:sz w:val="20"/>
                    </w:rPr>
                    <w:t>洁净</w:t>
                  </w:r>
                  <w:r>
                    <w:rPr>
                      <w:rFonts w:ascii="仿宋_GB2312" w:hAnsi="仿宋_GB2312" w:cs="仿宋_GB2312" w:eastAsia="仿宋_GB2312"/>
                      <w:sz w:val="20"/>
                    </w:rPr>
                    <w:t>保养，石材地面</w:t>
                  </w:r>
                  <w:r>
                    <w:rPr>
                      <w:rFonts w:ascii="仿宋_GB2312" w:hAnsi="仿宋_GB2312" w:cs="仿宋_GB2312" w:eastAsia="仿宋_GB2312"/>
                      <w:sz w:val="20"/>
                    </w:rPr>
                    <w:t>洁净</w:t>
                  </w:r>
                  <w:r>
                    <w:rPr>
                      <w:rFonts w:ascii="仿宋_GB2312" w:hAnsi="仿宋_GB2312" w:cs="仿宋_GB2312" w:eastAsia="仿宋_GB2312"/>
                      <w:sz w:val="20"/>
                    </w:rPr>
                    <w:t>无污渍。</w:t>
                  </w:r>
                </w:p>
              </w:tc>
            </w:tr>
            <w:tr>
              <w:tc>
                <w:tcPr>
                  <w:tcW w:type="dxa" w:w="241"/>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2）启动晶面机，使用中性清洁剂清洁，避免使用强酸或强碱清洁剂，定期进行基础维护。</w:t>
                  </w:r>
                </w:p>
              </w:tc>
            </w:tr>
            <w:tr>
              <w:tc>
                <w:tcPr>
                  <w:tcW w:type="dxa" w:w="2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地胶板地面</w:t>
                  </w:r>
                </w:p>
              </w:tc>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定期保养。使用中性清洁剂清洁，避免使用强酸或强碱清洁剂，定期进行基础维护。</w:t>
                  </w:r>
                </w:p>
              </w:tc>
            </w:tr>
            <w:tr>
              <w:tc>
                <w:tcPr>
                  <w:tcW w:type="dxa" w:w="241"/>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日常维护。使用湿润的拖把清洁，污染严重时局部清洁，每月对地胶板地面进行打蜡处理。</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乳胶漆内墙</w:t>
                  </w:r>
                </w:p>
              </w:tc>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有污渍时用半干布擦拭。</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木饰面内墙</w:t>
                  </w:r>
                </w:p>
              </w:tc>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有污渍时用中性清洁剂、半干布擦拭。</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石材内墙</w:t>
                  </w:r>
                </w:p>
              </w:tc>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有污渍时用半干布擦拭。</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金属板内墙</w:t>
                  </w:r>
                </w:p>
              </w:tc>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有污渍时用半干布擦拭。</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涂料外墙</w:t>
                  </w:r>
                </w:p>
              </w:tc>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定期专业清洗。</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真石漆外墙</w:t>
                  </w:r>
                </w:p>
              </w:tc>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定期专业清洗。</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瓷砖外墙</w:t>
                  </w:r>
                </w:p>
              </w:tc>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定期专业清洗。</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保温一体板外墙</w:t>
                  </w:r>
                </w:p>
              </w:tc>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定期专业清洗。</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铝板外墙</w:t>
                  </w:r>
                </w:p>
              </w:tc>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定期专业清洗。</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干挂石材外墙</w:t>
                  </w:r>
                </w:p>
              </w:tc>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定期专业清洗。</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玻璃幕墙外墙</w:t>
                  </w:r>
                </w:p>
              </w:tc>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定期专业清洗。</w:t>
                  </w:r>
                </w:p>
              </w:tc>
            </w:tr>
          </w:tbl>
          <w:p>
            <w:pPr>
              <w:pStyle w:val="null3"/>
              <w:ind w:firstLine="400"/>
              <w:jc w:val="left"/>
            </w:pPr>
            <w:r>
              <w:rPr>
                <w:rFonts w:ascii="仿宋_GB2312" w:hAnsi="仿宋_GB2312" w:cs="仿宋_GB2312" w:eastAsia="仿宋_GB2312"/>
                <w:sz w:val="20"/>
              </w:rPr>
              <w:t>注：根据物业用材情况选择清洁要求</w:t>
            </w:r>
          </w:p>
          <w:p>
            <w:pPr>
              <w:pStyle w:val="null3"/>
              <w:jc w:val="center"/>
              <w:outlineLvl w:val="2"/>
            </w:pPr>
            <w:r>
              <w:rPr>
                <w:rFonts w:ascii="仿宋_GB2312" w:hAnsi="仿宋_GB2312" w:cs="仿宋_GB2312" w:eastAsia="仿宋_GB2312"/>
                <w:sz w:val="20"/>
                <w:b/>
              </w:rPr>
              <w:t>3.15绿植花卉及室外树木绿化养护服务</w:t>
            </w:r>
          </w:p>
          <w:tbl>
            <w:tblPr>
              <w:tblInd w:type="dxa" w:w="120"/>
              <w:tblBorders>
                <w:top w:val="none" w:color="000000" w:sz="4"/>
                <w:left w:val="none" w:color="000000" w:sz="4"/>
                <w:bottom w:val="none" w:color="000000" w:sz="4"/>
                <w:right w:val="none" w:color="000000" w:sz="4"/>
                <w:insideH w:val="none"/>
                <w:insideV w:val="none"/>
              </w:tblBorders>
            </w:tblPr>
            <w:tblGrid>
              <w:gridCol w:w="240"/>
              <w:gridCol w:w="390"/>
              <w:gridCol w:w="1923"/>
            </w:tblGrid>
            <w:tr>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服务内容</w:t>
                  </w:r>
                </w:p>
              </w:tc>
              <w:tc>
                <w:tcPr>
                  <w:tcW w:type="dxa" w:w="1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服务标准</w:t>
                  </w:r>
                </w:p>
              </w:tc>
            </w:tr>
            <w:tr>
              <w:tc>
                <w:tcPr>
                  <w:tcW w:type="dxa" w:w="2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基本要求</w:t>
                  </w:r>
                </w:p>
              </w:tc>
              <w:tc>
                <w:tcPr>
                  <w:tcW w:type="dxa" w:w="1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1）制定绿化服务的工作制度及工作计划，并按照执行。</w:t>
                  </w:r>
                </w:p>
              </w:tc>
            </w:tr>
            <w:tr>
              <w:tc>
                <w:tcPr>
                  <w:tcW w:type="dxa" w:w="240"/>
                  <w:vMerge/>
                  <w:tcBorders>
                    <w:top w:val="none" w:color="000000" w:sz="4"/>
                    <w:left w:val="single" w:color="000000" w:sz="4"/>
                    <w:bottom w:val="single" w:color="000000" w:sz="4"/>
                    <w:right w:val="single" w:color="000000" w:sz="4"/>
                  </w:tcBorders>
                </w:tcPr>
                <w:p/>
              </w:tc>
              <w:tc>
                <w:tcPr>
                  <w:tcW w:type="dxa" w:w="390"/>
                  <w:vMerge/>
                  <w:tcBorders>
                    <w:top w:val="none" w:color="000000" w:sz="4"/>
                    <w:left w:val="single" w:color="000000" w:sz="4"/>
                    <w:bottom w:val="single" w:color="000000" w:sz="4"/>
                    <w:right w:val="single" w:color="000000" w:sz="4"/>
                  </w:tcBorders>
                </w:tcPr>
                <w:p/>
              </w:tc>
              <w:tc>
                <w:tcPr>
                  <w:tcW w:type="dxa" w:w="1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2）做好绿化服务工作记录，填写规范。</w:t>
                  </w:r>
                </w:p>
              </w:tc>
            </w:tr>
            <w:tr>
              <w:tc>
                <w:tcPr>
                  <w:tcW w:type="dxa" w:w="240"/>
                  <w:vMerge/>
                  <w:tcBorders>
                    <w:top w:val="none" w:color="000000" w:sz="4"/>
                    <w:left w:val="single" w:color="000000" w:sz="4"/>
                    <w:bottom w:val="single" w:color="000000" w:sz="4"/>
                    <w:right w:val="single" w:color="000000" w:sz="4"/>
                  </w:tcBorders>
                </w:tcPr>
                <w:p/>
              </w:tc>
              <w:tc>
                <w:tcPr>
                  <w:tcW w:type="dxa" w:w="390"/>
                  <w:vMerge/>
                  <w:tcBorders>
                    <w:top w:val="none" w:color="000000" w:sz="4"/>
                    <w:left w:val="single" w:color="000000" w:sz="4"/>
                    <w:bottom w:val="single" w:color="000000" w:sz="4"/>
                    <w:right w:val="single" w:color="000000" w:sz="4"/>
                  </w:tcBorders>
                </w:tcPr>
                <w:p/>
              </w:tc>
              <w:tc>
                <w:tcPr>
                  <w:tcW w:type="dxa" w:w="1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3）作业时采取安全防护措施，防止对作业人员或他人造成伤害。</w:t>
                  </w:r>
                </w:p>
              </w:tc>
            </w:tr>
            <w:tr>
              <w:tc>
                <w:tcPr>
                  <w:tcW w:type="dxa" w:w="240"/>
                  <w:vMerge/>
                  <w:tcBorders>
                    <w:top w:val="none" w:color="000000" w:sz="4"/>
                    <w:left w:val="single" w:color="000000" w:sz="4"/>
                    <w:bottom w:val="single" w:color="000000" w:sz="4"/>
                    <w:right w:val="single" w:color="000000" w:sz="4"/>
                  </w:tcBorders>
                </w:tcPr>
                <w:p/>
              </w:tc>
              <w:tc>
                <w:tcPr>
                  <w:tcW w:type="dxa" w:w="390"/>
                  <w:vMerge/>
                  <w:tcBorders>
                    <w:top w:val="none" w:color="000000" w:sz="4"/>
                    <w:left w:val="single" w:color="000000" w:sz="4"/>
                    <w:bottom w:val="single" w:color="000000" w:sz="4"/>
                    <w:right w:val="single" w:color="000000" w:sz="4"/>
                  </w:tcBorders>
                </w:tcPr>
                <w:p/>
              </w:tc>
              <w:tc>
                <w:tcPr>
                  <w:tcW w:type="dxa" w:w="1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4）相关耗材的环保、安全性应当符合规定要求。</w:t>
                  </w:r>
                </w:p>
              </w:tc>
            </w:tr>
            <w:tr>
              <w:tc>
                <w:tcPr>
                  <w:tcW w:type="dxa" w:w="2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室外绿化养护</w:t>
                  </w:r>
                </w:p>
              </w:tc>
              <w:tc>
                <w:tcPr>
                  <w:tcW w:type="dxa" w:w="1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根据生长环境、植物特性进行除草、灌溉、施肥、整形修剪、防治病虫害等。</w:t>
                  </w:r>
                </w:p>
              </w:tc>
            </w:tr>
            <w:tr>
              <w:tc>
                <w:tcPr>
                  <w:tcW w:type="dxa" w:w="240"/>
                  <w:vMerge/>
                  <w:tcBorders>
                    <w:top w:val="none" w:color="000000" w:sz="4"/>
                    <w:left w:val="single" w:color="000000" w:sz="4"/>
                    <w:bottom w:val="single" w:color="000000" w:sz="4"/>
                    <w:right w:val="single" w:color="000000" w:sz="4"/>
                  </w:tcBorders>
                </w:tcPr>
                <w:p/>
              </w:tc>
              <w:tc>
                <w:tcPr>
                  <w:tcW w:type="dxa" w:w="390"/>
                  <w:vMerge/>
                  <w:tcBorders>
                    <w:top w:val="none" w:color="000000" w:sz="4"/>
                    <w:left w:val="single" w:color="000000" w:sz="4"/>
                    <w:bottom w:val="single" w:color="000000" w:sz="4"/>
                    <w:right w:val="single" w:color="000000" w:sz="4"/>
                  </w:tcBorders>
                </w:tcPr>
                <w:p/>
              </w:tc>
              <w:tc>
                <w:tcPr>
                  <w:tcW w:type="dxa" w:w="1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2）根据生长情况修剪绿地，绿地内无枯草、无杂物，</w:t>
                  </w:r>
                  <w:r>
                    <w:rPr>
                      <w:rFonts w:ascii="仿宋_GB2312" w:hAnsi="仿宋_GB2312" w:cs="仿宋_GB2312" w:eastAsia="仿宋_GB2312"/>
                      <w:sz w:val="20"/>
                    </w:rPr>
                    <w:t>无干枯坏死和病虫侵害，基本无裸露土地。</w:t>
                  </w:r>
                </w:p>
              </w:tc>
            </w:tr>
            <w:tr>
              <w:tc>
                <w:tcPr>
                  <w:tcW w:type="dxa" w:w="240"/>
                  <w:vMerge/>
                  <w:tcBorders>
                    <w:top w:val="none" w:color="000000" w:sz="4"/>
                    <w:left w:val="single" w:color="000000" w:sz="4"/>
                    <w:bottom w:val="single" w:color="000000" w:sz="4"/>
                    <w:right w:val="single" w:color="000000" w:sz="4"/>
                  </w:tcBorders>
                </w:tcPr>
                <w:p/>
              </w:tc>
              <w:tc>
                <w:tcPr>
                  <w:tcW w:type="dxa" w:w="390"/>
                  <w:vMerge/>
                  <w:tcBorders>
                    <w:top w:val="none" w:color="000000" w:sz="4"/>
                    <w:left w:val="single" w:color="000000" w:sz="4"/>
                    <w:bottom w:val="single" w:color="000000" w:sz="4"/>
                    <w:right w:val="single" w:color="000000" w:sz="4"/>
                  </w:tcBorders>
                </w:tcPr>
                <w:p/>
              </w:tc>
              <w:tc>
                <w:tcPr>
                  <w:tcW w:type="dxa" w:w="1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3）定期修剪树木、花卉等，</w:t>
                  </w:r>
                  <w:r>
                    <w:rPr>
                      <w:rFonts w:ascii="仿宋_GB2312" w:hAnsi="仿宋_GB2312" w:cs="仿宋_GB2312" w:eastAsia="仿宋_GB2312"/>
                      <w:sz w:val="20"/>
                    </w:rPr>
                    <w:t>灌乔木生长正常、造型美观自然、花枝新鲜，无枯叶、无病虫、无死树缺株。</w:t>
                  </w:r>
                </w:p>
              </w:tc>
            </w:tr>
            <w:tr>
              <w:tc>
                <w:tcPr>
                  <w:tcW w:type="dxa" w:w="240"/>
                  <w:vMerge/>
                  <w:tcBorders>
                    <w:top w:val="none" w:color="000000" w:sz="4"/>
                    <w:left w:val="single" w:color="000000" w:sz="4"/>
                    <w:bottom w:val="single" w:color="000000" w:sz="4"/>
                    <w:right w:val="single" w:color="000000" w:sz="4"/>
                  </w:tcBorders>
                </w:tcPr>
                <w:p/>
              </w:tc>
              <w:tc>
                <w:tcPr>
                  <w:tcW w:type="dxa" w:w="390"/>
                  <w:vMerge/>
                  <w:tcBorders>
                    <w:top w:val="none" w:color="000000" w:sz="4"/>
                    <w:left w:val="single" w:color="000000" w:sz="4"/>
                    <w:bottom w:val="single" w:color="000000" w:sz="4"/>
                    <w:right w:val="single" w:color="000000" w:sz="4"/>
                  </w:tcBorders>
                </w:tcPr>
                <w:p/>
              </w:tc>
              <w:tc>
                <w:tcPr>
                  <w:tcW w:type="dxa" w:w="1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绿篱生长造型正常，颜色正常，修剪及时，基本无死株和干死株，有虫株率在</w:t>
                  </w:r>
                  <w:r>
                    <w:rPr>
                      <w:rFonts w:ascii="仿宋_GB2312" w:hAnsi="仿宋_GB2312" w:cs="仿宋_GB2312" w:eastAsia="仿宋_GB2312"/>
                      <w:sz w:val="20"/>
                    </w:rPr>
                    <w:t>10%以下。</w:t>
                  </w:r>
                </w:p>
              </w:tc>
            </w:tr>
            <w:tr>
              <w:tc>
                <w:tcPr>
                  <w:tcW w:type="dxa" w:w="240"/>
                  <w:vMerge/>
                  <w:tcBorders>
                    <w:top w:val="none" w:color="000000" w:sz="4"/>
                    <w:left w:val="single" w:color="000000" w:sz="4"/>
                    <w:bottom w:val="single" w:color="000000" w:sz="4"/>
                    <w:right w:val="single" w:color="000000" w:sz="4"/>
                  </w:tcBorders>
                </w:tcPr>
                <w:p/>
              </w:tc>
              <w:tc>
                <w:tcPr>
                  <w:tcW w:type="dxa" w:w="390"/>
                  <w:vMerge/>
                  <w:tcBorders>
                    <w:top w:val="none" w:color="000000" w:sz="4"/>
                    <w:left w:val="single" w:color="000000" w:sz="4"/>
                    <w:bottom w:val="single" w:color="000000" w:sz="4"/>
                    <w:right w:val="single" w:color="000000" w:sz="4"/>
                  </w:tcBorders>
                </w:tcPr>
                <w:p/>
              </w:tc>
              <w:tc>
                <w:tcPr>
                  <w:tcW w:type="dxa" w:w="1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清除花坛和花景的花蒂、黄叶、杂草、垃圾，做好病虫害防治。</w:t>
                  </w:r>
                </w:p>
              </w:tc>
            </w:tr>
            <w:tr>
              <w:tc>
                <w:tcPr>
                  <w:tcW w:type="dxa" w:w="240"/>
                  <w:vMerge/>
                  <w:tcBorders>
                    <w:top w:val="none" w:color="000000" w:sz="4"/>
                    <w:left w:val="single" w:color="000000" w:sz="4"/>
                    <w:bottom w:val="single" w:color="000000" w:sz="4"/>
                    <w:right w:val="single" w:color="000000" w:sz="4"/>
                  </w:tcBorders>
                </w:tcPr>
                <w:p/>
              </w:tc>
              <w:tc>
                <w:tcPr>
                  <w:tcW w:type="dxa" w:w="390"/>
                  <w:vMerge/>
                  <w:tcBorders>
                    <w:top w:val="none" w:color="000000" w:sz="4"/>
                    <w:left w:val="single" w:color="000000" w:sz="4"/>
                    <w:bottom w:val="single" w:color="000000" w:sz="4"/>
                    <w:right w:val="single" w:color="000000" w:sz="4"/>
                  </w:tcBorders>
                </w:tcPr>
                <w:p/>
              </w:tc>
              <w:tc>
                <w:tcPr>
                  <w:tcW w:type="dxa" w:w="1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水池水面定期清理，无枯枝落叶、水质清洁。</w:t>
                  </w:r>
                </w:p>
              </w:tc>
            </w:tr>
            <w:tr>
              <w:tc>
                <w:tcPr>
                  <w:tcW w:type="dxa" w:w="240"/>
                  <w:vMerge/>
                  <w:tcBorders>
                    <w:top w:val="none" w:color="000000" w:sz="4"/>
                    <w:left w:val="single" w:color="000000" w:sz="4"/>
                    <w:bottom w:val="single" w:color="000000" w:sz="4"/>
                    <w:right w:val="single" w:color="000000" w:sz="4"/>
                  </w:tcBorders>
                </w:tcPr>
                <w:p/>
              </w:tc>
              <w:tc>
                <w:tcPr>
                  <w:tcW w:type="dxa" w:w="390"/>
                  <w:vMerge/>
                  <w:tcBorders>
                    <w:top w:val="none" w:color="000000" w:sz="4"/>
                    <w:left w:val="single" w:color="000000" w:sz="4"/>
                    <w:bottom w:val="single" w:color="000000" w:sz="4"/>
                    <w:right w:val="single" w:color="000000" w:sz="4"/>
                  </w:tcBorders>
                </w:tcPr>
                <w:p/>
              </w:tc>
              <w:tc>
                <w:tcPr>
                  <w:tcW w:type="dxa" w:w="1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7）根据病虫害发生规律实施综合治理，通常在病虫率高时，以药剂杀死病虫，以确保植物良好生长。产生垃圾的主要区域和路段做到日产日清。</w:t>
                  </w:r>
                </w:p>
              </w:tc>
            </w:tr>
            <w:tr>
              <w:tc>
                <w:tcPr>
                  <w:tcW w:type="dxa" w:w="240"/>
                  <w:vMerge/>
                  <w:tcBorders>
                    <w:top w:val="none" w:color="000000" w:sz="4"/>
                    <w:left w:val="single" w:color="000000" w:sz="4"/>
                    <w:bottom w:val="single" w:color="000000" w:sz="4"/>
                    <w:right w:val="single" w:color="000000" w:sz="4"/>
                  </w:tcBorders>
                </w:tcPr>
                <w:p/>
              </w:tc>
              <w:tc>
                <w:tcPr>
                  <w:tcW w:type="dxa" w:w="390"/>
                  <w:vMerge/>
                  <w:tcBorders>
                    <w:top w:val="none" w:color="000000" w:sz="4"/>
                    <w:left w:val="single" w:color="000000" w:sz="4"/>
                    <w:bottom w:val="single" w:color="000000" w:sz="4"/>
                    <w:right w:val="single" w:color="000000" w:sz="4"/>
                  </w:tcBorders>
                </w:tcPr>
                <w:p/>
              </w:tc>
              <w:tc>
                <w:tcPr>
                  <w:tcW w:type="dxa" w:w="1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8）雨雪、冰冻等恶劣天气来临前，专人巡查，对绿植做好预防措施，排除安全隐患。雨、雪过后，及时清扫公共部位的积水、积雪。</w:t>
                  </w:r>
                </w:p>
              </w:tc>
            </w:tr>
            <w:tr>
              <w:tc>
                <w:tcPr>
                  <w:tcW w:type="dxa" w:w="240"/>
                  <w:vMerge/>
                  <w:tcBorders>
                    <w:top w:val="none" w:color="000000" w:sz="4"/>
                    <w:left w:val="single" w:color="000000" w:sz="4"/>
                    <w:bottom w:val="single" w:color="000000" w:sz="4"/>
                    <w:right w:val="single" w:color="000000" w:sz="4"/>
                  </w:tcBorders>
                </w:tcPr>
                <w:p/>
              </w:tc>
              <w:tc>
                <w:tcPr>
                  <w:tcW w:type="dxa" w:w="390"/>
                  <w:vMerge/>
                  <w:tcBorders>
                    <w:top w:val="none" w:color="000000" w:sz="4"/>
                    <w:left w:val="single" w:color="000000" w:sz="4"/>
                    <w:bottom w:val="single" w:color="000000" w:sz="4"/>
                    <w:right w:val="single" w:color="000000" w:sz="4"/>
                  </w:tcBorders>
                </w:tcPr>
                <w:p/>
              </w:tc>
              <w:tc>
                <w:tcPr>
                  <w:tcW w:type="dxa" w:w="1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9）乔、灌木每年修剪2次以上，树冠整齐，侧枝分布均匀。</w:t>
                  </w:r>
                </w:p>
                <w:p>
                  <w:pPr>
                    <w:pStyle w:val="null3"/>
                    <w:jc w:val="left"/>
                  </w:pPr>
                  <w:r>
                    <w:rPr>
                      <w:rFonts w:ascii="仿宋_GB2312" w:hAnsi="仿宋_GB2312" w:cs="仿宋_GB2312" w:eastAsia="仿宋_GB2312"/>
                      <w:sz w:val="20"/>
                    </w:rPr>
                    <w:t>草坪每年修剪</w:t>
                  </w:r>
                  <w:r>
                    <w:rPr>
                      <w:rFonts w:ascii="仿宋_GB2312" w:hAnsi="仿宋_GB2312" w:cs="仿宋_GB2312" w:eastAsia="仿宋_GB2312"/>
                      <w:sz w:val="20"/>
                    </w:rPr>
                    <w:t>5次以上，每月清除杂草、杂物，保持生长良好。篱、球、造型植物按生长情况和造型要求及时修剪。按植物品种、生长、土壤状况，每年施肥2遍以上，病虫害防治2次以上。</w:t>
                  </w:r>
                </w:p>
              </w:tc>
            </w:tr>
            <w:tr>
              <w:tc>
                <w:tcPr>
                  <w:tcW w:type="dxa" w:w="240"/>
                  <w:vMerge/>
                  <w:tcBorders>
                    <w:top w:val="none" w:color="000000" w:sz="4"/>
                    <w:left w:val="single" w:color="000000" w:sz="4"/>
                    <w:bottom w:val="single" w:color="000000" w:sz="4"/>
                    <w:right w:val="single" w:color="000000" w:sz="4"/>
                  </w:tcBorders>
                </w:tcPr>
                <w:p/>
              </w:tc>
              <w:tc>
                <w:tcPr>
                  <w:tcW w:type="dxa" w:w="390"/>
                  <w:vMerge/>
                  <w:tcBorders>
                    <w:top w:val="none" w:color="000000" w:sz="4"/>
                    <w:left w:val="single" w:color="000000" w:sz="4"/>
                    <w:bottom w:val="single" w:color="000000" w:sz="4"/>
                    <w:right w:val="single" w:color="000000" w:sz="4"/>
                  </w:tcBorders>
                </w:tcPr>
                <w:p/>
              </w:tc>
              <w:tc>
                <w:tcPr>
                  <w:tcW w:type="dxa" w:w="1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10）恶劣天气后，及时清除倒树断枝，疏通道路，尽快恢复原状。</w:t>
                  </w:r>
                </w:p>
              </w:tc>
            </w:tr>
          </w:tbl>
          <w:p>
            <w:pPr>
              <w:pStyle w:val="null3"/>
              <w:jc w:val="center"/>
              <w:outlineLvl w:val="2"/>
            </w:pPr>
            <w:r>
              <w:rPr>
                <w:rFonts w:ascii="仿宋_GB2312" w:hAnsi="仿宋_GB2312" w:cs="仿宋_GB2312" w:eastAsia="仿宋_GB2312"/>
                <w:sz w:val="20"/>
                <w:b/>
              </w:rPr>
              <w:t>3.16公共秩序日常维护服务</w:t>
            </w:r>
          </w:p>
          <w:tbl>
            <w:tblPr>
              <w:tblInd w:type="dxa" w:w="120"/>
              <w:tblBorders>
                <w:top w:val="none" w:color="000000" w:sz="4"/>
                <w:left w:val="none" w:color="000000" w:sz="4"/>
                <w:bottom w:val="none" w:color="000000" w:sz="4"/>
                <w:right w:val="none" w:color="000000" w:sz="4"/>
                <w:insideH w:val="none"/>
                <w:insideV w:val="none"/>
              </w:tblBorders>
            </w:tblPr>
            <w:tblGrid>
              <w:gridCol w:w="220"/>
              <w:gridCol w:w="387"/>
              <w:gridCol w:w="1935"/>
            </w:tblGrid>
            <w:tr>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服务内容</w:t>
                  </w:r>
                </w:p>
              </w:tc>
              <w:tc>
                <w:tcPr>
                  <w:tcW w:type="dxa" w:w="1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服务标准</w:t>
                  </w:r>
                </w:p>
              </w:tc>
            </w:tr>
            <w:tr>
              <w:tc>
                <w:tcPr>
                  <w:tcW w:type="dxa" w:w="2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基本要求</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1）建立保安服务相关制度，并按照执行。</w:t>
                  </w:r>
                </w:p>
              </w:tc>
            </w:tr>
            <w:tr>
              <w:tc>
                <w:tcPr>
                  <w:tcW w:type="dxa" w:w="220"/>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2）对巡查、值守及异常情况等做好相关记录，填写规范，保存完好。</w:t>
                  </w:r>
                </w:p>
              </w:tc>
            </w:tr>
            <w:tr>
              <w:tc>
                <w:tcPr>
                  <w:tcW w:type="dxa" w:w="220"/>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每季度开展安全管理及教育宣传工作。</w:t>
                  </w:r>
                </w:p>
              </w:tc>
            </w:tr>
            <w:tr>
              <w:tc>
                <w:tcPr>
                  <w:tcW w:type="dxa" w:w="220"/>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4）配备服务必要的器材。</w:t>
                  </w:r>
                </w:p>
              </w:tc>
            </w:tr>
            <w:tr>
              <w:tc>
                <w:tcPr>
                  <w:tcW w:type="dxa" w:w="2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出入管理</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1）办公楼（区）主出入口工作时间应当实行值班制。</w:t>
                  </w:r>
                </w:p>
              </w:tc>
            </w:tr>
            <w:tr>
              <w:tc>
                <w:tcPr>
                  <w:tcW w:type="dxa" w:w="220"/>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2）设置门岗。</w:t>
                  </w:r>
                </w:p>
              </w:tc>
            </w:tr>
            <w:tr>
              <w:tc>
                <w:tcPr>
                  <w:tcW w:type="dxa" w:w="220"/>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3）在出入口对外来人员及其携带大件物品进行询问和记录，并与相关部门取得联系，同意后方可进入。</w:t>
                  </w:r>
                </w:p>
              </w:tc>
            </w:tr>
            <w:tr>
              <w:tc>
                <w:tcPr>
                  <w:tcW w:type="dxa" w:w="220"/>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4）大件物品搬出有相关部门开具的证明和清单，经核实后放行。</w:t>
                  </w:r>
                </w:p>
              </w:tc>
            </w:tr>
            <w:tr>
              <w:tc>
                <w:tcPr>
                  <w:tcW w:type="dxa" w:w="220"/>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5）排查可疑人员，对于不出示证件、不按规定登记、不听劝阻而强行闯入者，及时劝离，必要时通知公安机关进行处理。</w:t>
                  </w:r>
                </w:p>
              </w:tc>
            </w:tr>
            <w:tr>
              <w:tc>
                <w:tcPr>
                  <w:tcW w:type="dxa" w:w="220"/>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6）配合相关部门积极疏导上访人员，有效疏导如出入口人群集聚、车辆拥堵、货物堵塞道路等情况。</w:t>
                  </w:r>
                </w:p>
              </w:tc>
            </w:tr>
            <w:tr>
              <w:tc>
                <w:tcPr>
                  <w:tcW w:type="dxa" w:w="220"/>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根据物业服务合同约定，对物品进出实行安检、登记、电话确认等分类管理措施。大宗物品进出会同接收单位收件人审检，严防违禁品（包括毒品、军火弹药、管制刀具、易燃易爆品等）、限带品（包括动物、任何未经授权的专业摄影设备、无人机等）进入。</w:t>
                  </w:r>
                </w:p>
              </w:tc>
            </w:tr>
            <w:tr>
              <w:tc>
                <w:tcPr>
                  <w:tcW w:type="dxa" w:w="220"/>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8）提供现场接待服务。</w:t>
                  </w:r>
                </w:p>
                <w:p>
                  <w:pPr>
                    <w:pStyle w:val="null3"/>
                    <w:ind w:firstLine="200"/>
                    <w:jc w:val="left"/>
                  </w:pPr>
                  <w:r>
                    <w:rPr>
                      <w:rFonts w:ascii="仿宋_GB2312" w:hAnsi="仿宋_GB2312" w:cs="仿宋_GB2312" w:eastAsia="仿宋_GB2312"/>
                      <w:sz w:val="20"/>
                    </w:rPr>
                    <w:t>①大楼主要入口处设置1-2人，</w:t>
                  </w:r>
                  <w:r>
                    <w:rPr>
                      <w:rFonts w:ascii="仿宋_GB2312" w:hAnsi="仿宋_GB2312" w:cs="仿宋_GB2312" w:eastAsia="仿宋_GB2312"/>
                      <w:sz w:val="20"/>
                    </w:rPr>
                    <w:t>做好来访人员、车辆进出证件登记，及时通报。</w:t>
                  </w:r>
                </w:p>
                <w:p>
                  <w:pPr>
                    <w:pStyle w:val="null3"/>
                    <w:ind w:firstLine="200"/>
                    <w:jc w:val="left"/>
                  </w:pPr>
                  <w:r>
                    <w:rPr>
                      <w:rFonts w:ascii="仿宋_GB2312" w:hAnsi="仿宋_GB2312" w:cs="仿宋_GB2312" w:eastAsia="仿宋_GB2312"/>
                      <w:sz w:val="20"/>
                    </w:rPr>
                    <w:t>②</w:t>
                  </w:r>
                  <w:r>
                    <w:rPr>
                      <w:rFonts w:ascii="仿宋_GB2312" w:hAnsi="仿宋_GB2312" w:cs="仿宋_GB2312" w:eastAsia="仿宋_GB2312"/>
                      <w:sz w:val="20"/>
                    </w:rPr>
                    <w:t>严禁无关人员、可疑人员和危险物品进入办公楼（区）内。</w:t>
                  </w:r>
                </w:p>
                <w:p>
                  <w:pPr>
                    <w:pStyle w:val="null3"/>
                    <w:ind w:firstLine="200"/>
                    <w:jc w:val="left"/>
                  </w:pPr>
                  <w:r>
                    <w:rPr>
                      <w:rFonts w:ascii="仿宋_GB2312" w:hAnsi="仿宋_GB2312" w:cs="仿宋_GB2312" w:eastAsia="仿宋_GB2312"/>
                      <w:sz w:val="20"/>
                    </w:rPr>
                    <w:t>③物品摆放整齐有序、分类放置。</w:t>
                  </w:r>
                </w:p>
                <w:p>
                  <w:pPr>
                    <w:pStyle w:val="null3"/>
                    <w:ind w:firstLine="200"/>
                    <w:jc w:val="left"/>
                  </w:pPr>
                  <w:r>
                    <w:rPr>
                      <w:rFonts w:ascii="仿宋_GB2312" w:hAnsi="仿宋_GB2312" w:cs="仿宋_GB2312" w:eastAsia="仿宋_GB2312"/>
                      <w:sz w:val="20"/>
                    </w:rPr>
                    <w:t>④对来访人员咨询、建议、求助</w:t>
                  </w:r>
                  <w:r>
                    <w:rPr>
                      <w:rFonts w:ascii="仿宋_GB2312" w:hAnsi="仿宋_GB2312" w:cs="仿宋_GB2312" w:eastAsia="仿宋_GB2312"/>
                      <w:sz w:val="20"/>
                    </w:rPr>
                    <w:t>、</w:t>
                  </w:r>
                  <w:r>
                    <w:rPr>
                      <w:rFonts w:ascii="仿宋_GB2312" w:hAnsi="仿宋_GB2312" w:cs="仿宋_GB2312" w:eastAsia="仿宋_GB2312"/>
                      <w:sz w:val="20"/>
                    </w:rPr>
                    <w:t>身份登记</w:t>
                  </w:r>
                  <w:r>
                    <w:rPr>
                      <w:rFonts w:ascii="仿宋_GB2312" w:hAnsi="仿宋_GB2312" w:cs="仿宋_GB2312" w:eastAsia="仿宋_GB2312"/>
                      <w:sz w:val="20"/>
                    </w:rPr>
                    <w:t>等事项，及时处理或答复，处理和答复率</w:t>
                  </w:r>
                  <w:r>
                    <w:rPr>
                      <w:rFonts w:ascii="仿宋_GB2312" w:hAnsi="仿宋_GB2312" w:cs="仿宋_GB2312" w:eastAsia="仿宋_GB2312"/>
                      <w:sz w:val="20"/>
                    </w:rPr>
                    <w:t>100%。</w:t>
                  </w:r>
                </w:p>
                <w:p>
                  <w:pPr>
                    <w:pStyle w:val="null3"/>
                    <w:ind w:firstLine="200"/>
                    <w:jc w:val="left"/>
                  </w:pPr>
                  <w:r>
                    <w:rPr>
                      <w:rFonts w:ascii="仿宋_GB2312" w:hAnsi="仿宋_GB2312" w:cs="仿宋_GB2312" w:eastAsia="仿宋_GB2312"/>
                      <w:sz w:val="20"/>
                    </w:rPr>
                    <w:t>⑤接待服务工作时间应</w:t>
                  </w:r>
                  <w:r>
                    <w:rPr>
                      <w:rFonts w:ascii="仿宋_GB2312" w:hAnsi="仿宋_GB2312" w:cs="仿宋_GB2312" w:eastAsia="仿宋_GB2312"/>
                      <w:sz w:val="20"/>
                    </w:rPr>
                    <w:t>当</w:t>
                  </w:r>
                  <w:r>
                    <w:rPr>
                      <w:rFonts w:ascii="仿宋_GB2312" w:hAnsi="仿宋_GB2312" w:cs="仿宋_GB2312" w:eastAsia="仿宋_GB2312"/>
                      <w:sz w:val="20"/>
                    </w:rPr>
                    <w:t>覆盖采购人工作时间（上班时间为</w:t>
                  </w:r>
                  <w:r>
                    <w:rPr>
                      <w:rFonts w:ascii="仿宋_GB2312" w:hAnsi="仿宋_GB2312" w:cs="仿宋_GB2312" w:eastAsia="仿宋_GB2312"/>
                      <w:sz w:val="20"/>
                    </w:rPr>
                    <w:t>8:30</w:t>
                  </w:r>
                  <w:r>
                    <w:rPr>
                      <w:rFonts w:ascii="仿宋_GB2312" w:hAnsi="仿宋_GB2312" w:cs="仿宋_GB2312" w:eastAsia="仿宋_GB2312"/>
                      <w:sz w:val="20"/>
                    </w:rPr>
                    <w:t>-</w:t>
                  </w:r>
                  <w:r>
                    <w:rPr>
                      <w:rFonts w:ascii="仿宋_GB2312" w:hAnsi="仿宋_GB2312" w:cs="仿宋_GB2312" w:eastAsia="仿宋_GB2312"/>
                      <w:sz w:val="20"/>
                    </w:rPr>
                    <w:t>18:00</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⑥与被访人进行核实确认；告知被访人的办</w:t>
                  </w:r>
                  <w:r>
                    <w:rPr>
                      <w:rFonts w:ascii="仿宋_GB2312" w:hAnsi="仿宋_GB2312" w:cs="仿宋_GB2312" w:eastAsia="仿宋_GB2312"/>
                      <w:sz w:val="20"/>
                    </w:rPr>
                    <w:t>公区域</w:t>
                  </w:r>
                  <w:r>
                    <w:rPr>
                      <w:rFonts w:ascii="仿宋_GB2312" w:hAnsi="仿宋_GB2312" w:cs="仿宋_GB2312" w:eastAsia="仿宋_GB2312"/>
                      <w:sz w:val="20"/>
                    </w:rPr>
                    <w:t>；告知访客注意事项（</w:t>
                  </w:r>
                  <w:r>
                    <w:rPr>
                      <w:rFonts w:ascii="仿宋_GB2312" w:hAnsi="仿宋_GB2312" w:cs="仿宋_GB2312" w:eastAsia="仿宋_GB2312"/>
                      <w:sz w:val="20"/>
                    </w:rPr>
                    <w:t>根据实际需要</w:t>
                  </w:r>
                  <w:r>
                    <w:rPr>
                      <w:rFonts w:ascii="仿宋_GB2312" w:hAnsi="仿宋_GB2312" w:cs="仿宋_GB2312" w:eastAsia="仿宋_GB2312"/>
                      <w:sz w:val="20"/>
                    </w:rPr>
                    <w:t>填写</w:t>
                  </w:r>
                  <w:r>
                    <w:rPr>
                      <w:rFonts w:ascii="仿宋_GB2312" w:hAnsi="仿宋_GB2312" w:cs="仿宋_GB2312" w:eastAsia="仿宋_GB2312"/>
                      <w:sz w:val="20"/>
                    </w:rPr>
                    <w:t>注意事项</w:t>
                  </w:r>
                  <w:r>
                    <w:rPr>
                      <w:rFonts w:ascii="仿宋_GB2312" w:hAnsi="仿宋_GB2312" w:cs="仿宋_GB2312" w:eastAsia="仿宋_GB2312"/>
                      <w:sz w:val="20"/>
                    </w:rPr>
                    <w:t>）。</w:t>
                  </w:r>
                </w:p>
              </w:tc>
            </w:tr>
            <w:tr>
              <w:tc>
                <w:tcPr>
                  <w:tcW w:type="dxa" w:w="2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值班</w:t>
                  </w:r>
                  <w:r>
                    <w:rPr>
                      <w:rFonts w:ascii="仿宋_GB2312" w:hAnsi="仿宋_GB2312" w:cs="仿宋_GB2312" w:eastAsia="仿宋_GB2312"/>
                      <w:sz w:val="20"/>
                    </w:rPr>
                    <w:t>巡查</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1）建立24小时值班巡查制度，</w:t>
                  </w:r>
                  <w:r>
                    <w:rPr>
                      <w:rFonts w:ascii="仿宋_GB2312" w:hAnsi="仿宋_GB2312" w:cs="仿宋_GB2312" w:eastAsia="仿宋_GB2312"/>
                      <w:sz w:val="20"/>
                    </w:rPr>
                    <w:t>公共区域每</w:t>
                  </w:r>
                  <w:r>
                    <w:rPr>
                      <w:rFonts w:ascii="仿宋_GB2312" w:hAnsi="仿宋_GB2312" w:cs="仿宋_GB2312" w:eastAsia="仿宋_GB2312"/>
                      <w:sz w:val="20"/>
                    </w:rPr>
                    <w:t>2小时巡查一次，维护正常办公秩序。</w:t>
                  </w:r>
                </w:p>
              </w:tc>
            </w:tr>
            <w:tr>
              <w:tc>
                <w:tcPr>
                  <w:tcW w:type="dxa" w:w="220"/>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2）制定巡查路线，按照指定时间和路线执行，加强大楼个出入口重点区域、重点部位及装修区域的巡查。</w:t>
                  </w:r>
                </w:p>
              </w:tc>
            </w:tr>
            <w:tr>
              <w:tc>
                <w:tcPr>
                  <w:tcW w:type="dxa" w:w="220"/>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3）巡查期间保持通信设施设备畅通，遇到异常情况立即上报并在现场采取相应措施。</w:t>
                  </w:r>
                </w:p>
              </w:tc>
            </w:tr>
            <w:tr>
              <w:tc>
                <w:tcPr>
                  <w:tcW w:type="dxa" w:w="220"/>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4）收到监控室指令后，巡查人员及时到达指定地点并迅速采取相应措施。</w:t>
                  </w:r>
                </w:p>
              </w:tc>
            </w:tr>
            <w:tr>
              <w:tc>
                <w:tcPr>
                  <w:tcW w:type="dxa" w:w="2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消防安全管理</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1）建立消防安全责任制，确定各级消防安全责任人及其职责。</w:t>
                  </w:r>
                </w:p>
              </w:tc>
            </w:tr>
            <w:tr>
              <w:tc>
                <w:tcPr>
                  <w:tcW w:type="dxa" w:w="220"/>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2）消防控制室实行24小时值班制度，每班不少于2人。</w:t>
                  </w:r>
                </w:p>
              </w:tc>
            </w:tr>
            <w:tr>
              <w:tc>
                <w:tcPr>
                  <w:tcW w:type="dxa" w:w="220"/>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3）消火栓、应急照明、应急物资、消防及人员逃生通道、消防车通道可随时正常使用。</w:t>
                  </w:r>
                </w:p>
              </w:tc>
            </w:tr>
            <w:tr>
              <w:tc>
                <w:tcPr>
                  <w:tcW w:type="dxa" w:w="220"/>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4）易燃易爆品设专区专人管理，做好相关记录。</w:t>
                  </w:r>
                </w:p>
              </w:tc>
            </w:tr>
            <w:tr>
              <w:tc>
                <w:tcPr>
                  <w:tcW w:type="dxa" w:w="220"/>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5）定期组织消防安全宣传，每半年至少开展1次消防演练。</w:t>
                  </w:r>
                </w:p>
              </w:tc>
            </w:tr>
            <w:tr>
              <w:tc>
                <w:tcPr>
                  <w:tcW w:type="dxa" w:w="220"/>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6）每月进行消防设施检查，定期进行灭火器检测。</w:t>
                  </w:r>
                </w:p>
              </w:tc>
            </w:tr>
            <w:tr>
              <w:tc>
                <w:tcPr>
                  <w:tcW w:type="dxa" w:w="2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突发事件处理</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1）制定突发事件安全责任书，明确突发事件责任人及应承担的安全责任。</w:t>
                  </w:r>
                </w:p>
              </w:tc>
            </w:tr>
            <w:tr>
              <w:tc>
                <w:tcPr>
                  <w:tcW w:type="dxa" w:w="220"/>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2）建立应急突发事件处置队伍，明确各自的职责。</w:t>
                  </w:r>
                </w:p>
              </w:tc>
            </w:tr>
            <w:tr>
              <w:tc>
                <w:tcPr>
                  <w:tcW w:type="dxa" w:w="220"/>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3）识别、分析各种潜在风险，针对不同风险类型制定相应解决方案，并配备应急物资。</w:t>
                  </w:r>
                </w:p>
              </w:tc>
            </w:tr>
            <w:tr>
              <w:tc>
                <w:tcPr>
                  <w:tcW w:type="dxa" w:w="220"/>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安全预案机制健全，每年开展消防安全、电梯困人、防汛等安全类应急演练</w:t>
                  </w:r>
                  <w:r>
                    <w:rPr>
                      <w:rFonts w:ascii="仿宋_GB2312" w:hAnsi="仿宋_GB2312" w:cs="仿宋_GB2312" w:eastAsia="仿宋_GB2312"/>
                      <w:sz w:val="20"/>
                    </w:rPr>
                    <w:t>，</w:t>
                  </w:r>
                  <w:r>
                    <w:rPr>
                      <w:rFonts w:ascii="仿宋_GB2312" w:hAnsi="仿宋_GB2312" w:cs="仿宋_GB2312" w:eastAsia="仿宋_GB2312"/>
                      <w:sz w:val="20"/>
                    </w:rPr>
                    <w:t>并有相应记录。</w:t>
                  </w:r>
                </w:p>
              </w:tc>
            </w:tr>
            <w:tr>
              <w:tc>
                <w:tcPr>
                  <w:tcW w:type="dxa" w:w="220"/>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5）发生意外事件时，及时采取应急措施，维护办公区域物业服务正常进行，保护人身财产安全。</w:t>
                  </w:r>
                </w:p>
              </w:tc>
            </w:tr>
            <w:tr>
              <w:tc>
                <w:tcPr>
                  <w:tcW w:type="dxa" w:w="220"/>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6）办公区域物业服务应急预案终止实施后，积极采取措施，在尽可能短的时间内，消除事故带来的不良影响，妥善安置和慰问受害及受影响的人员和部门。</w:t>
                  </w:r>
                </w:p>
              </w:tc>
            </w:tr>
            <w:tr>
              <w:tc>
                <w:tcPr>
                  <w:tcW w:type="dxa" w:w="220"/>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7）事故处理后，及时形成事故应急总结报告，完善应急救援工作方案。</w:t>
                  </w:r>
                </w:p>
              </w:tc>
            </w:tr>
            <w:tr>
              <w:tc>
                <w:tcPr>
                  <w:tcW w:type="dxa" w:w="220"/>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配置防汛物资，保障防汛工作正常开展。</w:t>
                  </w:r>
                </w:p>
              </w:tc>
            </w:tr>
            <w:tr>
              <w:tc>
                <w:tcPr>
                  <w:tcW w:type="dxa" w:w="2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大型活动秩序</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1）制定相应的活动秩序维护方案，合理安排人员，并对场所的安全隐患进行排查。</w:t>
                  </w:r>
                </w:p>
              </w:tc>
            </w:tr>
            <w:tr>
              <w:tc>
                <w:tcPr>
                  <w:tcW w:type="dxa" w:w="220"/>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2）应当保障通道、出入口、停车场等区域畅通。</w:t>
                  </w:r>
                </w:p>
              </w:tc>
            </w:tr>
            <w:tr>
              <w:tc>
                <w:tcPr>
                  <w:tcW w:type="dxa" w:w="220"/>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3）活动举办过程中，做好现场秩序的维护和突发事故的处置工作，确保活动正常进行。</w:t>
                  </w:r>
                </w:p>
              </w:tc>
            </w:tr>
          </w:tbl>
          <w:p>
            <w:pPr>
              <w:pStyle w:val="null3"/>
              <w:jc w:val="center"/>
              <w:outlineLvl w:val="1"/>
            </w:pPr>
            <w:r>
              <w:rPr>
                <w:rFonts w:ascii="仿宋_GB2312" w:hAnsi="仿宋_GB2312" w:cs="仿宋_GB2312" w:eastAsia="仿宋_GB2312"/>
                <w:sz w:val="20"/>
                <w:b/>
              </w:rPr>
              <w:t>4.</w:t>
            </w:r>
            <w:r>
              <w:rPr>
                <w:rFonts w:ascii="仿宋_GB2312" w:hAnsi="仿宋_GB2312" w:cs="仿宋_GB2312" w:eastAsia="仿宋_GB2312"/>
                <w:sz w:val="20"/>
                <w:b/>
              </w:rPr>
              <w:t>物业管理服务人员需求</w:t>
            </w:r>
          </w:p>
          <w:tbl>
            <w:tblPr>
              <w:tblInd w:type="dxa" w:w="120"/>
              <w:tblBorders>
                <w:top w:val="none" w:color="000000" w:sz="4"/>
                <w:left w:val="none" w:color="000000" w:sz="4"/>
                <w:bottom w:val="none" w:color="000000" w:sz="4"/>
                <w:right w:val="none" w:color="000000" w:sz="4"/>
                <w:insideH w:val="none"/>
                <w:insideV w:val="none"/>
              </w:tblBorders>
            </w:tblPr>
            <w:tblGrid>
              <w:gridCol w:w="507"/>
              <w:gridCol w:w="362"/>
              <w:gridCol w:w="1677"/>
            </w:tblGrid>
            <w:tr>
              <w:tc>
                <w:tcPr>
                  <w:tcW w:type="dxa" w:w="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岗位</w:t>
                  </w:r>
                </w:p>
              </w:tc>
              <w:tc>
                <w:tcPr>
                  <w:tcW w:type="dxa" w:w="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岗位所需总人数</w:t>
                  </w:r>
                </w:p>
              </w:tc>
              <w:tc>
                <w:tcPr>
                  <w:tcW w:type="dxa" w:w="16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备注（岗位所需资格证</w:t>
                  </w:r>
                  <w:r>
                    <w:rPr>
                      <w:rFonts w:ascii="仿宋_GB2312" w:hAnsi="仿宋_GB2312" w:cs="仿宋_GB2312" w:eastAsia="仿宋_GB2312"/>
                      <w:sz w:val="20"/>
                      <w:b/>
                    </w:rPr>
                    <w:t>、人员学历、工作经验</w:t>
                  </w:r>
                  <w:r>
                    <w:rPr>
                      <w:rFonts w:ascii="仿宋_GB2312" w:hAnsi="仿宋_GB2312" w:cs="仿宋_GB2312" w:eastAsia="仿宋_GB2312"/>
                      <w:sz w:val="20"/>
                      <w:b/>
                    </w:rPr>
                    <w:t>等</w:t>
                  </w:r>
                  <w:r>
                    <w:rPr>
                      <w:rFonts w:ascii="仿宋_GB2312" w:hAnsi="仿宋_GB2312" w:cs="仿宋_GB2312" w:eastAsia="仿宋_GB2312"/>
                      <w:sz w:val="20"/>
                      <w:b/>
                    </w:rPr>
                    <w:t>要求</w:t>
                  </w:r>
                  <w:r>
                    <w:rPr>
                      <w:rFonts w:ascii="仿宋_GB2312" w:hAnsi="仿宋_GB2312" w:cs="仿宋_GB2312" w:eastAsia="仿宋_GB2312"/>
                      <w:sz w:val="20"/>
                      <w:b/>
                    </w:rPr>
                    <w:t>）</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物业经理</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本科及以上学历，具备物业管理师证，</w:t>
                  </w:r>
                  <w:r>
                    <w:rPr>
                      <w:rFonts w:ascii="仿宋_GB2312" w:hAnsi="仿宋_GB2312" w:cs="仿宋_GB2312" w:eastAsia="仿宋_GB2312"/>
                      <w:sz w:val="20"/>
                      <w:color w:val="000000"/>
                    </w:rPr>
                    <w:t>5年以上项目管理经验。</w:t>
                  </w:r>
                </w:p>
                <w:p>
                  <w:pPr>
                    <w:pStyle w:val="null3"/>
                    <w:jc w:val="left"/>
                  </w:p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物业副经理</w:t>
                  </w:r>
                  <w:r>
                    <w:rPr>
                      <w:rFonts w:ascii="仿宋_GB2312" w:hAnsi="仿宋_GB2312" w:cs="仿宋_GB2312" w:eastAsia="仿宋_GB2312"/>
                      <w:sz w:val="20"/>
                      <w:color w:val="000000"/>
                    </w:rPr>
                    <w:t>/经理助理</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本科及以上学历，</w:t>
                  </w:r>
                  <w:r>
                    <w:rPr>
                      <w:rFonts w:ascii="仿宋_GB2312" w:hAnsi="仿宋_GB2312" w:cs="仿宋_GB2312" w:eastAsia="仿宋_GB2312"/>
                      <w:sz w:val="20"/>
                      <w:color w:val="000000"/>
                    </w:rPr>
                    <w:t>3年以上项目管理经验。</w:t>
                  </w:r>
                </w:p>
                <w:p>
                  <w:pPr>
                    <w:pStyle w:val="null3"/>
                    <w:jc w:val="left"/>
                  </w:p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主管</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大专及以上学历，</w:t>
                  </w:r>
                  <w:r>
                    <w:rPr>
                      <w:rFonts w:ascii="仿宋_GB2312" w:hAnsi="仿宋_GB2312" w:cs="仿宋_GB2312" w:eastAsia="仿宋_GB2312"/>
                      <w:sz w:val="20"/>
                      <w:color w:val="000000"/>
                    </w:rPr>
                    <w:t>45周岁以内。</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客服</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大专及以上学历，</w:t>
                  </w:r>
                  <w:r>
                    <w:rPr>
                      <w:rFonts w:ascii="仿宋_GB2312" w:hAnsi="仿宋_GB2312" w:cs="仿宋_GB2312" w:eastAsia="仿宋_GB2312"/>
                      <w:sz w:val="20"/>
                      <w:color w:val="000000"/>
                    </w:rPr>
                    <w:t>35周岁以内。</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0"/>
                      <w:color w:val="000000"/>
                    </w:rPr>
                    <w:t>5周岁以内，具备岗位操作证（电工证、特种设备作业人员证等），2年以上工程岗工作经验。</w:t>
                  </w:r>
                </w:p>
                <w:p>
                  <w:pPr>
                    <w:pStyle w:val="null3"/>
                    <w:jc w:val="both"/>
                  </w:p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秩序</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45周岁以内，监控室操作员至少6人具备消防中级操作证。</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保洁</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50周岁以内</w:t>
                  </w:r>
                  <w:r>
                    <w:rPr>
                      <w:rFonts w:ascii="仿宋_GB2312" w:hAnsi="仿宋_GB2312" w:cs="仿宋_GB2312" w:eastAsia="仿宋_GB2312"/>
                      <w:sz w:val="20"/>
                      <w:color w:val="000000"/>
                    </w:rPr>
                    <w:t>。</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绿化</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56周岁以内，具备岗位操作证。</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pPr>
            <w:r>
              <w:rPr>
                <w:rFonts w:ascii="仿宋_GB2312" w:hAnsi="仿宋_GB2312" w:cs="仿宋_GB2312" w:eastAsia="仿宋_GB2312"/>
                <w:sz w:val="20"/>
              </w:rPr>
              <w:t>注：</w:t>
            </w:r>
            <w:r>
              <w:rPr>
                <w:rFonts w:ascii="仿宋_GB2312" w:hAnsi="仿宋_GB2312" w:cs="仿宋_GB2312" w:eastAsia="仿宋_GB2312"/>
                <w:sz w:val="20"/>
              </w:rPr>
              <w:t>供应商</w:t>
            </w:r>
            <w:r>
              <w:rPr>
                <w:rFonts w:ascii="仿宋_GB2312" w:hAnsi="仿宋_GB2312" w:cs="仿宋_GB2312" w:eastAsia="仿宋_GB2312"/>
                <w:sz w:val="20"/>
              </w:rPr>
              <w:t>应</w:t>
            </w:r>
            <w:r>
              <w:rPr>
                <w:rFonts w:ascii="仿宋_GB2312" w:hAnsi="仿宋_GB2312" w:cs="仿宋_GB2312" w:eastAsia="仿宋_GB2312"/>
                <w:sz w:val="20"/>
              </w:rPr>
              <w:t>当按国家相关法律法规，合理确定服务人员工资标准、</w:t>
            </w:r>
            <w:r>
              <w:rPr>
                <w:rFonts w:ascii="仿宋_GB2312" w:hAnsi="仿宋_GB2312" w:cs="仿宋_GB2312" w:eastAsia="仿宋_GB2312"/>
                <w:sz w:val="20"/>
              </w:rPr>
              <w:t>工作时间</w:t>
            </w:r>
            <w:r>
              <w:rPr>
                <w:rFonts w:ascii="仿宋_GB2312" w:hAnsi="仿宋_GB2312" w:cs="仿宋_GB2312" w:eastAsia="仿宋_GB2312"/>
                <w:sz w:val="20"/>
              </w:rPr>
              <w:t>等</w:t>
            </w:r>
            <w:r>
              <w:rPr>
                <w:rFonts w:ascii="仿宋_GB2312" w:hAnsi="仿宋_GB2312" w:cs="仿宋_GB2312" w:eastAsia="仿宋_GB2312"/>
                <w:sz w:val="20"/>
              </w:rPr>
              <w:t>。</w:t>
            </w:r>
            <w:r>
              <w:rPr>
                <w:rFonts w:ascii="仿宋_GB2312" w:hAnsi="仿宋_GB2312" w:cs="仿宋_GB2312" w:eastAsia="仿宋_GB2312"/>
                <w:sz w:val="20"/>
              </w:rPr>
              <w:t>供应商</w:t>
            </w:r>
            <w:r>
              <w:rPr>
                <w:rFonts w:ascii="仿宋_GB2312" w:hAnsi="仿宋_GB2312" w:cs="仿宋_GB2312" w:eastAsia="仿宋_GB2312"/>
                <w:sz w:val="20"/>
              </w:rPr>
              <w:t>应当自行为服务人员办理必需的保险</w:t>
            </w:r>
            <w:r>
              <w:rPr>
                <w:rFonts w:ascii="仿宋_GB2312" w:hAnsi="仿宋_GB2312" w:cs="仿宋_GB2312" w:eastAsia="仿宋_GB2312"/>
                <w:sz w:val="20"/>
              </w:rPr>
              <w:t>，有关人员伤亡及第三者责任险均</w:t>
            </w:r>
            <w:r>
              <w:rPr>
                <w:rFonts w:ascii="仿宋_GB2312" w:hAnsi="仿宋_GB2312" w:cs="仿宋_GB2312" w:eastAsia="仿宋_GB2312"/>
                <w:sz w:val="20"/>
              </w:rPr>
              <w:t>由供应商自行负责</w:t>
            </w:r>
            <w:r>
              <w:rPr>
                <w:rFonts w:ascii="仿宋_GB2312" w:hAnsi="仿宋_GB2312" w:cs="仿宋_GB2312" w:eastAsia="仿宋_GB2312"/>
                <w:sz w:val="20"/>
              </w:rPr>
              <w:t>。</w:t>
            </w:r>
          </w:p>
          <w:p>
            <w:pPr>
              <w:pStyle w:val="null3"/>
              <w:jc w:val="left"/>
              <w:outlineLvl w:val="1"/>
            </w:pPr>
            <w:r>
              <w:rPr>
                <w:rFonts w:ascii="仿宋_GB2312" w:hAnsi="仿宋_GB2312" w:cs="仿宋_GB2312" w:eastAsia="仿宋_GB2312"/>
                <w:sz w:val="20"/>
                <w:b/>
              </w:rPr>
              <w:t>6</w:t>
            </w:r>
            <w:r>
              <w:rPr>
                <w:rFonts w:ascii="仿宋_GB2312" w:hAnsi="仿宋_GB2312" w:cs="仿宋_GB2312" w:eastAsia="仿宋_GB2312"/>
                <w:sz w:val="20"/>
                <w:b/>
              </w:rPr>
              <w:t>.</w:t>
            </w:r>
            <w:r>
              <w:rPr>
                <w:rFonts w:ascii="仿宋_GB2312" w:hAnsi="仿宋_GB2312" w:cs="仿宋_GB2312" w:eastAsia="仿宋_GB2312"/>
                <w:sz w:val="20"/>
                <w:b/>
              </w:rPr>
              <w:t>商务要求</w:t>
            </w:r>
          </w:p>
          <w:p>
            <w:pPr>
              <w:pStyle w:val="null3"/>
              <w:ind w:firstLine="402"/>
              <w:jc w:val="left"/>
            </w:pPr>
            <w:r>
              <w:rPr>
                <w:rFonts w:ascii="仿宋_GB2312" w:hAnsi="仿宋_GB2312" w:cs="仿宋_GB2312" w:eastAsia="仿宋_GB2312"/>
                <w:sz w:val="20"/>
                <w:b/>
              </w:rPr>
              <w:t>6.1</w:t>
            </w:r>
            <w:r>
              <w:rPr>
                <w:rFonts w:ascii="仿宋_GB2312" w:hAnsi="仿宋_GB2312" w:cs="仿宋_GB2312" w:eastAsia="仿宋_GB2312"/>
                <w:sz w:val="20"/>
              </w:rPr>
              <w:t>服务期限：一年</w:t>
            </w:r>
          </w:p>
          <w:p>
            <w:pPr>
              <w:pStyle w:val="null3"/>
              <w:ind w:firstLine="402"/>
              <w:jc w:val="left"/>
            </w:pPr>
            <w:r>
              <w:rPr>
                <w:rFonts w:ascii="仿宋_GB2312" w:hAnsi="仿宋_GB2312" w:cs="仿宋_GB2312" w:eastAsia="仿宋_GB2312"/>
                <w:sz w:val="20"/>
                <w:b/>
              </w:rPr>
              <w:t>6.</w:t>
            </w:r>
            <w:r>
              <w:rPr>
                <w:rFonts w:ascii="仿宋_GB2312" w:hAnsi="仿宋_GB2312" w:cs="仿宋_GB2312" w:eastAsia="仿宋_GB2312"/>
                <w:sz w:val="20"/>
                <w:b/>
              </w:rPr>
              <w:t>2其他服务</w:t>
            </w:r>
          </w:p>
          <w:p>
            <w:pPr>
              <w:pStyle w:val="null3"/>
              <w:jc w:val="left"/>
            </w:pPr>
            <w:r>
              <w:rPr>
                <w:rFonts w:ascii="仿宋_GB2312" w:hAnsi="仿宋_GB2312" w:cs="仿宋_GB2312" w:eastAsia="仿宋_GB2312"/>
                <w:sz w:val="20"/>
                <w:b/>
              </w:rPr>
              <w:t>l</w:t>
            </w:r>
            <w:r>
              <w:rPr>
                <w:rFonts w:ascii="仿宋_GB2312" w:hAnsi="仿宋_GB2312" w:cs="仿宋_GB2312" w:eastAsia="仿宋_GB2312"/>
                <w:sz w:val="20"/>
              </w:rPr>
              <w:t xml:space="preserve"> </w:t>
            </w:r>
            <w:r>
              <w:rPr>
                <w:rFonts w:ascii="仿宋_GB2312" w:hAnsi="仿宋_GB2312" w:cs="仿宋_GB2312" w:eastAsia="仿宋_GB2312"/>
                <w:sz w:val="20"/>
              </w:rPr>
              <w:t>适应业主需求开展有偿服务，明确服务项目及收费标准。</w:t>
            </w:r>
          </w:p>
          <w:p>
            <w:pPr>
              <w:pStyle w:val="null3"/>
              <w:jc w:val="left"/>
            </w:pPr>
            <w:r>
              <w:rPr>
                <w:rFonts w:ascii="仿宋_GB2312" w:hAnsi="仿宋_GB2312" w:cs="仿宋_GB2312" w:eastAsia="仿宋_GB2312"/>
                <w:sz w:val="20"/>
              </w:rPr>
              <w:t>l  入驻单位财产与人身安全保险由入驻单位自行负责。</w:t>
            </w:r>
          </w:p>
          <w:p>
            <w:pPr>
              <w:pStyle w:val="null3"/>
              <w:ind w:firstLine="402"/>
              <w:jc w:val="left"/>
            </w:pPr>
            <w:r>
              <w:rPr>
                <w:rFonts w:ascii="仿宋_GB2312" w:hAnsi="仿宋_GB2312" w:cs="仿宋_GB2312" w:eastAsia="仿宋_GB2312"/>
                <w:sz w:val="20"/>
                <w:b/>
              </w:rPr>
              <w:t>7.报价说明</w:t>
            </w:r>
          </w:p>
          <w:p>
            <w:pPr>
              <w:pStyle w:val="null3"/>
              <w:ind w:firstLine="400"/>
              <w:jc w:val="left"/>
            </w:pPr>
            <w:r>
              <w:rPr>
                <w:rFonts w:ascii="仿宋_GB2312" w:hAnsi="仿宋_GB2312" w:cs="仿宋_GB2312" w:eastAsia="仿宋_GB2312"/>
                <w:sz w:val="20"/>
              </w:rPr>
              <w:t>本项目投标报价为完成本次物业服务所需的所有费用，包含水费、电费、天然气费、柴油费及</w:t>
            </w:r>
            <w:r>
              <w:rPr>
                <w:rFonts w:ascii="仿宋_GB2312" w:hAnsi="仿宋_GB2312" w:cs="仿宋_GB2312" w:eastAsia="仿宋_GB2312"/>
                <w:sz w:val="20"/>
              </w:rPr>
              <w:t>外墙清洗特约服务费</w:t>
            </w:r>
            <w:r>
              <w:rPr>
                <w:rFonts w:ascii="仿宋_GB2312" w:hAnsi="仿宋_GB2312" w:cs="仿宋_GB2312" w:eastAsia="仿宋_GB2312"/>
                <w:sz w:val="20"/>
              </w:rPr>
              <w:t>。</w:t>
            </w:r>
          </w:p>
          <w:p>
            <w:pPr>
              <w:pStyle w:val="null3"/>
              <w:numPr>
                <w:ilvl w:val="0"/>
                <w:numId w:val="1"/>
              </w:numPr>
              <w:jc w:val="left"/>
            </w:pPr>
            <w:r>
              <w:rPr>
                <w:rFonts w:ascii="仿宋_GB2312" w:hAnsi="仿宋_GB2312" w:cs="仿宋_GB2312" w:eastAsia="仿宋_GB2312"/>
                <w:sz w:val="20"/>
              </w:rPr>
              <w:t>外墙清洗特约服务费暂估价</w:t>
            </w:r>
            <w:r>
              <w:rPr>
                <w:rFonts w:ascii="仿宋_GB2312" w:hAnsi="仿宋_GB2312" w:cs="仿宋_GB2312" w:eastAsia="仿宋_GB2312"/>
                <w:sz w:val="20"/>
              </w:rPr>
              <w:t>121202.00元</w:t>
            </w:r>
          </w:p>
          <w:p>
            <w:pPr>
              <w:pStyle w:val="null3"/>
              <w:numPr>
                <w:ilvl w:val="0"/>
                <w:numId w:val="1"/>
              </w:numPr>
              <w:jc w:val="left"/>
            </w:pPr>
            <w:r>
              <w:rPr>
                <w:rFonts w:ascii="仿宋_GB2312" w:hAnsi="仿宋_GB2312" w:cs="仿宋_GB2312" w:eastAsia="仿宋_GB2312"/>
                <w:sz w:val="20"/>
              </w:rPr>
              <w:t>电费暂估价</w:t>
            </w:r>
            <w:r>
              <w:rPr>
                <w:rFonts w:ascii="仿宋_GB2312" w:hAnsi="仿宋_GB2312" w:cs="仿宋_GB2312" w:eastAsia="仿宋_GB2312"/>
                <w:sz w:val="20"/>
              </w:rPr>
              <w:t>2529955.20元</w:t>
            </w:r>
          </w:p>
          <w:p>
            <w:pPr>
              <w:pStyle w:val="null3"/>
              <w:numPr>
                <w:ilvl w:val="0"/>
                <w:numId w:val="1"/>
              </w:numPr>
              <w:jc w:val="left"/>
            </w:pPr>
            <w:r>
              <w:rPr>
                <w:rFonts w:ascii="仿宋_GB2312" w:hAnsi="仿宋_GB2312" w:cs="仿宋_GB2312" w:eastAsia="仿宋_GB2312"/>
                <w:sz w:val="20"/>
              </w:rPr>
              <w:t>水费暂估价</w:t>
            </w:r>
            <w:r>
              <w:rPr>
                <w:rFonts w:ascii="仿宋_GB2312" w:hAnsi="仿宋_GB2312" w:cs="仿宋_GB2312" w:eastAsia="仿宋_GB2312"/>
                <w:sz w:val="20"/>
              </w:rPr>
              <w:t>119990.40元</w:t>
            </w:r>
          </w:p>
          <w:p>
            <w:pPr>
              <w:pStyle w:val="null3"/>
              <w:numPr>
                <w:ilvl w:val="0"/>
                <w:numId w:val="1"/>
              </w:numPr>
              <w:jc w:val="left"/>
            </w:pPr>
            <w:r>
              <w:rPr>
                <w:rFonts w:ascii="仿宋_GB2312" w:hAnsi="仿宋_GB2312" w:cs="仿宋_GB2312" w:eastAsia="仿宋_GB2312"/>
                <w:sz w:val="20"/>
              </w:rPr>
              <w:t>天然气费暂估价</w:t>
            </w:r>
            <w:r>
              <w:rPr>
                <w:rFonts w:ascii="仿宋_GB2312" w:hAnsi="仿宋_GB2312" w:cs="仿宋_GB2312" w:eastAsia="仿宋_GB2312"/>
                <w:sz w:val="20"/>
              </w:rPr>
              <w:t>73596.00元</w:t>
            </w:r>
          </w:p>
          <w:p>
            <w:pPr>
              <w:pStyle w:val="null3"/>
              <w:numPr>
                <w:ilvl w:val="0"/>
                <w:numId w:val="1"/>
              </w:numPr>
              <w:jc w:val="left"/>
            </w:pPr>
            <w:r>
              <w:rPr>
                <w:rFonts w:ascii="仿宋_GB2312" w:hAnsi="仿宋_GB2312" w:cs="仿宋_GB2312" w:eastAsia="仿宋_GB2312"/>
                <w:sz w:val="20"/>
              </w:rPr>
              <w:t>柴油费暂估价</w:t>
            </w:r>
            <w:r>
              <w:rPr>
                <w:rFonts w:ascii="仿宋_GB2312" w:hAnsi="仿宋_GB2312" w:cs="仿宋_GB2312" w:eastAsia="仿宋_GB2312"/>
                <w:sz w:val="20"/>
              </w:rPr>
              <w:t>29999.64元</w:t>
            </w:r>
          </w:p>
          <w:p>
            <w:pPr>
              <w:pStyle w:val="null3"/>
              <w:ind w:firstLine="402"/>
              <w:jc w:val="left"/>
            </w:pPr>
            <w:r>
              <w:rPr>
                <w:rFonts w:ascii="仿宋_GB2312" w:hAnsi="仿宋_GB2312" w:cs="仿宋_GB2312" w:eastAsia="仿宋_GB2312"/>
                <w:sz w:val="20"/>
              </w:rPr>
              <w:t>以上费用投标人在报价时以暂估价形式计入投标总价，采购人按照</w:t>
            </w:r>
            <w:r>
              <w:rPr>
                <w:rFonts w:ascii="仿宋_GB2312" w:hAnsi="仿宋_GB2312" w:cs="仿宋_GB2312" w:eastAsia="仿宋_GB2312"/>
                <w:sz w:val="20"/>
              </w:rPr>
              <w:t>服务期间产生的费用据实结算。</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合同的物业管理服务费按照季度进行结算，每季度末甲方有权对乙方该季度物业服务工作进行考核，按照考核结果确认支付金额，金额经双方确认无误后，乙方向甲方提供正式发票，甲方向乙方支付该季度物业管理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合同的物业管理服务费按照季度进行结算，每季度末甲方有权对乙方该季度物业服务工作进行考核，按照考核结果确认支付金额，金额经双方确认无误后，乙方向甲方提供正式发票，甲方向乙方支付该季度物业管理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合同的物业管理服务费按照季度进行结算，每季度末甲方有权对乙方该季度物业服务工作进行考核，按照考核结果确认支付金额，金额经双方确认无误后，乙方向甲方提供正式发票，甲方向乙方支付该季度物业管理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合同的物业管理服务费按照季度进行结算，每季度末甲方有权对乙方该季度物业服务工作进行考核，按照考核结果确认支付金额，金额经双方确认无误后，乙方向甲方提供正式发票，甲方向乙方支付该季度物业管理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中标供应商在领取中标通知书前，需向采购代理机构提交纸质版响应文件2份，纸质版文件须为电子响应文件的打印版。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具有良好的商业信誉和健全的财务会计制度（提供会计师事务所出具的2024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供应商承诺书.docx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授权书及授权代表本单位证明</w:t>
            </w:r>
          </w:p>
        </w:tc>
        <w:tc>
          <w:tcPr>
            <w:tcW w:type="dxa" w:w="3322"/>
          </w:tcPr>
          <w:p>
            <w:pPr>
              <w:pStyle w:val="null3"/>
            </w:pPr>
            <w:r>
              <w:rPr>
                <w:rFonts w:ascii="仿宋_GB2312" w:hAnsi="仿宋_GB2312" w:cs="仿宋_GB2312" w:eastAsia="仿宋_GB2312"/>
              </w:rPr>
              <w:t>投标人应授权合法的人员参加投标全过程，法定代表人（或负责人）委托代理人参加投标时，应提供法定代表人委托授权书及被授权人的参保缴费证明（须赋可查询的验证编号或验证二维码）；法定代表人（或负责人）亲自参加投标时，应提供法定代表人（或负责人）身份证，并与营业执照上信息一致。</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投标报价出现以下情形，评标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按招标文件要求签署或盖章。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采购预算或最高限价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开标一览表 投标函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数量</w:t>
            </w:r>
          </w:p>
        </w:tc>
        <w:tc>
          <w:tcPr>
            <w:tcW w:type="dxa" w:w="3322"/>
          </w:tcPr>
          <w:p>
            <w:pPr>
              <w:pStyle w:val="null3"/>
            </w:pPr>
            <w:r>
              <w:rPr>
                <w:rFonts w:ascii="仿宋_GB2312" w:hAnsi="仿宋_GB2312" w:cs="仿宋_GB2312" w:eastAsia="仿宋_GB2312"/>
              </w:rPr>
              <w:t>投标内容未出现漏项或数量与要求不符。</w:t>
            </w:r>
          </w:p>
        </w:tc>
        <w:tc>
          <w:tcPr>
            <w:tcW w:type="dxa" w:w="1661"/>
          </w:tcPr>
          <w:p>
            <w:pPr>
              <w:pStyle w:val="null3"/>
            </w:pPr>
            <w:r>
              <w:rPr>
                <w:rFonts w:ascii="仿宋_GB2312" w:hAnsi="仿宋_GB2312" w:cs="仿宋_GB2312" w:eastAsia="仿宋_GB2312"/>
              </w:rPr>
              <w:t>商务条款（合同条款）偏离表.docx 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实质性偏离</w:t>
            </w:r>
          </w:p>
        </w:tc>
        <w:tc>
          <w:tcPr>
            <w:tcW w:type="dxa" w:w="3322"/>
          </w:tcPr>
          <w:p>
            <w:pPr>
              <w:pStyle w:val="null3"/>
            </w:pPr>
            <w:r>
              <w:rPr>
                <w:rFonts w:ascii="仿宋_GB2312" w:hAnsi="仿宋_GB2312" w:cs="仿宋_GB2312" w:eastAsia="仿宋_GB2312"/>
              </w:rPr>
              <w:t>完全响应招标文件要求的各项实质性条款。</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针对本项目提供服务方案： 1、房屋建筑日常巡查养护方案； 2、服务中心给排水系统、供电系统、空调系统、电梯设备等日常运行维护方案； 3、服务中心监控、消防系统日常维护方案； 4、服务中心日常会议接待服务方案； 5、公共区域设施设备维护方案； 6、车场车辆停放秩序维护方案； 7、公共区域卫生保洁服务方案； 8、相关区域绿化养护服务方案； 9、公共秩序日常维护服务方案； 10、服务中心特殊情况应急预案； 11、外墙清洗等特约方案； 12、能耗费用托收代缴服务方案。 完整提供上述12项内容的得36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针对本项目提供质量保障方案： 1、服务质量监督控制体系； 2、服务质量保障方案； 3、服务保障承诺； 4、紧急事项保障措施； 5、针对本项目工作提出合理化建议，有助于项目服务正常进行。 完整提供上述5项内容的得25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提供人员服务方案： 1、人员岗位设置方案； 2、拟投入人员资历情况； 3、突发应急事件人员调动方案； 4、人员定期培训方案。 完整提供上述4项内容的得20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投标人提供2022年1月1日至今类似项目业绩，业绩以合同为依据，响应文件中附有其证明资料，每提供一个业绩证明计3分，满分9分。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投标报价得分=（评标基准价/投标报价）×价格权值（即10%）×100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详见附件：商务条款（合同条款）偏离表.docx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