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71F76">
      <w:pPr>
        <w:pStyle w:val="7"/>
        <w:numPr>
          <w:numId w:val="0"/>
        </w:numPr>
        <w:jc w:val="center"/>
        <w:outlineLvl w:val="1"/>
        <w:rPr>
          <w:rFonts w:hint="default" w:ascii="仿宋_GB2312" w:hAnsi="仿宋_GB2312" w:eastAsia="仿宋_GB2312" w:cs="仿宋_GB2312"/>
          <w:b/>
          <w:sz w:val="36"/>
          <w:highlight w:val="none"/>
          <w:lang w:eastAsia="zh-CN"/>
        </w:rPr>
      </w:pPr>
      <w:r>
        <w:rPr>
          <w:rFonts w:ascii="仿宋_GB2312" w:hAnsi="仿宋_GB2312" w:eastAsia="仿宋_GB2312" w:cs="仿宋_GB2312"/>
          <w:b/>
          <w:sz w:val="36"/>
          <w:highlight w:val="none"/>
        </w:rPr>
        <w:t>拟签订采购合同文本</w:t>
      </w:r>
    </w:p>
    <w:p w14:paraId="53A1C6D6">
      <w:pPr>
        <w:widowControl w:val="0"/>
        <w:tabs>
          <w:tab w:val="left" w:pos="735"/>
        </w:tabs>
        <w:autoSpaceDE w:val="0"/>
        <w:autoSpaceDN w:val="0"/>
        <w:adjustRightInd w:val="0"/>
        <w:snapToGrid w:val="0"/>
        <w:spacing w:before="420" w:beforeLines="100" w:line="360" w:lineRule="auto"/>
        <w:ind w:firstLine="629"/>
        <w:jc w:val="both"/>
        <w:rPr>
          <w:rFonts w:hint="eastAsia" w:ascii="仿宋_GB2312" w:hAnsi="仿宋_GB2312" w:eastAsia="仿宋_GB2312" w:cs="仿宋_GB2312"/>
          <w:b/>
          <w:bCs/>
          <w:kern w:val="2"/>
          <w:sz w:val="20"/>
          <w:szCs w:val="20"/>
          <w:highlight w:val="none"/>
          <w:lang w:val="zh-CN"/>
        </w:rPr>
      </w:pPr>
      <w:r>
        <w:rPr>
          <w:rFonts w:hint="eastAsia" w:ascii="仿宋_GB2312" w:hAnsi="仿宋_GB2312" w:eastAsia="仿宋_GB2312" w:cs="仿宋_GB2312"/>
          <w:b/>
          <w:bCs/>
          <w:kern w:val="2"/>
          <w:sz w:val="20"/>
          <w:szCs w:val="20"/>
          <w:highlight w:val="none"/>
          <w:lang w:val="zh-CN"/>
        </w:rPr>
        <w:t>甲方：</w:t>
      </w:r>
      <w:r>
        <w:rPr>
          <w:rFonts w:hint="eastAsia" w:ascii="仿宋_GB2312" w:hAnsi="仿宋_GB2312" w:eastAsia="仿宋_GB2312" w:cs="仿宋_GB2312"/>
          <w:bCs/>
          <w:kern w:val="2"/>
          <w:sz w:val="20"/>
          <w:szCs w:val="20"/>
          <w:highlight w:val="none"/>
          <w:lang w:val="zh-CN"/>
        </w:rPr>
        <w:t>（前款所称采购人）     住所：</w:t>
      </w:r>
    </w:p>
    <w:p w14:paraId="5820FA6B">
      <w:pPr>
        <w:widowControl w:val="0"/>
        <w:tabs>
          <w:tab w:val="left" w:pos="735"/>
        </w:tabs>
        <w:autoSpaceDE w:val="0"/>
        <w:autoSpaceDN w:val="0"/>
        <w:adjustRightInd w:val="0"/>
        <w:snapToGrid w:val="0"/>
        <w:spacing w:line="360" w:lineRule="auto"/>
        <w:ind w:firstLine="631"/>
        <w:jc w:val="both"/>
        <w:rPr>
          <w:rFonts w:hint="eastAsia" w:ascii="仿宋_GB2312" w:hAnsi="仿宋_GB2312" w:eastAsia="仿宋_GB2312" w:cs="仿宋_GB2312"/>
          <w:bCs/>
          <w:kern w:val="2"/>
          <w:sz w:val="20"/>
          <w:szCs w:val="20"/>
          <w:highlight w:val="none"/>
          <w:lang w:val="zh-CN"/>
        </w:rPr>
      </w:pPr>
      <w:r>
        <w:rPr>
          <w:rFonts w:hint="eastAsia" w:ascii="仿宋_GB2312" w:hAnsi="仿宋_GB2312" w:eastAsia="仿宋_GB2312" w:cs="仿宋_GB2312"/>
          <w:b/>
          <w:bCs/>
          <w:kern w:val="2"/>
          <w:sz w:val="20"/>
          <w:szCs w:val="20"/>
          <w:highlight w:val="none"/>
          <w:lang w:val="zh-CN"/>
        </w:rPr>
        <w:t>乙方：</w:t>
      </w:r>
      <w:r>
        <w:rPr>
          <w:rFonts w:hint="eastAsia" w:ascii="仿宋_GB2312" w:hAnsi="仿宋_GB2312" w:eastAsia="仿宋_GB2312" w:cs="仿宋_GB2312"/>
          <w:bCs/>
          <w:kern w:val="2"/>
          <w:sz w:val="20"/>
          <w:szCs w:val="20"/>
          <w:highlight w:val="none"/>
          <w:lang w:val="zh-CN"/>
        </w:rPr>
        <w:t>（前款所称中标人）     住所：</w:t>
      </w:r>
    </w:p>
    <w:p w14:paraId="759BF86F">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0" w:name="_Toc19515384"/>
      <w:r>
        <w:rPr>
          <w:rFonts w:hint="eastAsia" w:ascii="仿宋_GB2312" w:hAnsi="仿宋_GB2312" w:eastAsia="仿宋_GB2312" w:cs="仿宋_GB2312"/>
          <w:b/>
          <w:kern w:val="2"/>
          <w:sz w:val="20"/>
          <w:szCs w:val="20"/>
          <w:highlight w:val="none"/>
        </w:rPr>
        <w:t>一、合同内容（标的、数量、质量等）:</w:t>
      </w:r>
      <w:bookmarkEnd w:id="0"/>
    </w:p>
    <w:p w14:paraId="32CC4BA5">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1" w:name="_Toc19515385"/>
      <w:r>
        <w:rPr>
          <w:rFonts w:hint="eastAsia" w:ascii="仿宋_GB2312" w:hAnsi="仿宋_GB2312" w:eastAsia="仿宋_GB2312" w:cs="仿宋_GB2312"/>
          <w:b/>
          <w:kern w:val="2"/>
          <w:sz w:val="20"/>
          <w:szCs w:val="20"/>
          <w:highlight w:val="none"/>
        </w:rPr>
        <w:t>二、合同价款</w:t>
      </w:r>
      <w:bookmarkEnd w:id="1"/>
    </w:p>
    <w:p w14:paraId="13DD26BE">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1、合同总价：</w:t>
      </w:r>
    </w:p>
    <w:p w14:paraId="690608FF">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2、合同总价包括：</w:t>
      </w:r>
      <w:r>
        <w:rPr>
          <w:rFonts w:hint="eastAsia" w:ascii="仿宋_GB2312" w:hAnsi="仿宋_GB2312" w:eastAsia="仿宋_GB2312" w:cs="仿宋_GB2312"/>
          <w:kern w:val="2"/>
          <w:sz w:val="20"/>
          <w:szCs w:val="20"/>
          <w:highlight w:val="none"/>
          <w:lang w:val="en-US" w:eastAsia="zh-CN"/>
        </w:rPr>
        <w:t>本项目合同总价包含物业管理服务费、能耗费、外墙清洗费用，其中能耗费及外墙清洗费用根据项目服务期间实际发生费用据实结算</w:t>
      </w:r>
      <w:r>
        <w:rPr>
          <w:rFonts w:hint="eastAsia" w:ascii="仿宋_GB2312" w:hAnsi="仿宋_GB2312" w:eastAsia="仿宋_GB2312" w:cs="仿宋_GB2312"/>
          <w:kern w:val="2"/>
          <w:sz w:val="20"/>
          <w:szCs w:val="20"/>
          <w:highlight w:val="none"/>
        </w:rPr>
        <w:t>。</w:t>
      </w:r>
    </w:p>
    <w:p w14:paraId="5C0D7158">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2" w:name="_Toc19515386"/>
      <w:r>
        <w:rPr>
          <w:rFonts w:hint="eastAsia" w:ascii="仿宋_GB2312" w:hAnsi="仿宋_GB2312" w:eastAsia="仿宋_GB2312" w:cs="仿宋_GB2312"/>
          <w:b/>
          <w:kern w:val="2"/>
          <w:sz w:val="20"/>
          <w:szCs w:val="20"/>
          <w:highlight w:val="none"/>
        </w:rPr>
        <w:t>三、合同结算</w:t>
      </w:r>
      <w:bookmarkEnd w:id="2"/>
    </w:p>
    <w:p w14:paraId="56FF3D81">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w:t>
      </w:r>
      <w:bookmarkStart w:id="3" w:name="_Toc19515387"/>
      <w:r>
        <w:rPr>
          <w:rFonts w:hint="eastAsia" w:ascii="仿宋_GB2312" w:hAnsi="仿宋_GB2312" w:eastAsia="仿宋_GB2312" w:cs="仿宋_GB2312"/>
          <w:kern w:val="2"/>
          <w:sz w:val="20"/>
          <w:szCs w:val="20"/>
          <w:highlight w:val="none"/>
        </w:rPr>
        <w:t>资金支付条件及时间：</w:t>
      </w:r>
    </w:p>
    <w:p w14:paraId="44284F0C">
      <w:pPr>
        <w:pStyle w:val="7"/>
        <w:ind w:firstLine="400" w:firstLineChars="200"/>
        <w:outlineLvl w:val="3"/>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lang w:val="en-US" w:eastAsia="zh-CN"/>
        </w:rPr>
        <w:t>1-1、</w:t>
      </w:r>
      <w:r>
        <w:rPr>
          <w:rFonts w:hint="eastAsia" w:ascii="仿宋_GB2312" w:hAnsi="仿宋_GB2312" w:eastAsia="仿宋_GB2312" w:cs="仿宋_GB2312"/>
          <w:highlight w:val="none"/>
          <w:lang w:val="en-US" w:eastAsia="zh-CN"/>
        </w:rPr>
        <w:t>本合同的物业管理服务费按照季度进行结算，每季度末甲方有权对乙方该季度物业服务工作进行考核，按照考核结果确认支付金额，金额经双方确认无误后，乙方向甲方提供正式发票，甲方向乙方支付该季度物业管理服务费。</w:t>
      </w:r>
    </w:p>
    <w:p w14:paraId="401255C1">
      <w:pPr>
        <w:widowControl w:val="0"/>
        <w:adjustRightInd w:val="0"/>
        <w:snapToGrid w:val="0"/>
        <w:spacing w:line="360" w:lineRule="auto"/>
        <w:ind w:firstLine="400" w:firstLineChars="200"/>
        <w:jc w:val="both"/>
        <w:rPr>
          <w:rFonts w:hint="default"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1-2、</w:t>
      </w:r>
      <w:r>
        <w:rPr>
          <w:rFonts w:hint="eastAsia" w:ascii="仿宋_GB2312" w:hAnsi="仿宋_GB2312" w:eastAsia="仿宋_GB2312" w:cs="仿宋_GB2312"/>
          <w:b w:val="0"/>
          <w:bCs w:val="0"/>
          <w:color w:val="auto"/>
          <w:sz w:val="20"/>
          <w:szCs w:val="20"/>
          <w:highlight w:val="none"/>
          <w:u w:val="none"/>
          <w:lang w:val="en-US" w:eastAsia="zh-CN"/>
        </w:rPr>
        <w:t>水费、电费、天然气费、柴油费及</w:t>
      </w:r>
      <w:r>
        <w:rPr>
          <w:rFonts w:hint="eastAsia" w:ascii="仿宋_GB2312" w:hAnsi="仿宋_GB2312" w:eastAsia="仿宋_GB2312" w:cs="仿宋_GB2312"/>
          <w:b w:val="0"/>
          <w:bCs w:val="0"/>
          <w:color w:val="auto"/>
          <w:kern w:val="2"/>
          <w:sz w:val="20"/>
          <w:szCs w:val="20"/>
          <w:highlight w:val="none"/>
          <w:u w:val="none"/>
          <w:lang w:val="en-US" w:eastAsia="zh-CN" w:bidi="ar-SA"/>
        </w:rPr>
        <w:t>外墙清洗特约服务费按照</w:t>
      </w:r>
      <w:r>
        <w:rPr>
          <w:rFonts w:hint="eastAsia" w:ascii="仿宋_GB2312" w:hAnsi="仿宋_GB2312" w:eastAsia="仿宋_GB2312" w:cs="仿宋_GB2312"/>
          <w:b w:val="0"/>
          <w:bCs w:val="0"/>
          <w:color w:val="auto"/>
          <w:sz w:val="20"/>
          <w:szCs w:val="20"/>
          <w:highlight w:val="none"/>
          <w:u w:val="none"/>
          <w:lang w:val="en-US" w:eastAsia="zh-CN"/>
        </w:rPr>
        <w:t>服务期间产生的费用据实结算。</w:t>
      </w:r>
    </w:p>
    <w:p w14:paraId="5D6AF39C">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2、结算方式：银行转账。</w:t>
      </w:r>
    </w:p>
    <w:p w14:paraId="25F94E74">
      <w:pPr>
        <w:widowControl w:val="0"/>
        <w:adjustRightInd w:val="0"/>
        <w:snapToGrid w:val="0"/>
        <w:spacing w:line="360" w:lineRule="auto"/>
        <w:ind w:firstLine="400" w:firstLineChars="200"/>
        <w:jc w:val="both"/>
        <w:rPr>
          <w:rFonts w:hint="eastAsia" w:ascii="仿宋_GB2312" w:hAnsi="仿宋_GB2312" w:eastAsia="仿宋_GB2312" w:cs="仿宋_GB2312"/>
          <w:sz w:val="20"/>
          <w:szCs w:val="20"/>
          <w:highlight w:val="none"/>
        </w:rPr>
      </w:pPr>
      <w:r>
        <w:rPr>
          <w:rFonts w:hint="eastAsia" w:ascii="仿宋_GB2312" w:hAnsi="仿宋_GB2312" w:eastAsia="仿宋_GB2312" w:cs="仿宋_GB2312"/>
          <w:kern w:val="2"/>
          <w:sz w:val="20"/>
          <w:szCs w:val="20"/>
          <w:highlight w:val="none"/>
        </w:rPr>
        <w:t>3、结算单位：由甲方负责结算，乙方应开具结算金额等额发票交甲方。</w:t>
      </w:r>
    </w:p>
    <w:p w14:paraId="76537504">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四、履行期限、地点及方式</w:t>
      </w:r>
      <w:bookmarkEnd w:id="3"/>
    </w:p>
    <w:p w14:paraId="370B1DC1">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1、履行期限：一年</w:t>
      </w:r>
    </w:p>
    <w:p w14:paraId="4BFA7F4E">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2、地点：按照采购人要求</w:t>
      </w:r>
    </w:p>
    <w:p w14:paraId="3A4D656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3、方式：按照采购人要求</w:t>
      </w:r>
    </w:p>
    <w:p w14:paraId="006A8DE0">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五、验收</w:t>
      </w:r>
    </w:p>
    <w:p w14:paraId="6473BAD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1、验收依据：</w:t>
      </w:r>
    </w:p>
    <w:p w14:paraId="1D94EE5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1-1、合同文本、合同附件、招标文件、投标文件。</w:t>
      </w:r>
    </w:p>
    <w:p w14:paraId="03473CD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1-2、国内相应的标准、规范。</w:t>
      </w:r>
    </w:p>
    <w:p w14:paraId="2FDB9A44">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4" w:name="_Toc19515393"/>
      <w:r>
        <w:rPr>
          <w:rFonts w:hint="eastAsia" w:ascii="仿宋_GB2312" w:hAnsi="仿宋_GB2312" w:eastAsia="仿宋_GB2312" w:cs="仿宋_GB2312"/>
          <w:b/>
          <w:kern w:val="2"/>
          <w:sz w:val="20"/>
          <w:szCs w:val="20"/>
          <w:highlight w:val="none"/>
        </w:rPr>
        <w:t>六、甲方的权利和义务</w:t>
      </w:r>
    </w:p>
    <w:p w14:paraId="2315307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1、甲方有权督促乙方完成合同中协议的所有工作内容及其工作进度。</w:t>
      </w:r>
    </w:p>
    <w:p w14:paraId="15A77D5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2、甲方应主动提供有利于项目顺利执行实施的相关资源及便利。</w:t>
      </w:r>
    </w:p>
    <w:p w14:paraId="1387CC7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3、甲方有权向乙方提出整改建议和意见。</w:t>
      </w:r>
    </w:p>
    <w:p w14:paraId="038B009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4、甲方负责监督、检查乙方提供服务的工作进度、质量情况。</w:t>
      </w:r>
    </w:p>
    <w:p w14:paraId="6656E283">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七、乙方的权利和义务</w:t>
      </w:r>
    </w:p>
    <w:p w14:paraId="7F7BA69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1、对本合同规定的委托范围内的项目享有管理权及服务义务。</w:t>
      </w:r>
    </w:p>
    <w:p w14:paraId="08E996CD">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2、根据本合同的规定向甲方收取相关服务费用，并有权在本项目管理范围内管理及合理使用。</w:t>
      </w:r>
    </w:p>
    <w:p w14:paraId="5136956A">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3、及时向甲方通告本项目执行范围内有关的重大事项，及时配合处理投诉。</w:t>
      </w:r>
    </w:p>
    <w:p w14:paraId="03977B9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4、接受项目行业管理部门及政府有关部门的指导，接受甲方的监督。</w:t>
      </w:r>
    </w:p>
    <w:p w14:paraId="039953B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5、国家法律、法规所规定由乙方承担的其它责任。</w:t>
      </w:r>
    </w:p>
    <w:p w14:paraId="7EE1455D">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八、违约责任</w:t>
      </w:r>
    </w:p>
    <w:p w14:paraId="32C388FF">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1、违约责任按《中华人民共和国民法典》处理中的相关条款执行。</w:t>
      </w:r>
    </w:p>
    <w:bookmarkEnd w:id="4"/>
    <w:p w14:paraId="5DBB154C">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乙方应按合同约定时间完成各阶段合同义务，若发生延迟或服务质量未达标，甲方有权扣除合同总价款1%至20%的违约金，且甲方有权单方解除本合同。乙方未按照合同要求的任务完成任一项，甲方有权要求乙方承担该项违约责任，违约责任以合同总金额的10%计算。但甲方书面同意延迟或因甲方原因导致延迟的，乙方不承担违约责任。</w:t>
      </w:r>
    </w:p>
    <w:p w14:paraId="75548D98">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3、若乙方未能按照甲方提出的整改建议和意见及时进行修正服务方案，按违约处理，甲方有权扣除合同总价款1%至20%的违约金，且甲方有权单方解除本合同。</w:t>
      </w:r>
    </w:p>
    <w:p w14:paraId="09FCA20A">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4、如甲方未能在本合同约定时间内支付款项，每延迟一天，甲方须向乙方承担迟延支付费用的0.5‰作为违约金，并将服务周期予以相应顺延。</w:t>
      </w:r>
    </w:p>
    <w:p w14:paraId="1BA77D3A">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5、若乙方未经甲方同意泄露本合同约定的任何秘密信息的，乙方应按照合同总价款的10%向甲方支付违约金，并赔偿因此给甲方造成的损失。</w:t>
      </w:r>
    </w:p>
    <w:p w14:paraId="655BFFE7">
      <w:pPr>
        <w:widowControl w:val="0"/>
        <w:adjustRightInd w:val="0"/>
        <w:snapToGrid w:val="0"/>
        <w:spacing w:line="360" w:lineRule="auto"/>
        <w:ind w:firstLine="400" w:firstLineChars="200"/>
        <w:jc w:val="both"/>
        <w:rPr>
          <w:rFonts w:hint="default"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6C5EE6E6">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九、不可抗力事件处理</w:t>
      </w:r>
    </w:p>
    <w:p w14:paraId="48DFBA1C">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4910B91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55DC2AF3">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r>
        <w:rPr>
          <w:rFonts w:hint="eastAsia" w:ascii="仿宋_GB2312" w:hAnsi="仿宋_GB2312" w:eastAsia="仿宋_GB2312" w:cs="仿宋_GB2312"/>
          <w:b/>
          <w:kern w:val="2"/>
          <w:sz w:val="20"/>
          <w:szCs w:val="20"/>
          <w:highlight w:val="none"/>
        </w:rPr>
        <w:t>十、合同组成</w:t>
      </w:r>
    </w:p>
    <w:p w14:paraId="20534EB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1、中标通知书</w:t>
      </w:r>
    </w:p>
    <w:p w14:paraId="7147AE2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2、合同文件</w:t>
      </w:r>
    </w:p>
    <w:p w14:paraId="06AD1F1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3、国家相关规范及标准</w:t>
      </w:r>
    </w:p>
    <w:p w14:paraId="17968DFB">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4、招标文件</w:t>
      </w:r>
    </w:p>
    <w:p w14:paraId="67B6180B">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5、投标文件</w:t>
      </w:r>
    </w:p>
    <w:p w14:paraId="6A0FEC48">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5" w:name="_Toc19515394"/>
      <w:r>
        <w:rPr>
          <w:rFonts w:hint="eastAsia" w:ascii="仿宋_GB2312" w:hAnsi="仿宋_GB2312" w:eastAsia="仿宋_GB2312" w:cs="仿宋_GB2312"/>
          <w:b/>
          <w:kern w:val="2"/>
          <w:sz w:val="20"/>
          <w:szCs w:val="20"/>
          <w:highlight w:val="none"/>
        </w:rPr>
        <w:t>十一、解决争议的方法</w:t>
      </w:r>
      <w:bookmarkEnd w:id="5"/>
    </w:p>
    <w:p w14:paraId="51422673">
      <w:pPr>
        <w:autoSpaceDE w:val="0"/>
        <w:autoSpaceDN w:val="0"/>
        <w:snapToGrid w:val="0"/>
        <w:spacing w:line="360" w:lineRule="auto"/>
        <w:ind w:right="-110" w:firstLine="400" w:firstLineChars="200"/>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凡因本合同引起的或与本合同有关的争议，双方应友好协商解决。协商不成时，甲、乙双方均同意向甲方所在地人民法院提起诉讼解决。</w:t>
      </w:r>
    </w:p>
    <w:p w14:paraId="4F33342D">
      <w:pPr>
        <w:widowControl w:val="0"/>
        <w:adjustRightInd w:val="0"/>
        <w:snapToGrid w:val="0"/>
        <w:spacing w:line="360" w:lineRule="auto"/>
        <w:ind w:firstLine="402" w:firstLineChars="200"/>
        <w:jc w:val="both"/>
        <w:rPr>
          <w:rFonts w:hint="eastAsia" w:ascii="仿宋_GB2312" w:hAnsi="仿宋_GB2312" w:eastAsia="仿宋_GB2312" w:cs="仿宋_GB2312"/>
          <w:b/>
          <w:kern w:val="2"/>
          <w:sz w:val="20"/>
          <w:szCs w:val="20"/>
          <w:highlight w:val="none"/>
        </w:rPr>
      </w:pPr>
      <w:bookmarkStart w:id="6" w:name="_Toc19515395"/>
      <w:r>
        <w:rPr>
          <w:rFonts w:hint="eastAsia" w:ascii="仿宋_GB2312" w:hAnsi="仿宋_GB2312" w:eastAsia="仿宋_GB2312" w:cs="仿宋_GB2312"/>
          <w:b/>
          <w:kern w:val="2"/>
          <w:sz w:val="20"/>
          <w:szCs w:val="20"/>
          <w:highlight w:val="none"/>
        </w:rPr>
        <w:t>十二、合同生效及其它</w:t>
      </w:r>
      <w:bookmarkEnd w:id="6"/>
    </w:p>
    <w:p w14:paraId="3CB027EC">
      <w:pPr>
        <w:autoSpaceDE w:val="0"/>
        <w:autoSpaceDN w:val="0"/>
        <w:snapToGrid w:val="0"/>
        <w:spacing w:line="360" w:lineRule="auto"/>
        <w:ind w:right="-110" w:firstLine="400" w:firstLineChars="200"/>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1、合同未尽事宜、由甲、乙双方协商，作为合同补充，与原合同具有同等法律效力。</w:t>
      </w:r>
    </w:p>
    <w:p w14:paraId="7FDDACE5">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 本合同一式</w:t>
      </w:r>
      <w:r>
        <w:rPr>
          <w:rFonts w:hint="eastAsia" w:ascii="仿宋_GB2312" w:hAnsi="仿宋_GB2312" w:eastAsia="仿宋_GB2312" w:cs="仿宋_GB2312"/>
          <w:sz w:val="20"/>
          <w:szCs w:val="20"/>
          <w:highlight w:val="none"/>
          <w:u w:val="single"/>
        </w:rPr>
        <w:t xml:space="preserve">  </w:t>
      </w:r>
      <w:r>
        <w:rPr>
          <w:rFonts w:hint="eastAsia" w:ascii="仿宋_GB2312" w:hAnsi="仿宋_GB2312" w:eastAsia="仿宋_GB2312" w:cs="仿宋_GB2312"/>
          <w:sz w:val="20"/>
          <w:szCs w:val="20"/>
          <w:highlight w:val="none"/>
        </w:rPr>
        <w:t>份，甲方、乙方双方分别执</w:t>
      </w:r>
      <w:r>
        <w:rPr>
          <w:rFonts w:hint="eastAsia" w:ascii="仿宋_GB2312" w:hAnsi="仿宋_GB2312" w:eastAsia="仿宋_GB2312" w:cs="仿宋_GB2312"/>
          <w:sz w:val="20"/>
          <w:szCs w:val="20"/>
          <w:highlight w:val="none"/>
          <w:u w:val="single"/>
        </w:rPr>
        <w:t xml:space="preserve">  </w:t>
      </w:r>
      <w:r>
        <w:rPr>
          <w:rFonts w:hint="eastAsia" w:ascii="仿宋_GB2312" w:hAnsi="仿宋_GB2312" w:eastAsia="仿宋_GB2312" w:cs="仿宋_GB2312"/>
          <w:sz w:val="20"/>
          <w:szCs w:val="20"/>
          <w:highlight w:val="none"/>
        </w:rPr>
        <w:t>份，</w:t>
      </w:r>
      <w:r>
        <w:rPr>
          <w:rFonts w:hint="eastAsia" w:ascii="仿宋_GB2312" w:hAnsi="仿宋_GB2312" w:eastAsia="仿宋_GB2312" w:cs="仿宋_GB2312"/>
          <w:sz w:val="20"/>
          <w:szCs w:val="20"/>
          <w:highlight w:val="none"/>
          <w:u w:val="single"/>
        </w:rPr>
        <w:t xml:space="preserve">   </w:t>
      </w:r>
      <w:r>
        <w:rPr>
          <w:rFonts w:hint="eastAsia" w:ascii="仿宋_GB2312" w:hAnsi="仿宋_GB2312" w:eastAsia="仿宋_GB2312" w:cs="仿宋_GB2312"/>
          <w:sz w:val="20"/>
          <w:szCs w:val="20"/>
          <w:highlight w:val="none"/>
        </w:rPr>
        <w:t>备案</w:t>
      </w:r>
      <w:r>
        <w:rPr>
          <w:rFonts w:hint="eastAsia" w:ascii="仿宋_GB2312" w:hAnsi="仿宋_GB2312" w:eastAsia="仿宋_GB2312" w:cs="仿宋_GB2312"/>
          <w:sz w:val="20"/>
          <w:szCs w:val="20"/>
          <w:highlight w:val="none"/>
          <w:u w:val="single"/>
        </w:rPr>
        <w:t xml:space="preserve">  </w:t>
      </w:r>
      <w:r>
        <w:rPr>
          <w:rFonts w:hint="eastAsia" w:ascii="仿宋_GB2312" w:hAnsi="仿宋_GB2312" w:eastAsia="仿宋_GB2312" w:cs="仿宋_GB2312"/>
          <w:sz w:val="20"/>
          <w:szCs w:val="20"/>
          <w:highlight w:val="none"/>
        </w:rPr>
        <w:t>份。</w:t>
      </w:r>
    </w:p>
    <w:p w14:paraId="5D281A73">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3、合同经甲乙双方盖章、签字后生效，合同签订地点为</w:t>
      </w:r>
      <w:r>
        <w:rPr>
          <w:rFonts w:hint="eastAsia" w:ascii="仿宋_GB2312" w:hAnsi="仿宋_GB2312" w:eastAsia="仿宋_GB2312" w:cs="仿宋_GB2312"/>
          <w:sz w:val="20"/>
          <w:szCs w:val="20"/>
          <w:highlight w:val="none"/>
          <w:u w:val="single"/>
        </w:rPr>
        <w:t xml:space="preserve">   </w:t>
      </w:r>
      <w:r>
        <w:rPr>
          <w:rFonts w:hint="eastAsia" w:ascii="仿宋_GB2312" w:hAnsi="仿宋_GB2312" w:eastAsia="仿宋_GB2312" w:cs="仿宋_GB2312"/>
          <w:sz w:val="20"/>
          <w:szCs w:val="20"/>
          <w:highlight w:val="none"/>
        </w:rPr>
        <w:t>。</w:t>
      </w:r>
    </w:p>
    <w:p w14:paraId="4A1F0741">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4、生效时间：   年  月  日</w:t>
      </w:r>
    </w:p>
    <w:p w14:paraId="0145EBBF">
      <w:pPr>
        <w:widowControl/>
        <w:adjustRightInd w:val="0"/>
        <w:snapToGrid w:val="0"/>
        <w:spacing w:before="156" w:beforeLines="50" w:after="156" w:afterLines="50"/>
        <w:jc w:val="left"/>
        <w:rPr>
          <w:rFonts w:hint="eastAsia" w:ascii="仿宋_GB2312" w:hAnsi="仿宋_GB2312" w:eastAsia="仿宋_GB2312" w:cs="仿宋_GB2312"/>
          <w:sz w:val="20"/>
          <w:szCs w:val="20"/>
          <w:highlight w:val="none"/>
          <w:lang w:val="en-US" w:eastAsia="zh-CN"/>
        </w:rPr>
      </w:pPr>
    </w:p>
    <w:p w14:paraId="30A634D3">
      <w:pPr>
        <w:widowControl/>
        <w:adjustRightInd w:val="0"/>
        <w:snapToGrid w:val="0"/>
        <w:spacing w:before="156" w:beforeLines="50" w:after="156" w:afterLines="50"/>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附件1：物业管理服务质量标准</w:t>
      </w:r>
    </w:p>
    <w:p w14:paraId="207A415E">
      <w:pPr>
        <w:widowControl/>
        <w:adjustRightInd w:val="0"/>
        <w:snapToGrid w:val="0"/>
        <w:spacing w:before="156" w:beforeLines="50" w:after="156" w:afterLines="50"/>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附件2：曲江政务服务中心物业服务考核办法</w:t>
      </w:r>
    </w:p>
    <w:p w14:paraId="1339EEEE">
      <w:pPr>
        <w:widowControl/>
        <w:adjustRightInd w:val="0"/>
        <w:snapToGrid w:val="0"/>
        <w:spacing w:before="156" w:beforeLines="50" w:after="156" w:afterLines="50"/>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 xml:space="preserve">附件3：曲江政务服务中心物业服务考核打分表  </w:t>
      </w:r>
    </w:p>
    <w:p w14:paraId="2563C839">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rPr>
      </w:pPr>
    </w:p>
    <w:tbl>
      <w:tblPr>
        <w:tblStyle w:val="5"/>
        <w:tblpPr w:leftFromText="180" w:rightFromText="180" w:vertAnchor="text" w:horzAnchor="page" w:tblpX="1908" w:tblpY="454"/>
        <w:tblOverlap w:val="never"/>
        <w:tblW w:w="0" w:type="auto"/>
        <w:tblInd w:w="0" w:type="dxa"/>
        <w:tblLayout w:type="fixed"/>
        <w:tblCellMar>
          <w:top w:w="0" w:type="dxa"/>
          <w:left w:w="108" w:type="dxa"/>
          <w:bottom w:w="0" w:type="dxa"/>
          <w:right w:w="108" w:type="dxa"/>
        </w:tblCellMar>
      </w:tblPr>
      <w:tblGrid>
        <w:gridCol w:w="4643"/>
        <w:gridCol w:w="4643"/>
      </w:tblGrid>
      <w:tr w14:paraId="67E97812">
        <w:tblPrEx>
          <w:tblCellMar>
            <w:top w:w="0" w:type="dxa"/>
            <w:left w:w="108" w:type="dxa"/>
            <w:bottom w:w="0" w:type="dxa"/>
            <w:right w:w="108" w:type="dxa"/>
          </w:tblCellMar>
        </w:tblPrEx>
        <w:tc>
          <w:tcPr>
            <w:tcW w:w="4643" w:type="dxa"/>
          </w:tcPr>
          <w:p w14:paraId="627C463B">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甲方名称</w:t>
            </w:r>
            <w:r>
              <w:rPr>
                <w:rFonts w:hint="eastAsia" w:ascii="仿宋_GB2312" w:hAnsi="仿宋_GB2312" w:eastAsia="仿宋_GB2312" w:cs="仿宋_GB2312"/>
                <w:spacing w:val="-20"/>
                <w:sz w:val="20"/>
                <w:szCs w:val="20"/>
                <w:highlight w:val="none"/>
              </w:rPr>
              <w:t>（盖章）</w:t>
            </w:r>
            <w:r>
              <w:rPr>
                <w:rFonts w:hint="eastAsia" w:ascii="仿宋_GB2312" w:hAnsi="仿宋_GB2312" w:eastAsia="仿宋_GB2312" w:cs="仿宋_GB2312"/>
                <w:sz w:val="20"/>
                <w:szCs w:val="20"/>
                <w:highlight w:val="none"/>
              </w:rPr>
              <w:t>:</w:t>
            </w:r>
          </w:p>
          <w:p w14:paraId="12A1F8EE">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地址：</w:t>
            </w:r>
          </w:p>
          <w:p w14:paraId="10AB0E56">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代表人（签字）：</w:t>
            </w:r>
          </w:p>
          <w:p w14:paraId="158724F3">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电话：</w:t>
            </w:r>
          </w:p>
          <w:p w14:paraId="1754C2FA">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开户银行：</w:t>
            </w:r>
          </w:p>
          <w:p w14:paraId="62DA7249">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帐号：</w:t>
            </w:r>
          </w:p>
        </w:tc>
        <w:tc>
          <w:tcPr>
            <w:tcW w:w="4643" w:type="dxa"/>
          </w:tcPr>
          <w:p w14:paraId="20DDDF6C">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乙方名称</w:t>
            </w:r>
            <w:r>
              <w:rPr>
                <w:rFonts w:hint="eastAsia" w:ascii="仿宋_GB2312" w:hAnsi="仿宋_GB2312" w:eastAsia="仿宋_GB2312" w:cs="仿宋_GB2312"/>
                <w:spacing w:val="-20"/>
                <w:sz w:val="20"/>
                <w:szCs w:val="20"/>
                <w:highlight w:val="none"/>
              </w:rPr>
              <w:t>（盖章）</w:t>
            </w:r>
            <w:r>
              <w:rPr>
                <w:rFonts w:hint="eastAsia" w:ascii="仿宋_GB2312" w:hAnsi="仿宋_GB2312" w:eastAsia="仿宋_GB2312" w:cs="仿宋_GB2312"/>
                <w:sz w:val="20"/>
                <w:szCs w:val="20"/>
                <w:highlight w:val="none"/>
              </w:rPr>
              <w:t>:</w:t>
            </w:r>
          </w:p>
          <w:p w14:paraId="40FCF5C8">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地址：</w:t>
            </w:r>
          </w:p>
          <w:p w14:paraId="7C96D270">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代表人（签字）：</w:t>
            </w:r>
          </w:p>
          <w:p w14:paraId="78A5D854">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电话：</w:t>
            </w:r>
          </w:p>
          <w:p w14:paraId="5F24DFFC">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开户银行：</w:t>
            </w:r>
          </w:p>
          <w:p w14:paraId="6BDF12E7">
            <w:pPr>
              <w:autoSpaceDE w:val="0"/>
              <w:autoSpaceDN w:val="0"/>
              <w:snapToGrid w:val="0"/>
              <w:spacing w:line="360" w:lineRule="auto"/>
              <w:ind w:right="-154"/>
              <w:jc w:val="both"/>
              <w:textAlignment w:val="bottom"/>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帐号：</w:t>
            </w:r>
          </w:p>
        </w:tc>
      </w:tr>
    </w:tbl>
    <w:p w14:paraId="2A9E5156">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rPr>
      </w:pPr>
    </w:p>
    <w:p w14:paraId="3F1E9D4E">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lang w:val="en-US" w:eastAsia="zh-CN"/>
        </w:rPr>
      </w:pPr>
    </w:p>
    <w:p w14:paraId="462E802E">
      <w:pPr>
        <w:tabs>
          <w:tab w:val="left" w:pos="8391"/>
        </w:tabs>
        <w:autoSpaceDE w:val="0"/>
        <w:autoSpaceDN w:val="0"/>
        <w:snapToGrid w:val="0"/>
        <w:spacing w:line="360" w:lineRule="auto"/>
        <w:ind w:right="-69" w:firstLine="400" w:firstLineChars="200"/>
        <w:jc w:val="both"/>
        <w:textAlignment w:val="bottom"/>
        <w:rPr>
          <w:rFonts w:hint="eastAsia" w:ascii="仿宋_GB2312" w:hAnsi="仿宋_GB2312" w:eastAsia="仿宋_GB2312" w:cs="仿宋_GB2312"/>
          <w:sz w:val="20"/>
          <w:szCs w:val="20"/>
          <w:highlight w:val="none"/>
          <w:lang w:val="en-US" w:eastAsia="zh-CN"/>
        </w:rPr>
      </w:pPr>
    </w:p>
    <w:p w14:paraId="2CA4A24F">
      <w:pPr>
        <w:tabs>
          <w:tab w:val="left" w:pos="8391"/>
        </w:tabs>
        <w:autoSpaceDE w:val="0"/>
        <w:autoSpaceDN w:val="0"/>
        <w:snapToGrid w:val="0"/>
        <w:spacing w:line="360" w:lineRule="auto"/>
        <w:ind w:right="-69" w:firstLine="400" w:firstLineChars="200"/>
        <w:jc w:val="both"/>
        <w:textAlignment w:val="bottom"/>
        <w:rPr>
          <w:rFonts w:hint="default" w:ascii="仿宋_GB2312" w:hAnsi="仿宋_GB2312" w:eastAsia="仿宋_GB2312" w:cs="仿宋_GB2312"/>
          <w:sz w:val="20"/>
          <w:szCs w:val="20"/>
          <w:highlight w:val="none"/>
          <w:lang w:val="en-US" w:eastAsia="zh-CN"/>
        </w:rPr>
      </w:pPr>
    </w:p>
    <w:p w14:paraId="0CCEF9F4">
      <w:pPr>
        <w:pStyle w:val="2"/>
        <w:tabs>
          <w:tab w:val="left" w:pos="567"/>
        </w:tabs>
        <w:rPr>
          <w:rFonts w:hint="eastAsia" w:ascii="仿宋_GB2312" w:hAnsi="仿宋_GB2312" w:eastAsia="仿宋_GB2312" w:cs="仿宋_GB2312"/>
          <w:b/>
          <w:kern w:val="0"/>
          <w:sz w:val="32"/>
          <w:szCs w:val="32"/>
          <w:highlight w:val="none"/>
        </w:rPr>
      </w:pPr>
    </w:p>
    <w:p w14:paraId="7E1CAC40">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14:paraId="3A6C7C27">
      <w:pPr>
        <w:pStyle w:val="2"/>
        <w:tabs>
          <w:tab w:val="left" w:pos="567"/>
        </w:tabs>
        <w:rPr>
          <w:rFonts w:hint="eastAsia" w:ascii="仿宋_GB2312" w:hAnsi="仿宋_GB2312" w:eastAsia="仿宋_GB2312" w:cs="仿宋_GB2312"/>
          <w:b/>
          <w:bCs/>
          <w:kern w:val="2"/>
          <w:sz w:val="20"/>
          <w:szCs w:val="20"/>
          <w:highlight w:val="none"/>
          <w:lang w:val="en-US" w:eastAsia="zh-CN" w:bidi="ar-SA"/>
        </w:rPr>
      </w:pPr>
      <w:r>
        <w:rPr>
          <w:rFonts w:hint="eastAsia" w:ascii="仿宋_GB2312" w:hAnsi="仿宋_GB2312" w:eastAsia="仿宋_GB2312" w:cs="仿宋_GB2312"/>
          <w:b/>
          <w:bCs/>
          <w:kern w:val="2"/>
          <w:sz w:val="20"/>
          <w:szCs w:val="20"/>
          <w:highlight w:val="none"/>
          <w:lang w:val="en-US" w:eastAsia="zh-CN" w:bidi="ar-SA"/>
        </w:rPr>
        <w:t>附件1</w:t>
      </w:r>
    </w:p>
    <w:p w14:paraId="070BA80D">
      <w:pPr>
        <w:widowControl w:val="0"/>
        <w:adjustRightInd w:val="0"/>
        <w:snapToGrid w:val="0"/>
        <w:spacing w:line="360" w:lineRule="auto"/>
        <w:ind w:firstLine="402" w:firstLineChars="200"/>
        <w:jc w:val="center"/>
        <w:rPr>
          <w:rFonts w:hint="eastAsia" w:ascii="仿宋_GB2312" w:hAnsi="仿宋_GB2312" w:eastAsia="仿宋_GB2312" w:cs="仿宋_GB2312"/>
          <w:b/>
          <w:bCs/>
          <w:kern w:val="2"/>
          <w:sz w:val="20"/>
          <w:szCs w:val="20"/>
          <w:highlight w:val="none"/>
        </w:rPr>
      </w:pPr>
      <w:r>
        <w:rPr>
          <w:rFonts w:hint="eastAsia" w:ascii="仿宋_GB2312" w:hAnsi="仿宋_GB2312" w:eastAsia="仿宋_GB2312" w:cs="仿宋_GB2312"/>
          <w:b/>
          <w:bCs/>
          <w:kern w:val="2"/>
          <w:sz w:val="20"/>
          <w:szCs w:val="20"/>
          <w:highlight w:val="none"/>
        </w:rPr>
        <w:t>物业管理服务质量标准</w:t>
      </w:r>
    </w:p>
    <w:p w14:paraId="459E607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一、综合管理</w:t>
      </w:r>
    </w:p>
    <w:p w14:paraId="56239A6F">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w:t>
      </w:r>
      <w:r>
        <w:rPr>
          <w:rFonts w:hint="eastAsia" w:ascii="仿宋_GB2312" w:hAnsi="仿宋_GB2312" w:eastAsia="仿宋_GB2312" w:cs="仿宋_GB2312"/>
          <w:kern w:val="2"/>
          <w:sz w:val="20"/>
          <w:szCs w:val="20"/>
          <w:highlight w:val="none"/>
          <w:lang w:val="zh-CN"/>
        </w:rPr>
        <w:t>物业服务企业具备管理本项目相应的资质，</w:t>
      </w:r>
      <w:r>
        <w:rPr>
          <w:rFonts w:hint="eastAsia" w:ascii="仿宋_GB2312" w:hAnsi="仿宋_GB2312" w:eastAsia="仿宋_GB2312" w:cs="仿宋_GB2312"/>
          <w:kern w:val="2"/>
          <w:sz w:val="20"/>
          <w:szCs w:val="20"/>
          <w:highlight w:val="none"/>
        </w:rPr>
        <w:t>消防监控操作人员、电梯管理员、电工人员持证上岗。</w:t>
      </w:r>
    </w:p>
    <w:p w14:paraId="2C778185">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2、物业管理各项管理制度健全，各岗位职责明确，有具体工作标准，有落实措施和考核办法。</w:t>
      </w:r>
    </w:p>
    <w:p w14:paraId="0FFD80F5">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3、员工统一着装，佩戴标识，规范标准服务用语。</w:t>
      </w:r>
    </w:p>
    <w:p w14:paraId="41628EF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zh-CN"/>
        </w:rPr>
      </w:pPr>
      <w:r>
        <w:rPr>
          <w:rFonts w:hint="eastAsia" w:ascii="仿宋_GB2312" w:hAnsi="仿宋_GB2312" w:eastAsia="仿宋_GB2312" w:cs="仿宋_GB2312"/>
          <w:kern w:val="2"/>
          <w:sz w:val="20"/>
          <w:szCs w:val="20"/>
          <w:highlight w:val="none"/>
        </w:rPr>
        <w:t>4、</w:t>
      </w:r>
      <w:r>
        <w:rPr>
          <w:rFonts w:hint="eastAsia" w:ascii="仿宋_GB2312" w:hAnsi="仿宋_GB2312" w:eastAsia="仿宋_GB2312" w:cs="仿宋_GB2312"/>
          <w:kern w:val="2"/>
          <w:sz w:val="20"/>
          <w:szCs w:val="20"/>
          <w:highlight w:val="none"/>
          <w:lang w:val="zh-CN"/>
        </w:rPr>
        <w:t>实行24小时服务，</w:t>
      </w:r>
      <w:r>
        <w:rPr>
          <w:rFonts w:hint="eastAsia" w:ascii="仿宋_GB2312" w:hAnsi="仿宋_GB2312" w:eastAsia="仿宋_GB2312" w:cs="仿宋_GB2312"/>
          <w:kern w:val="2"/>
          <w:sz w:val="20"/>
          <w:szCs w:val="20"/>
          <w:highlight w:val="none"/>
        </w:rPr>
        <w:t>工作时间内有</w:t>
      </w:r>
      <w:r>
        <w:rPr>
          <w:rFonts w:hint="eastAsia" w:ascii="仿宋_GB2312" w:hAnsi="仿宋_GB2312" w:eastAsia="仿宋_GB2312" w:cs="仿宋_GB2312"/>
          <w:kern w:val="2"/>
          <w:sz w:val="20"/>
          <w:szCs w:val="20"/>
          <w:highlight w:val="none"/>
          <w:lang w:val="zh-CN"/>
        </w:rPr>
        <w:t>专人</w:t>
      </w:r>
      <w:r>
        <w:rPr>
          <w:rFonts w:hint="eastAsia" w:ascii="仿宋_GB2312" w:hAnsi="仿宋_GB2312" w:eastAsia="仿宋_GB2312" w:cs="仿宋_GB2312"/>
          <w:kern w:val="2"/>
          <w:sz w:val="20"/>
          <w:szCs w:val="20"/>
          <w:highlight w:val="none"/>
        </w:rPr>
        <w:t>负责</w:t>
      </w:r>
      <w:r>
        <w:rPr>
          <w:rFonts w:hint="eastAsia" w:ascii="仿宋_GB2312" w:hAnsi="仿宋_GB2312" w:eastAsia="仿宋_GB2312" w:cs="仿宋_GB2312"/>
          <w:kern w:val="2"/>
          <w:sz w:val="20"/>
          <w:szCs w:val="20"/>
          <w:highlight w:val="none"/>
          <w:lang w:val="zh-CN"/>
        </w:rPr>
        <w:t>接待处理</w:t>
      </w:r>
      <w:r>
        <w:rPr>
          <w:rFonts w:hint="eastAsia" w:ascii="仿宋_GB2312" w:hAnsi="仿宋_GB2312" w:eastAsia="仿宋_GB2312" w:cs="仿宋_GB2312"/>
          <w:kern w:val="2"/>
          <w:sz w:val="20"/>
          <w:szCs w:val="20"/>
          <w:highlight w:val="none"/>
        </w:rPr>
        <w:t>物业</w:t>
      </w:r>
      <w:r>
        <w:rPr>
          <w:rFonts w:hint="eastAsia" w:ascii="仿宋_GB2312" w:hAnsi="仿宋_GB2312" w:eastAsia="仿宋_GB2312" w:cs="仿宋_GB2312"/>
          <w:kern w:val="2"/>
          <w:sz w:val="20"/>
          <w:szCs w:val="20"/>
          <w:highlight w:val="none"/>
          <w:lang w:val="zh-CN"/>
        </w:rPr>
        <w:t>服务范围内的公共性</w:t>
      </w:r>
      <w:r>
        <w:rPr>
          <w:rFonts w:hint="eastAsia" w:ascii="仿宋_GB2312" w:hAnsi="仿宋_GB2312" w:eastAsia="仿宋_GB2312" w:cs="仿宋_GB2312"/>
          <w:kern w:val="2"/>
          <w:sz w:val="20"/>
          <w:szCs w:val="20"/>
          <w:highlight w:val="none"/>
        </w:rPr>
        <w:t>服务事项</w:t>
      </w:r>
      <w:r>
        <w:rPr>
          <w:rFonts w:hint="eastAsia" w:ascii="仿宋_GB2312" w:hAnsi="仿宋_GB2312" w:eastAsia="仿宋_GB2312" w:cs="仿宋_GB2312"/>
          <w:kern w:val="2"/>
          <w:sz w:val="20"/>
          <w:szCs w:val="20"/>
          <w:highlight w:val="none"/>
          <w:lang w:val="zh-CN"/>
        </w:rPr>
        <w:t>，受理咨询和意见，夜间</w:t>
      </w:r>
      <w:r>
        <w:rPr>
          <w:rFonts w:hint="eastAsia" w:ascii="仿宋_GB2312" w:hAnsi="仿宋_GB2312" w:eastAsia="仿宋_GB2312" w:cs="仿宋_GB2312"/>
          <w:kern w:val="2"/>
          <w:sz w:val="20"/>
          <w:szCs w:val="20"/>
          <w:highlight w:val="none"/>
        </w:rPr>
        <w:t>安排</w:t>
      </w:r>
      <w:r>
        <w:rPr>
          <w:rFonts w:hint="eastAsia" w:ascii="仿宋_GB2312" w:hAnsi="仿宋_GB2312" w:eastAsia="仿宋_GB2312" w:cs="仿宋_GB2312"/>
          <w:kern w:val="2"/>
          <w:sz w:val="20"/>
          <w:szCs w:val="20"/>
          <w:highlight w:val="none"/>
          <w:lang w:val="zh-CN"/>
        </w:rPr>
        <w:t>值班人</w:t>
      </w:r>
      <w:r>
        <w:rPr>
          <w:rFonts w:hint="eastAsia" w:ascii="仿宋_GB2312" w:hAnsi="仿宋_GB2312" w:eastAsia="仿宋_GB2312" w:cs="仿宋_GB2312"/>
          <w:kern w:val="2"/>
          <w:sz w:val="20"/>
          <w:szCs w:val="20"/>
          <w:highlight w:val="none"/>
        </w:rPr>
        <w:t>员</w:t>
      </w:r>
      <w:r>
        <w:rPr>
          <w:rFonts w:hint="eastAsia" w:ascii="仿宋_GB2312" w:hAnsi="仿宋_GB2312" w:eastAsia="仿宋_GB2312" w:cs="仿宋_GB2312"/>
          <w:kern w:val="2"/>
          <w:sz w:val="20"/>
          <w:szCs w:val="20"/>
          <w:highlight w:val="none"/>
          <w:lang w:val="zh-CN"/>
        </w:rPr>
        <w:t>，</w:t>
      </w:r>
      <w:r>
        <w:rPr>
          <w:rFonts w:hint="eastAsia" w:ascii="仿宋_GB2312" w:hAnsi="仿宋_GB2312" w:eastAsia="仿宋_GB2312" w:cs="仿宋_GB2312"/>
          <w:kern w:val="2"/>
          <w:sz w:val="20"/>
          <w:szCs w:val="20"/>
          <w:highlight w:val="none"/>
        </w:rPr>
        <w:t>负责夜间巡查以及水、电、气</w:t>
      </w:r>
      <w:r>
        <w:rPr>
          <w:rFonts w:hint="eastAsia" w:ascii="仿宋_GB2312" w:hAnsi="仿宋_GB2312" w:eastAsia="仿宋_GB2312" w:cs="仿宋_GB2312"/>
          <w:kern w:val="2"/>
          <w:sz w:val="20"/>
          <w:szCs w:val="20"/>
          <w:highlight w:val="none"/>
          <w:lang w:val="zh-CN"/>
        </w:rPr>
        <w:t>紧急性</w:t>
      </w:r>
      <w:r>
        <w:rPr>
          <w:rFonts w:hint="eastAsia" w:ascii="仿宋_GB2312" w:hAnsi="仿宋_GB2312" w:eastAsia="仿宋_GB2312" w:cs="仿宋_GB2312"/>
          <w:kern w:val="2"/>
          <w:sz w:val="20"/>
          <w:szCs w:val="20"/>
          <w:highlight w:val="none"/>
        </w:rPr>
        <w:t>报修</w:t>
      </w:r>
      <w:r>
        <w:rPr>
          <w:rFonts w:hint="eastAsia" w:ascii="仿宋_GB2312" w:hAnsi="仿宋_GB2312" w:eastAsia="仿宋_GB2312" w:cs="仿宋_GB2312"/>
          <w:kern w:val="2"/>
          <w:sz w:val="20"/>
          <w:szCs w:val="20"/>
          <w:highlight w:val="none"/>
          <w:lang w:val="zh-CN"/>
        </w:rPr>
        <w:t>处理。</w:t>
      </w:r>
    </w:p>
    <w:p w14:paraId="77A5B02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5、收到客户投诉2个工作日内反馈处理意见，每年进行1次客户满意度调查，征询使用人对物业管理工作的意见，认真听取合理建议，及时进行调整。</w:t>
      </w:r>
    </w:p>
    <w:p w14:paraId="2C22740B">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6、档案齐全，分类成册，管理有序，查询方便。</w:t>
      </w:r>
    </w:p>
    <w:p w14:paraId="32835465">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二、物业共用部位、共用设施设备的维修、养护和管理</w:t>
      </w:r>
    </w:p>
    <w:p w14:paraId="2A6AE39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1、楼体外观整洁、完好，定期检查、维护。</w:t>
      </w:r>
    </w:p>
    <w:p w14:paraId="5B7A86A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2、有完善的设备安全运行、维修养护管理制度，管理责任明确，有设备管理台账、运行记录、检查记录、维修和保养记录。</w:t>
      </w:r>
    </w:p>
    <w:p w14:paraId="0C346B8E">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3、停水停电提前通知（市政突发停水停电除外），及时启用应急电源。</w:t>
      </w:r>
    </w:p>
    <w:p w14:paraId="14E579D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4、二次供水水箱每年清洗2次，水质达标；电梯每月维保2次，每年年检；化粪池每年清掏至少1次，雨污水管道检查疏通每年至少2次；定期检查维保消防系统，确保随时启用；确保弱电系统、避雷系统正常运行。</w:t>
      </w:r>
    </w:p>
    <w:p w14:paraId="1299E63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三、物业共用部位和相关场地的清洁卫生</w:t>
      </w:r>
    </w:p>
    <w:p w14:paraId="00CE7F9C">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1、公共区域每日清扫1次，并进行循环维护。</w:t>
      </w:r>
    </w:p>
    <w:p w14:paraId="276CC8F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2、楼层清洁地面无杂物，墙面无蜘蛛网，设施洁净。</w:t>
      </w:r>
    </w:p>
    <w:p w14:paraId="7E97DC2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3、按生活垃圾分类要求规范分类、定点放置，日产日清。</w:t>
      </w:r>
    </w:p>
    <w:p w14:paraId="5CD11E18">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4、</w:t>
      </w:r>
      <w:r>
        <w:rPr>
          <w:rFonts w:hint="eastAsia" w:ascii="仿宋_GB2312" w:hAnsi="仿宋_GB2312" w:eastAsia="仿宋_GB2312" w:cs="仿宋_GB2312"/>
          <w:kern w:val="2"/>
          <w:sz w:val="20"/>
          <w:szCs w:val="20"/>
          <w:highlight w:val="none"/>
          <w:lang w:val="zh-CN"/>
        </w:rPr>
        <w:t>蚊、蝇</w:t>
      </w:r>
      <w:r>
        <w:rPr>
          <w:rFonts w:hint="eastAsia" w:ascii="仿宋_GB2312" w:hAnsi="仿宋_GB2312" w:eastAsia="仿宋_GB2312" w:cs="仿宋_GB2312"/>
          <w:kern w:val="2"/>
          <w:sz w:val="20"/>
          <w:szCs w:val="20"/>
          <w:highlight w:val="none"/>
        </w:rPr>
        <w:t>夏</w:t>
      </w:r>
      <w:r>
        <w:rPr>
          <w:rFonts w:hint="eastAsia" w:ascii="仿宋_GB2312" w:hAnsi="仿宋_GB2312" w:eastAsia="仿宋_GB2312" w:cs="仿宋_GB2312"/>
          <w:kern w:val="2"/>
          <w:sz w:val="20"/>
          <w:szCs w:val="20"/>
          <w:highlight w:val="none"/>
          <w:lang w:val="zh-CN"/>
        </w:rPr>
        <w:t>季每月</w:t>
      </w:r>
      <w:r>
        <w:rPr>
          <w:rFonts w:hint="eastAsia" w:ascii="仿宋_GB2312" w:hAnsi="仿宋_GB2312" w:eastAsia="仿宋_GB2312" w:cs="仿宋_GB2312"/>
          <w:kern w:val="2"/>
          <w:sz w:val="20"/>
          <w:szCs w:val="20"/>
          <w:highlight w:val="none"/>
        </w:rPr>
        <w:t>全面</w:t>
      </w:r>
      <w:r>
        <w:rPr>
          <w:rFonts w:hint="eastAsia" w:ascii="仿宋_GB2312" w:hAnsi="仿宋_GB2312" w:eastAsia="仿宋_GB2312" w:cs="仿宋_GB2312"/>
          <w:kern w:val="2"/>
          <w:sz w:val="20"/>
          <w:szCs w:val="20"/>
          <w:highlight w:val="none"/>
          <w:lang w:val="zh-CN"/>
        </w:rPr>
        <w:t>消杀2次，</w:t>
      </w:r>
      <w:r>
        <w:rPr>
          <w:rFonts w:hint="eastAsia" w:ascii="仿宋_GB2312" w:hAnsi="仿宋_GB2312" w:eastAsia="仿宋_GB2312" w:cs="仿宋_GB2312"/>
          <w:kern w:val="2"/>
          <w:sz w:val="20"/>
          <w:szCs w:val="20"/>
          <w:highlight w:val="none"/>
        </w:rPr>
        <w:t>其他</w:t>
      </w:r>
      <w:r>
        <w:rPr>
          <w:rFonts w:hint="eastAsia" w:ascii="仿宋_GB2312" w:hAnsi="仿宋_GB2312" w:eastAsia="仿宋_GB2312" w:cs="仿宋_GB2312"/>
          <w:kern w:val="2"/>
          <w:sz w:val="20"/>
          <w:szCs w:val="20"/>
          <w:highlight w:val="none"/>
          <w:lang w:val="zh-CN"/>
        </w:rPr>
        <w:t>季</w:t>
      </w:r>
      <w:r>
        <w:rPr>
          <w:rFonts w:hint="eastAsia" w:ascii="仿宋_GB2312" w:hAnsi="仿宋_GB2312" w:eastAsia="仿宋_GB2312" w:cs="仿宋_GB2312"/>
          <w:kern w:val="2"/>
          <w:sz w:val="20"/>
          <w:szCs w:val="20"/>
          <w:highlight w:val="none"/>
        </w:rPr>
        <w:t>节每月全面消杀1次。</w:t>
      </w:r>
    </w:p>
    <w:p w14:paraId="74D2A2E1">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5、灭鼠长期进行，每季度检查补充药品。</w:t>
      </w:r>
    </w:p>
    <w:p w14:paraId="5CF01D8C">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6、雨、雪过后，及时清扫公共部位积水、积雪。</w:t>
      </w:r>
    </w:p>
    <w:p w14:paraId="3A24136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四、公共绿化的养护和管理</w:t>
      </w:r>
    </w:p>
    <w:p w14:paraId="1BF26ACA">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1、适时浇灌、及时养护，整齐美观、长势良好。</w:t>
      </w:r>
    </w:p>
    <w:p w14:paraId="0FB2412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2、乔木修剪每年1次，生长旺季灌木、草坪每月修剪1次。</w:t>
      </w:r>
    </w:p>
    <w:p w14:paraId="51F36DA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3、大厅花卉绿植养护及时，</w:t>
      </w:r>
    </w:p>
    <w:p w14:paraId="5290356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五、车辆停放秩序维护服务</w:t>
      </w:r>
    </w:p>
    <w:p w14:paraId="634D8CB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1、实行人车分流。</w:t>
      </w:r>
    </w:p>
    <w:p w14:paraId="2419619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2、停车场、车库，交通标识清晰、规范。</w:t>
      </w:r>
    </w:p>
    <w:p w14:paraId="78A1F2F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3、车辆停放有序，按章管理。</w:t>
      </w:r>
    </w:p>
    <w:p w14:paraId="0232010D">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六、公共秩序维护</w:t>
      </w:r>
    </w:p>
    <w:p w14:paraId="77656D41">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1、实行24小时秩序维护制度。</w:t>
      </w:r>
    </w:p>
    <w:p w14:paraId="48FB3FB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2、工作规范、作风严谨。</w:t>
      </w:r>
    </w:p>
    <w:p w14:paraId="72008E7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3、消防培训宣传、消防演习每年至少1次。</w:t>
      </w:r>
    </w:p>
    <w:p w14:paraId="45203E1F">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七、如涉及装修事项，提供以下服务</w:t>
      </w:r>
    </w:p>
    <w:p w14:paraId="4D88075E">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1、配合相关入驻单位办理装修审批手续。</w:t>
      </w:r>
    </w:p>
    <w:p w14:paraId="745A7A0A">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2、每日巡查装修区域，提醒施工人员安全作业。</w:t>
      </w:r>
    </w:p>
    <w:p w14:paraId="54B88D86">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3、督促施工单位垃圾袋装定点堆放、及时清运。</w:t>
      </w:r>
    </w:p>
    <w:p w14:paraId="683C154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八、其他服务</w:t>
      </w:r>
    </w:p>
    <w:p w14:paraId="6D2BCE5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1、根据业主特约有偿服务需求，协商服务内容及收费标准，开展特约服务。</w:t>
      </w:r>
    </w:p>
    <w:p w14:paraId="69463FB5">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2、业主财产与人身安全的保险由业主自行办理。</w:t>
      </w:r>
    </w:p>
    <w:p w14:paraId="08D001A0">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p>
    <w:p w14:paraId="2E264584">
      <w:pPr>
        <w:rPr>
          <w:rFonts w:hint="eastAsia" w:ascii="仿宋_GB2312" w:hAnsi="仿宋_GB2312" w:eastAsia="仿宋_GB2312" w:cs="仿宋_GB2312"/>
          <w:color w:val="000000"/>
          <w:sz w:val="21"/>
          <w:szCs w:val="21"/>
          <w:highlight w:val="none"/>
          <w:lang w:val="en-US" w:eastAsia="zh-CN"/>
        </w:rPr>
      </w:pPr>
    </w:p>
    <w:p w14:paraId="49413355">
      <w:pPr>
        <w:rPr>
          <w:rFonts w:hint="eastAsia" w:ascii="仿宋_GB2312" w:hAnsi="仿宋_GB2312" w:eastAsia="仿宋_GB2312" w:cs="仿宋_GB2312"/>
          <w:color w:val="000000"/>
          <w:sz w:val="21"/>
          <w:szCs w:val="21"/>
          <w:highlight w:val="none"/>
          <w:lang w:val="en-US" w:eastAsia="zh-CN"/>
        </w:rPr>
      </w:pPr>
    </w:p>
    <w:p w14:paraId="61F18360">
      <w:pPr>
        <w:rPr>
          <w:rFonts w:hint="eastAsia" w:ascii="仿宋_GB2312" w:hAnsi="仿宋_GB2312" w:eastAsia="仿宋_GB2312" w:cs="仿宋_GB2312"/>
          <w:color w:val="000000"/>
          <w:sz w:val="21"/>
          <w:szCs w:val="21"/>
          <w:highlight w:val="none"/>
          <w:lang w:val="en-US" w:eastAsia="zh-CN"/>
        </w:rPr>
      </w:pPr>
    </w:p>
    <w:p w14:paraId="33032C28">
      <w:pPr>
        <w:rPr>
          <w:rFonts w:hint="eastAsia" w:ascii="仿宋_GB2312" w:hAnsi="仿宋_GB2312" w:eastAsia="仿宋_GB2312" w:cs="仿宋_GB2312"/>
          <w:color w:val="000000"/>
          <w:sz w:val="21"/>
          <w:szCs w:val="21"/>
          <w:highlight w:val="none"/>
          <w:lang w:val="en-US" w:eastAsia="zh-CN"/>
        </w:rPr>
      </w:pPr>
    </w:p>
    <w:p w14:paraId="694F6E2E">
      <w:pPr>
        <w:rPr>
          <w:rFonts w:hint="eastAsia" w:ascii="仿宋_GB2312" w:hAnsi="仿宋_GB2312" w:eastAsia="仿宋_GB2312" w:cs="仿宋_GB2312"/>
          <w:color w:val="000000"/>
          <w:sz w:val="21"/>
          <w:szCs w:val="21"/>
          <w:highlight w:val="none"/>
          <w:lang w:val="en-US" w:eastAsia="zh-CN"/>
        </w:rPr>
      </w:pPr>
    </w:p>
    <w:p w14:paraId="754C4127">
      <w:pPr>
        <w:rPr>
          <w:rFonts w:hint="eastAsia" w:ascii="仿宋_GB2312" w:hAnsi="仿宋_GB2312" w:eastAsia="仿宋_GB2312" w:cs="仿宋_GB2312"/>
          <w:color w:val="000000"/>
          <w:sz w:val="21"/>
          <w:szCs w:val="21"/>
          <w:highlight w:val="none"/>
          <w:lang w:val="en-US" w:eastAsia="zh-CN"/>
        </w:rPr>
      </w:pPr>
    </w:p>
    <w:p w14:paraId="79790077">
      <w:pPr>
        <w:rPr>
          <w:rFonts w:hint="eastAsia" w:ascii="仿宋_GB2312" w:hAnsi="仿宋_GB2312" w:eastAsia="仿宋_GB2312" w:cs="仿宋_GB2312"/>
          <w:color w:val="000000"/>
          <w:sz w:val="21"/>
          <w:szCs w:val="21"/>
          <w:highlight w:val="none"/>
          <w:lang w:val="en-US" w:eastAsia="zh-CN"/>
        </w:rPr>
      </w:pPr>
    </w:p>
    <w:p w14:paraId="22DD5634">
      <w:pPr>
        <w:rPr>
          <w:rFonts w:hint="eastAsia" w:ascii="仿宋_GB2312" w:hAnsi="仿宋_GB2312" w:eastAsia="仿宋_GB2312" w:cs="仿宋_GB2312"/>
          <w:color w:val="000000"/>
          <w:sz w:val="21"/>
          <w:szCs w:val="21"/>
          <w:highlight w:val="none"/>
          <w:lang w:val="en-US" w:eastAsia="zh-CN"/>
        </w:rPr>
      </w:pPr>
    </w:p>
    <w:p w14:paraId="683BA94B">
      <w:pPr>
        <w:rPr>
          <w:rFonts w:hint="eastAsia" w:ascii="仿宋_GB2312" w:hAnsi="仿宋_GB2312" w:eastAsia="仿宋_GB2312" w:cs="仿宋_GB2312"/>
          <w:color w:val="000000"/>
          <w:sz w:val="21"/>
          <w:szCs w:val="21"/>
          <w:highlight w:val="none"/>
          <w:lang w:val="en-US" w:eastAsia="zh-CN"/>
        </w:rPr>
      </w:pPr>
    </w:p>
    <w:p w14:paraId="6D098CE0">
      <w:pPr>
        <w:rPr>
          <w:rFonts w:hint="eastAsia" w:ascii="仿宋_GB2312" w:hAnsi="仿宋_GB2312" w:eastAsia="仿宋_GB2312" w:cs="仿宋_GB2312"/>
          <w:color w:val="000000"/>
          <w:sz w:val="21"/>
          <w:szCs w:val="21"/>
          <w:highlight w:val="none"/>
          <w:lang w:val="en-US" w:eastAsia="zh-CN"/>
        </w:rPr>
      </w:pPr>
    </w:p>
    <w:p w14:paraId="2A67091C">
      <w:pPr>
        <w:rPr>
          <w:rFonts w:hint="eastAsia" w:ascii="仿宋_GB2312" w:hAnsi="仿宋_GB2312" w:eastAsia="仿宋_GB2312" w:cs="仿宋_GB2312"/>
          <w:color w:val="000000"/>
          <w:sz w:val="21"/>
          <w:szCs w:val="21"/>
          <w:highlight w:val="none"/>
          <w:lang w:val="en-US" w:eastAsia="zh-CN"/>
        </w:rPr>
      </w:pPr>
    </w:p>
    <w:p w14:paraId="3C0B2B69">
      <w:pPr>
        <w:rPr>
          <w:rFonts w:hint="eastAsia" w:ascii="仿宋_GB2312" w:hAnsi="仿宋_GB2312" w:eastAsia="仿宋_GB2312" w:cs="仿宋_GB2312"/>
          <w:color w:val="000000"/>
          <w:sz w:val="21"/>
          <w:szCs w:val="21"/>
          <w:highlight w:val="none"/>
          <w:lang w:val="en-US" w:eastAsia="zh-CN"/>
        </w:rPr>
      </w:pPr>
    </w:p>
    <w:p w14:paraId="5D6171E4">
      <w:pPr>
        <w:rPr>
          <w:rFonts w:hint="eastAsia" w:ascii="仿宋_GB2312" w:hAnsi="仿宋_GB2312" w:eastAsia="仿宋_GB2312" w:cs="仿宋_GB2312"/>
          <w:color w:val="000000"/>
          <w:sz w:val="21"/>
          <w:szCs w:val="21"/>
          <w:highlight w:val="none"/>
          <w:lang w:val="en-US" w:eastAsia="zh-CN"/>
        </w:rPr>
      </w:pPr>
    </w:p>
    <w:p w14:paraId="2A0A010B">
      <w:pPr>
        <w:rPr>
          <w:rFonts w:hint="eastAsia" w:ascii="仿宋_GB2312" w:hAnsi="仿宋_GB2312" w:eastAsia="仿宋_GB2312" w:cs="仿宋_GB2312"/>
          <w:color w:val="000000"/>
          <w:sz w:val="21"/>
          <w:szCs w:val="21"/>
          <w:highlight w:val="none"/>
          <w:lang w:val="en-US" w:eastAsia="zh-CN"/>
        </w:rPr>
      </w:pPr>
    </w:p>
    <w:p w14:paraId="708B0B01">
      <w:pPr>
        <w:rPr>
          <w:rFonts w:hint="eastAsia" w:ascii="仿宋_GB2312" w:hAnsi="仿宋_GB2312" w:eastAsia="仿宋_GB2312" w:cs="仿宋_GB2312"/>
          <w:color w:val="000000"/>
          <w:sz w:val="21"/>
          <w:szCs w:val="21"/>
          <w:highlight w:val="none"/>
          <w:lang w:val="en-US" w:eastAsia="zh-CN"/>
        </w:rPr>
      </w:pPr>
    </w:p>
    <w:p w14:paraId="64CA8A93">
      <w:pPr>
        <w:rPr>
          <w:rFonts w:hint="eastAsia" w:ascii="仿宋_GB2312" w:hAnsi="仿宋_GB2312" w:eastAsia="仿宋_GB2312" w:cs="仿宋_GB2312"/>
          <w:color w:val="000000"/>
          <w:sz w:val="21"/>
          <w:szCs w:val="21"/>
          <w:highlight w:val="none"/>
          <w:lang w:val="en-US" w:eastAsia="zh-CN"/>
        </w:rPr>
      </w:pPr>
    </w:p>
    <w:p w14:paraId="3269B552">
      <w:pP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br w:type="page"/>
      </w:r>
    </w:p>
    <w:p w14:paraId="012CEFC7">
      <w:pPr>
        <w:pStyle w:val="2"/>
        <w:tabs>
          <w:tab w:val="left" w:pos="567"/>
        </w:tabs>
        <w:rPr>
          <w:rFonts w:hint="eastAsia" w:ascii="仿宋_GB2312" w:hAnsi="仿宋_GB2312" w:eastAsia="仿宋_GB2312" w:cs="仿宋_GB2312"/>
          <w:b/>
          <w:bCs/>
          <w:kern w:val="2"/>
          <w:sz w:val="20"/>
          <w:szCs w:val="20"/>
          <w:highlight w:val="none"/>
          <w:lang w:val="en-US" w:eastAsia="zh-CN" w:bidi="ar-SA"/>
        </w:rPr>
      </w:pPr>
      <w:r>
        <w:rPr>
          <w:rFonts w:hint="eastAsia" w:ascii="仿宋_GB2312" w:hAnsi="仿宋_GB2312" w:eastAsia="仿宋_GB2312" w:cs="仿宋_GB2312"/>
          <w:b/>
          <w:bCs/>
          <w:kern w:val="2"/>
          <w:sz w:val="20"/>
          <w:szCs w:val="20"/>
          <w:highlight w:val="none"/>
          <w:lang w:val="en-US" w:eastAsia="zh-CN" w:bidi="ar-SA"/>
        </w:rPr>
        <w:t>附件2：</w:t>
      </w:r>
    </w:p>
    <w:p w14:paraId="5F39320D">
      <w:pPr>
        <w:widowControl w:val="0"/>
        <w:adjustRightInd w:val="0"/>
        <w:snapToGrid w:val="0"/>
        <w:spacing w:line="360" w:lineRule="auto"/>
        <w:ind w:firstLine="402" w:firstLineChars="200"/>
        <w:jc w:val="center"/>
        <w:rPr>
          <w:rFonts w:hint="eastAsia" w:ascii="仿宋_GB2312" w:hAnsi="仿宋_GB2312" w:eastAsia="仿宋_GB2312" w:cs="仿宋_GB2312"/>
          <w:b/>
          <w:bCs/>
          <w:kern w:val="2"/>
          <w:sz w:val="20"/>
          <w:szCs w:val="20"/>
          <w:highlight w:val="none"/>
        </w:rPr>
      </w:pPr>
      <w:r>
        <w:rPr>
          <w:rFonts w:hint="eastAsia" w:ascii="仿宋_GB2312" w:hAnsi="仿宋_GB2312" w:eastAsia="仿宋_GB2312" w:cs="仿宋_GB2312"/>
          <w:b/>
          <w:bCs/>
          <w:kern w:val="2"/>
          <w:sz w:val="20"/>
          <w:szCs w:val="20"/>
          <w:highlight w:val="none"/>
          <w:lang w:val="en-US" w:eastAsia="zh-CN"/>
        </w:rPr>
        <w:t>曲江政务服务中心</w:t>
      </w:r>
      <w:r>
        <w:rPr>
          <w:rFonts w:hint="eastAsia" w:ascii="仿宋_GB2312" w:hAnsi="仿宋_GB2312" w:eastAsia="仿宋_GB2312" w:cs="仿宋_GB2312"/>
          <w:b/>
          <w:bCs/>
          <w:kern w:val="2"/>
          <w:sz w:val="20"/>
          <w:szCs w:val="20"/>
          <w:highlight w:val="none"/>
        </w:rPr>
        <w:t>物业</w:t>
      </w:r>
      <w:r>
        <w:rPr>
          <w:rFonts w:hint="eastAsia" w:ascii="仿宋_GB2312" w:hAnsi="仿宋_GB2312" w:eastAsia="仿宋_GB2312" w:cs="仿宋_GB2312"/>
          <w:b/>
          <w:bCs/>
          <w:kern w:val="2"/>
          <w:sz w:val="20"/>
          <w:szCs w:val="20"/>
          <w:highlight w:val="none"/>
          <w:lang w:val="en-US" w:eastAsia="zh-CN"/>
        </w:rPr>
        <w:t>服务</w:t>
      </w:r>
      <w:r>
        <w:rPr>
          <w:rFonts w:hint="eastAsia" w:ascii="仿宋_GB2312" w:hAnsi="仿宋_GB2312" w:eastAsia="仿宋_GB2312" w:cs="仿宋_GB2312"/>
          <w:b/>
          <w:bCs/>
          <w:kern w:val="2"/>
          <w:sz w:val="20"/>
          <w:szCs w:val="20"/>
          <w:highlight w:val="none"/>
        </w:rPr>
        <w:t>考核办法</w:t>
      </w:r>
    </w:p>
    <w:p w14:paraId="4C6C958B">
      <w:pPr>
        <w:jc w:val="center"/>
        <w:rPr>
          <w:rFonts w:hint="eastAsia" w:ascii="仿宋_GB2312" w:hAnsi="仿宋_GB2312" w:eastAsia="仿宋_GB2312" w:cs="仿宋_GB2312"/>
          <w:color w:val="000000"/>
          <w:sz w:val="21"/>
          <w:szCs w:val="21"/>
          <w:highlight w:val="none"/>
        </w:rPr>
      </w:pPr>
    </w:p>
    <w:p w14:paraId="538B8131">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一、考核原则</w:t>
      </w:r>
    </w:p>
    <w:p w14:paraId="5CDC299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公平公正，以服务合同约定服务标准为依据，奖惩结合。通过季度考核检查，对物业服务合同履行情况进行综合评定。</w:t>
      </w:r>
    </w:p>
    <w:p w14:paraId="154358C0">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二、考核主体</w:t>
      </w:r>
    </w:p>
    <w:p w14:paraId="0CD1B12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牵头单位：西安曲江新区投资和行政审批服务局</w:t>
      </w:r>
    </w:p>
    <w:p w14:paraId="7CA47808">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配合单位：曲江新区政务服务中心各入驻单位及支撑服务体系</w:t>
      </w:r>
    </w:p>
    <w:p w14:paraId="49893FD9">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三、考核对象</w:t>
      </w:r>
    </w:p>
    <w:p w14:paraId="07A01C18">
      <w:pPr>
        <w:widowControl w:val="0"/>
        <w:adjustRightInd w:val="0"/>
        <w:snapToGrid w:val="0"/>
        <w:spacing w:line="360" w:lineRule="auto"/>
        <w:ind w:firstLine="400" w:firstLineChars="200"/>
        <w:jc w:val="both"/>
        <w:rPr>
          <w:rFonts w:hint="default"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物业服务公司</w:t>
      </w:r>
    </w:p>
    <w:p w14:paraId="73AF48BE">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四、考核目的</w:t>
      </w:r>
    </w:p>
    <w:p w14:paraId="0478D6E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lang w:val="en-US" w:eastAsia="zh-CN"/>
        </w:rPr>
        <w:t>保障曲江政务服务中心</w:t>
      </w:r>
      <w:r>
        <w:rPr>
          <w:rFonts w:hint="eastAsia" w:ascii="仿宋_GB2312" w:hAnsi="仿宋_GB2312" w:eastAsia="仿宋_GB2312" w:cs="仿宋_GB2312"/>
          <w:kern w:val="2"/>
          <w:sz w:val="20"/>
          <w:szCs w:val="20"/>
          <w:highlight w:val="none"/>
        </w:rPr>
        <w:t>物业</w:t>
      </w:r>
      <w:r>
        <w:rPr>
          <w:rFonts w:hint="eastAsia" w:ascii="仿宋_GB2312" w:hAnsi="仿宋_GB2312" w:eastAsia="仿宋_GB2312" w:cs="仿宋_GB2312"/>
          <w:kern w:val="2"/>
          <w:sz w:val="20"/>
          <w:szCs w:val="20"/>
          <w:highlight w:val="none"/>
          <w:lang w:val="en-US" w:eastAsia="zh-CN"/>
        </w:rPr>
        <w:t>服务</w:t>
      </w:r>
      <w:r>
        <w:rPr>
          <w:rFonts w:hint="eastAsia" w:ascii="仿宋_GB2312" w:hAnsi="仿宋_GB2312" w:eastAsia="仿宋_GB2312" w:cs="仿宋_GB2312"/>
          <w:kern w:val="2"/>
          <w:sz w:val="20"/>
          <w:szCs w:val="20"/>
          <w:highlight w:val="none"/>
        </w:rPr>
        <w:t>区域</w:t>
      </w:r>
      <w:r>
        <w:rPr>
          <w:rFonts w:hint="eastAsia" w:ascii="仿宋_GB2312" w:hAnsi="仿宋_GB2312" w:eastAsia="仿宋_GB2312" w:cs="仿宋_GB2312"/>
          <w:kern w:val="2"/>
          <w:sz w:val="20"/>
          <w:szCs w:val="20"/>
          <w:highlight w:val="none"/>
          <w:lang w:val="en-US" w:eastAsia="zh-CN"/>
        </w:rPr>
        <w:t>人员专业规范、热情周到，公共</w:t>
      </w:r>
      <w:r>
        <w:rPr>
          <w:rFonts w:hint="eastAsia" w:ascii="仿宋_GB2312" w:hAnsi="仿宋_GB2312" w:eastAsia="仿宋_GB2312" w:cs="仿宋_GB2312"/>
          <w:kern w:val="2"/>
          <w:sz w:val="20"/>
          <w:szCs w:val="20"/>
          <w:highlight w:val="none"/>
        </w:rPr>
        <w:t>设施设备</w:t>
      </w:r>
      <w:r>
        <w:rPr>
          <w:rFonts w:hint="eastAsia" w:ascii="仿宋_GB2312" w:hAnsi="仿宋_GB2312" w:eastAsia="仿宋_GB2312" w:cs="仿宋_GB2312"/>
          <w:kern w:val="2"/>
          <w:sz w:val="20"/>
          <w:szCs w:val="20"/>
          <w:highlight w:val="none"/>
          <w:lang w:val="en-US" w:eastAsia="zh-CN"/>
        </w:rPr>
        <w:t>维护到位安全运行</w:t>
      </w:r>
      <w:r>
        <w:rPr>
          <w:rFonts w:hint="eastAsia" w:ascii="仿宋_GB2312" w:hAnsi="仿宋_GB2312" w:eastAsia="仿宋_GB2312" w:cs="仿宋_GB2312"/>
          <w:kern w:val="2"/>
          <w:sz w:val="20"/>
          <w:szCs w:val="20"/>
          <w:highlight w:val="none"/>
        </w:rPr>
        <w:t>，</w:t>
      </w:r>
      <w:r>
        <w:rPr>
          <w:rFonts w:hint="eastAsia" w:ascii="仿宋_GB2312" w:hAnsi="仿宋_GB2312" w:eastAsia="仿宋_GB2312" w:cs="仿宋_GB2312"/>
          <w:kern w:val="2"/>
          <w:sz w:val="20"/>
          <w:szCs w:val="20"/>
          <w:highlight w:val="none"/>
          <w:lang w:val="en-US" w:eastAsia="zh-CN"/>
        </w:rPr>
        <w:t>公共秩序管理规范安全有序，公共办公</w:t>
      </w:r>
      <w:r>
        <w:rPr>
          <w:rFonts w:hint="eastAsia" w:ascii="仿宋_GB2312" w:hAnsi="仿宋_GB2312" w:eastAsia="仿宋_GB2312" w:cs="仿宋_GB2312"/>
          <w:kern w:val="2"/>
          <w:sz w:val="20"/>
          <w:szCs w:val="20"/>
          <w:highlight w:val="none"/>
        </w:rPr>
        <w:t>环境</w:t>
      </w:r>
      <w:r>
        <w:rPr>
          <w:rFonts w:hint="eastAsia" w:ascii="仿宋_GB2312" w:hAnsi="仿宋_GB2312" w:eastAsia="仿宋_GB2312" w:cs="仿宋_GB2312"/>
          <w:kern w:val="2"/>
          <w:sz w:val="20"/>
          <w:szCs w:val="20"/>
          <w:highlight w:val="none"/>
          <w:lang w:val="en-US" w:eastAsia="zh-CN"/>
        </w:rPr>
        <w:t>干净</w:t>
      </w:r>
      <w:r>
        <w:rPr>
          <w:rFonts w:hint="eastAsia" w:ascii="仿宋_GB2312" w:hAnsi="仿宋_GB2312" w:eastAsia="仿宋_GB2312" w:cs="仿宋_GB2312"/>
          <w:kern w:val="2"/>
          <w:sz w:val="20"/>
          <w:szCs w:val="20"/>
          <w:highlight w:val="none"/>
        </w:rPr>
        <w:t>整洁</w:t>
      </w:r>
      <w:r>
        <w:rPr>
          <w:rFonts w:hint="eastAsia" w:ascii="仿宋_GB2312" w:hAnsi="仿宋_GB2312" w:eastAsia="仿宋_GB2312" w:cs="仿宋_GB2312"/>
          <w:kern w:val="2"/>
          <w:sz w:val="20"/>
          <w:szCs w:val="20"/>
          <w:highlight w:val="none"/>
          <w:lang w:val="en-US" w:eastAsia="zh-CN"/>
        </w:rPr>
        <w:t>清新</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rPr>
        <w:t>督促物业服务单位对照</w:t>
      </w:r>
      <w:r>
        <w:rPr>
          <w:rFonts w:hint="eastAsia" w:ascii="仿宋_GB2312" w:hAnsi="仿宋_GB2312" w:eastAsia="仿宋_GB2312" w:cs="仿宋_GB2312"/>
          <w:kern w:val="2"/>
          <w:sz w:val="20"/>
          <w:szCs w:val="20"/>
          <w:highlight w:val="none"/>
          <w:lang w:val="en-US" w:eastAsia="zh-CN"/>
        </w:rPr>
        <w:t>服务</w:t>
      </w:r>
      <w:r>
        <w:rPr>
          <w:rFonts w:hint="eastAsia" w:ascii="仿宋_GB2312" w:hAnsi="仿宋_GB2312" w:eastAsia="仿宋_GB2312" w:cs="仿宋_GB2312"/>
          <w:kern w:val="2"/>
          <w:sz w:val="20"/>
          <w:szCs w:val="20"/>
          <w:highlight w:val="none"/>
        </w:rPr>
        <w:t>内容和</w:t>
      </w:r>
      <w:r>
        <w:rPr>
          <w:rFonts w:hint="eastAsia" w:ascii="仿宋_GB2312" w:hAnsi="仿宋_GB2312" w:eastAsia="仿宋_GB2312" w:cs="仿宋_GB2312"/>
          <w:kern w:val="2"/>
          <w:sz w:val="20"/>
          <w:szCs w:val="20"/>
          <w:highlight w:val="none"/>
          <w:lang w:val="en-US" w:eastAsia="zh-CN"/>
        </w:rPr>
        <w:t>服务</w:t>
      </w:r>
      <w:r>
        <w:rPr>
          <w:rFonts w:hint="eastAsia" w:ascii="仿宋_GB2312" w:hAnsi="仿宋_GB2312" w:eastAsia="仿宋_GB2312" w:cs="仿宋_GB2312"/>
          <w:kern w:val="2"/>
          <w:sz w:val="20"/>
          <w:szCs w:val="20"/>
          <w:highlight w:val="none"/>
        </w:rPr>
        <w:t>标准,完善管理措施，规范管理行为</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保障</w:t>
      </w:r>
      <w:r>
        <w:rPr>
          <w:rFonts w:hint="eastAsia" w:ascii="仿宋_GB2312" w:hAnsi="仿宋_GB2312" w:eastAsia="仿宋_GB2312" w:cs="仿宋_GB2312"/>
          <w:kern w:val="2"/>
          <w:sz w:val="20"/>
          <w:szCs w:val="20"/>
          <w:highlight w:val="none"/>
        </w:rPr>
        <w:t>服务质量。</w:t>
      </w:r>
    </w:p>
    <w:p w14:paraId="400CECF7">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eastAsia="zh-CN"/>
        </w:rPr>
      </w:pPr>
      <w:r>
        <w:rPr>
          <w:rFonts w:hint="eastAsia" w:ascii="仿宋_GB2312" w:hAnsi="仿宋_GB2312" w:eastAsia="仿宋_GB2312" w:cs="仿宋_GB2312"/>
          <w:kern w:val="2"/>
          <w:sz w:val="20"/>
          <w:szCs w:val="20"/>
          <w:highlight w:val="none"/>
        </w:rPr>
        <w:t>五、考核</w:t>
      </w:r>
      <w:r>
        <w:rPr>
          <w:rFonts w:hint="eastAsia" w:ascii="仿宋_GB2312" w:hAnsi="仿宋_GB2312" w:eastAsia="仿宋_GB2312" w:cs="仿宋_GB2312"/>
          <w:kern w:val="2"/>
          <w:sz w:val="20"/>
          <w:szCs w:val="20"/>
          <w:highlight w:val="none"/>
          <w:lang w:val="en-US" w:eastAsia="zh-CN"/>
        </w:rPr>
        <w:t>内容</w:t>
      </w:r>
    </w:p>
    <w:p w14:paraId="20EE107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lang w:val="en-US" w:eastAsia="zh-CN"/>
        </w:rPr>
        <w:t>依照合同《物业管理服务质量标准》（附件1）约定的相关标准，对基础管理服务、公共部位维护管理服务、公共设施设备运行管理</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公共秩序安全维护服务、公共环境卫生服务、绿化养护服务等服务维度进行综合考评，</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曲江政务服务中心物业服务考核打分表</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附件3</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rPr>
        <w:t>。</w:t>
      </w:r>
    </w:p>
    <w:p w14:paraId="78D227B3">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lang w:val="en-US" w:eastAsia="zh-CN"/>
        </w:rPr>
        <w:t>六、</w:t>
      </w:r>
      <w:r>
        <w:rPr>
          <w:rFonts w:hint="eastAsia" w:ascii="仿宋_GB2312" w:hAnsi="仿宋_GB2312" w:eastAsia="仿宋_GB2312" w:cs="仿宋_GB2312"/>
          <w:kern w:val="2"/>
          <w:sz w:val="20"/>
          <w:szCs w:val="20"/>
          <w:highlight w:val="none"/>
        </w:rPr>
        <w:t>考核方式</w:t>
      </w:r>
    </w:p>
    <w:p w14:paraId="2A1637FB">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由考核</w:t>
      </w:r>
      <w:r>
        <w:rPr>
          <w:rFonts w:hint="eastAsia" w:ascii="仿宋_GB2312" w:hAnsi="仿宋_GB2312" w:eastAsia="仿宋_GB2312" w:cs="仿宋_GB2312"/>
          <w:kern w:val="2"/>
          <w:sz w:val="20"/>
          <w:szCs w:val="20"/>
          <w:highlight w:val="none"/>
          <w:lang w:val="en-US" w:eastAsia="zh-CN"/>
        </w:rPr>
        <w:t>主体单位组成考核小组，于</w:t>
      </w:r>
      <w:r>
        <w:rPr>
          <w:rFonts w:hint="eastAsia" w:ascii="仿宋_GB2312" w:hAnsi="仿宋_GB2312" w:eastAsia="仿宋_GB2312" w:cs="仿宋_GB2312"/>
          <w:kern w:val="2"/>
          <w:sz w:val="20"/>
          <w:szCs w:val="20"/>
          <w:highlight w:val="none"/>
        </w:rPr>
        <w:t>每</w:t>
      </w:r>
      <w:r>
        <w:rPr>
          <w:rFonts w:hint="eastAsia" w:ascii="仿宋_GB2312" w:hAnsi="仿宋_GB2312" w:eastAsia="仿宋_GB2312" w:cs="仿宋_GB2312"/>
          <w:kern w:val="2"/>
          <w:sz w:val="20"/>
          <w:szCs w:val="20"/>
          <w:highlight w:val="none"/>
          <w:lang w:val="en-US" w:eastAsia="zh-CN"/>
        </w:rPr>
        <w:t>季度末</w:t>
      </w:r>
      <w:r>
        <w:rPr>
          <w:rFonts w:hint="eastAsia" w:ascii="仿宋_GB2312" w:hAnsi="仿宋_GB2312" w:eastAsia="仿宋_GB2312" w:cs="仿宋_GB2312"/>
          <w:kern w:val="2"/>
          <w:sz w:val="20"/>
          <w:szCs w:val="20"/>
          <w:highlight w:val="none"/>
        </w:rPr>
        <w:t>对物业服务单位的</w:t>
      </w:r>
      <w:r>
        <w:rPr>
          <w:rFonts w:hint="eastAsia" w:ascii="仿宋_GB2312" w:hAnsi="仿宋_GB2312" w:eastAsia="仿宋_GB2312" w:cs="仿宋_GB2312"/>
          <w:kern w:val="2"/>
          <w:sz w:val="20"/>
          <w:szCs w:val="20"/>
          <w:highlight w:val="none"/>
          <w:lang w:val="en-US" w:eastAsia="zh-CN"/>
        </w:rPr>
        <w:t>服务</w:t>
      </w:r>
      <w:r>
        <w:rPr>
          <w:rFonts w:hint="eastAsia" w:ascii="仿宋_GB2312" w:hAnsi="仿宋_GB2312" w:eastAsia="仿宋_GB2312" w:cs="仿宋_GB2312"/>
          <w:kern w:val="2"/>
          <w:sz w:val="20"/>
          <w:szCs w:val="20"/>
          <w:highlight w:val="none"/>
        </w:rPr>
        <w:t>内容完成情况进行检查</w:t>
      </w:r>
      <w:r>
        <w:rPr>
          <w:rFonts w:hint="eastAsia" w:ascii="仿宋_GB2312" w:hAnsi="仿宋_GB2312" w:eastAsia="仿宋_GB2312" w:cs="仿宋_GB2312"/>
          <w:kern w:val="2"/>
          <w:sz w:val="20"/>
          <w:szCs w:val="20"/>
          <w:highlight w:val="none"/>
          <w:lang w:val="en-US" w:eastAsia="zh-CN"/>
        </w:rPr>
        <w:t>或抽查</w:t>
      </w:r>
      <w:r>
        <w:rPr>
          <w:rFonts w:hint="eastAsia" w:ascii="仿宋_GB2312" w:hAnsi="仿宋_GB2312" w:eastAsia="仿宋_GB2312" w:cs="仿宋_GB2312"/>
          <w:kern w:val="2"/>
          <w:sz w:val="20"/>
          <w:szCs w:val="20"/>
          <w:highlight w:val="none"/>
        </w:rPr>
        <w:t>，</w:t>
      </w:r>
      <w:r>
        <w:rPr>
          <w:rFonts w:hint="eastAsia" w:ascii="仿宋_GB2312" w:hAnsi="仿宋_GB2312" w:eastAsia="仿宋_GB2312" w:cs="仿宋_GB2312"/>
          <w:kern w:val="2"/>
          <w:sz w:val="20"/>
          <w:szCs w:val="20"/>
          <w:highlight w:val="none"/>
          <w:lang w:val="en-US" w:eastAsia="zh-CN"/>
        </w:rPr>
        <w:t>并填写</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曲江政务服务中心服务考核表</w:t>
      </w:r>
      <w:r>
        <w:rPr>
          <w:rFonts w:hint="eastAsia" w:ascii="仿宋_GB2312" w:hAnsi="仿宋_GB2312" w:eastAsia="仿宋_GB2312" w:cs="仿宋_GB2312"/>
          <w:kern w:val="2"/>
          <w:sz w:val="20"/>
          <w:szCs w:val="20"/>
          <w:highlight w:val="none"/>
          <w:lang w:eastAsia="zh-CN"/>
        </w:rPr>
        <w:t>》，</w:t>
      </w:r>
      <w:r>
        <w:rPr>
          <w:rFonts w:hint="eastAsia" w:ascii="仿宋_GB2312" w:hAnsi="仿宋_GB2312" w:eastAsia="仿宋_GB2312" w:cs="仿宋_GB2312"/>
          <w:kern w:val="2"/>
          <w:sz w:val="20"/>
          <w:szCs w:val="20"/>
          <w:highlight w:val="none"/>
          <w:lang w:val="en-US" w:eastAsia="zh-CN"/>
        </w:rPr>
        <w:t>考核小组对开合情况进行逐项打分形成考核评定结果，考核结果需考核双方签字</w:t>
      </w:r>
      <w:r>
        <w:rPr>
          <w:rFonts w:hint="eastAsia" w:ascii="仿宋_GB2312" w:hAnsi="仿宋_GB2312" w:eastAsia="仿宋_GB2312" w:cs="仿宋_GB2312"/>
          <w:kern w:val="2"/>
          <w:sz w:val="20"/>
          <w:szCs w:val="20"/>
          <w:highlight w:val="none"/>
        </w:rPr>
        <w:t>确认作为</w:t>
      </w:r>
      <w:r>
        <w:rPr>
          <w:rFonts w:hint="eastAsia" w:ascii="仿宋_GB2312" w:hAnsi="仿宋_GB2312" w:eastAsia="仿宋_GB2312" w:cs="仿宋_GB2312"/>
          <w:kern w:val="2"/>
          <w:sz w:val="20"/>
          <w:szCs w:val="20"/>
          <w:highlight w:val="none"/>
          <w:lang w:val="en-US" w:eastAsia="zh-CN"/>
        </w:rPr>
        <w:t>季</w:t>
      </w:r>
      <w:r>
        <w:rPr>
          <w:rFonts w:hint="eastAsia" w:ascii="仿宋_GB2312" w:hAnsi="仿宋_GB2312" w:eastAsia="仿宋_GB2312" w:cs="仿宋_GB2312"/>
          <w:kern w:val="2"/>
          <w:sz w:val="20"/>
          <w:szCs w:val="20"/>
          <w:highlight w:val="none"/>
        </w:rPr>
        <w:t>度</w:t>
      </w:r>
      <w:r>
        <w:rPr>
          <w:rFonts w:hint="eastAsia" w:ascii="仿宋_GB2312" w:hAnsi="仿宋_GB2312" w:eastAsia="仿宋_GB2312" w:cs="仿宋_GB2312"/>
          <w:kern w:val="2"/>
          <w:sz w:val="20"/>
          <w:szCs w:val="20"/>
          <w:highlight w:val="none"/>
          <w:lang w:val="en-US" w:eastAsia="zh-CN"/>
        </w:rPr>
        <w:t>物业服务费</w:t>
      </w:r>
      <w:r>
        <w:rPr>
          <w:rFonts w:hint="eastAsia" w:ascii="仿宋_GB2312" w:hAnsi="仿宋_GB2312" w:eastAsia="仿宋_GB2312" w:cs="仿宋_GB2312"/>
          <w:kern w:val="2"/>
          <w:sz w:val="20"/>
          <w:szCs w:val="20"/>
          <w:highlight w:val="none"/>
        </w:rPr>
        <w:t>依据。</w:t>
      </w:r>
    </w:p>
    <w:p w14:paraId="2279C252">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rPr>
      </w:pPr>
      <w:r>
        <w:rPr>
          <w:rFonts w:hint="eastAsia" w:ascii="仿宋_GB2312" w:hAnsi="仿宋_GB2312" w:eastAsia="仿宋_GB2312" w:cs="仿宋_GB2312"/>
          <w:kern w:val="2"/>
          <w:sz w:val="20"/>
          <w:szCs w:val="20"/>
          <w:highlight w:val="none"/>
        </w:rPr>
        <w:t>七、考核结果运用</w:t>
      </w:r>
    </w:p>
    <w:p w14:paraId="1D6D8B34">
      <w:pPr>
        <w:widowControl w:val="0"/>
        <w:adjustRightInd w:val="0"/>
        <w:snapToGrid w:val="0"/>
        <w:spacing w:line="360" w:lineRule="auto"/>
        <w:ind w:firstLine="400" w:firstLineChars="200"/>
        <w:jc w:val="both"/>
        <w:rPr>
          <w:rFonts w:hint="eastAsia" w:ascii="仿宋_GB2312" w:hAnsi="仿宋_GB2312" w:eastAsia="仿宋_GB2312" w:cs="仿宋_GB2312"/>
          <w:kern w:val="2"/>
          <w:sz w:val="20"/>
          <w:szCs w:val="20"/>
          <w:highlight w:val="none"/>
          <w:lang w:val="en-US" w:eastAsia="zh-CN"/>
        </w:rPr>
      </w:pPr>
      <w:r>
        <w:rPr>
          <w:rFonts w:hint="eastAsia" w:ascii="仿宋_GB2312" w:hAnsi="仿宋_GB2312" w:eastAsia="仿宋_GB2312" w:cs="仿宋_GB2312"/>
          <w:kern w:val="2"/>
          <w:sz w:val="20"/>
          <w:szCs w:val="20"/>
          <w:highlight w:val="none"/>
          <w:lang w:val="en-US" w:eastAsia="zh-CN"/>
        </w:rPr>
        <w:t>考核满分100分，考核总得分96分及以上为优异，考核成绩优异时，季度服务费按合同约定的全额优先确认支付；考核总得分80-95为</w:t>
      </w:r>
      <w:r>
        <w:rPr>
          <w:rFonts w:hint="eastAsia" w:ascii="仿宋_GB2312" w:hAnsi="仿宋_GB2312" w:eastAsia="仿宋_GB2312" w:cs="仿宋_GB2312"/>
          <w:kern w:val="2"/>
          <w:sz w:val="20"/>
          <w:szCs w:val="20"/>
          <w:highlight w:val="none"/>
        </w:rPr>
        <w:t>合格，</w:t>
      </w:r>
      <w:r>
        <w:rPr>
          <w:rFonts w:hint="eastAsia" w:ascii="仿宋_GB2312" w:hAnsi="仿宋_GB2312" w:eastAsia="仿宋_GB2312" w:cs="仿宋_GB2312"/>
          <w:kern w:val="2"/>
          <w:sz w:val="20"/>
          <w:szCs w:val="20"/>
          <w:highlight w:val="none"/>
          <w:lang w:val="en-US" w:eastAsia="zh-CN"/>
        </w:rPr>
        <w:t>季度服务费用按照合同约定全额支付；考核总得分在60-79为不合格，每降5分扣除季度物业服务费用的1%；考核总得分低于60分为差，季度物业费将扣除10%。</w:t>
      </w:r>
    </w:p>
    <w:p w14:paraId="1CED4560">
      <w:pPr>
        <w:ind w:firstLine="211" w:firstLineChars="100"/>
        <w:rPr>
          <w:rFonts w:hint="eastAsia" w:ascii="仿宋_GB2312" w:hAnsi="仿宋_GB2312" w:eastAsia="仿宋_GB2312" w:cs="仿宋_GB2312"/>
          <w:b/>
          <w:bCs/>
          <w:color w:val="000000"/>
          <w:sz w:val="21"/>
          <w:szCs w:val="21"/>
          <w:highlight w:val="none"/>
        </w:rPr>
      </w:pPr>
    </w:p>
    <w:p w14:paraId="18DA9064">
      <w:pPr>
        <w:ind w:firstLine="211" w:firstLineChars="100"/>
        <w:rPr>
          <w:rFonts w:hint="eastAsia" w:ascii="仿宋_GB2312" w:hAnsi="仿宋_GB2312" w:eastAsia="仿宋_GB2312" w:cs="仿宋_GB2312"/>
          <w:b/>
          <w:bCs/>
          <w:color w:val="000000"/>
          <w:sz w:val="21"/>
          <w:szCs w:val="21"/>
          <w:highlight w:val="none"/>
        </w:rPr>
      </w:pPr>
    </w:p>
    <w:p w14:paraId="4B624D5B">
      <w:pPr>
        <w:rPr>
          <w:rFonts w:hint="eastAsia" w:ascii="仿宋_GB2312" w:hAnsi="仿宋_GB2312" w:eastAsia="仿宋_GB2312" w:cs="仿宋_GB2312"/>
          <w:b/>
          <w:bCs/>
          <w:color w:val="000000"/>
          <w:sz w:val="21"/>
          <w:szCs w:val="21"/>
          <w:highlight w:val="none"/>
        </w:rPr>
      </w:pPr>
    </w:p>
    <w:p w14:paraId="07F32EF7">
      <w:pPr>
        <w:ind w:firstLine="211" w:firstLineChars="100"/>
        <w:rPr>
          <w:rFonts w:hint="eastAsia" w:ascii="仿宋_GB2312" w:hAnsi="仿宋_GB2312" w:eastAsia="仿宋_GB2312" w:cs="仿宋_GB2312"/>
          <w:b/>
          <w:bCs/>
          <w:color w:val="000000"/>
          <w:sz w:val="21"/>
          <w:szCs w:val="21"/>
          <w:highlight w:val="none"/>
        </w:rPr>
      </w:pPr>
    </w:p>
    <w:p w14:paraId="5CAAB076">
      <w:pPr>
        <w:ind w:firstLine="211" w:firstLineChars="100"/>
        <w:rPr>
          <w:rFonts w:hint="eastAsia" w:ascii="仿宋_GB2312" w:hAnsi="仿宋_GB2312" w:eastAsia="仿宋_GB2312" w:cs="仿宋_GB2312"/>
          <w:b/>
          <w:bCs/>
          <w:color w:val="000000"/>
          <w:sz w:val="21"/>
          <w:szCs w:val="21"/>
          <w:highlight w:val="none"/>
        </w:rPr>
      </w:pPr>
    </w:p>
    <w:p w14:paraId="20892928">
      <w:pPr>
        <w:ind w:firstLine="211" w:firstLineChars="100"/>
        <w:rPr>
          <w:rFonts w:hint="eastAsia" w:ascii="仿宋_GB2312" w:hAnsi="仿宋_GB2312" w:eastAsia="仿宋_GB2312" w:cs="仿宋_GB2312"/>
          <w:b/>
          <w:bCs/>
          <w:color w:val="000000"/>
          <w:sz w:val="21"/>
          <w:szCs w:val="21"/>
          <w:highlight w:val="none"/>
        </w:rPr>
      </w:pPr>
    </w:p>
    <w:p w14:paraId="08B3AC58">
      <w:pPr>
        <w:ind w:firstLine="211" w:firstLineChars="100"/>
        <w:rPr>
          <w:rFonts w:hint="eastAsia" w:ascii="仿宋_GB2312" w:hAnsi="仿宋_GB2312" w:eastAsia="仿宋_GB2312" w:cs="仿宋_GB2312"/>
          <w:b/>
          <w:bCs/>
          <w:color w:val="000000"/>
          <w:sz w:val="21"/>
          <w:szCs w:val="21"/>
          <w:highlight w:val="none"/>
        </w:rPr>
      </w:pPr>
    </w:p>
    <w:p w14:paraId="5065B24D">
      <w:pPr>
        <w:ind w:firstLine="211" w:firstLineChars="100"/>
        <w:rPr>
          <w:rFonts w:hint="eastAsia" w:ascii="仿宋_GB2312" w:hAnsi="仿宋_GB2312" w:eastAsia="仿宋_GB2312" w:cs="仿宋_GB2312"/>
          <w:b/>
          <w:bCs/>
          <w:color w:val="000000"/>
          <w:sz w:val="21"/>
          <w:szCs w:val="21"/>
          <w:highlight w:val="none"/>
        </w:rPr>
      </w:pPr>
    </w:p>
    <w:p w14:paraId="638D12B1">
      <w:pPr>
        <w:ind w:firstLine="211" w:firstLineChars="100"/>
        <w:rPr>
          <w:rFonts w:hint="eastAsia" w:ascii="仿宋_GB2312" w:hAnsi="仿宋_GB2312" w:eastAsia="仿宋_GB2312" w:cs="仿宋_GB2312"/>
          <w:b/>
          <w:bCs/>
          <w:color w:val="000000"/>
          <w:sz w:val="21"/>
          <w:szCs w:val="21"/>
          <w:highlight w:val="none"/>
        </w:rPr>
      </w:pPr>
    </w:p>
    <w:p w14:paraId="2366CCDC">
      <w:pPr>
        <w:pStyle w:val="2"/>
        <w:tabs>
          <w:tab w:val="left" w:pos="567"/>
        </w:tabs>
        <w:rPr>
          <w:rFonts w:hint="eastAsia" w:ascii="仿宋_GB2312" w:hAnsi="仿宋_GB2312" w:eastAsia="仿宋_GB2312" w:cs="仿宋_GB2312"/>
          <w:b/>
          <w:bCs/>
          <w:kern w:val="2"/>
          <w:sz w:val="20"/>
          <w:szCs w:val="20"/>
          <w:highlight w:val="none"/>
          <w:lang w:val="en-US" w:eastAsia="zh-CN" w:bidi="ar-SA"/>
        </w:rPr>
      </w:pPr>
      <w:r>
        <w:rPr>
          <w:rFonts w:hint="eastAsia" w:ascii="仿宋_GB2312" w:hAnsi="仿宋_GB2312" w:eastAsia="仿宋_GB2312" w:cs="仿宋_GB2312"/>
          <w:b/>
          <w:bCs/>
          <w:kern w:val="2"/>
          <w:sz w:val="20"/>
          <w:szCs w:val="20"/>
          <w:highlight w:val="none"/>
          <w:lang w:val="en-US" w:eastAsia="zh-CN" w:bidi="ar-SA"/>
        </w:rPr>
        <w:t>附件3：</w:t>
      </w:r>
    </w:p>
    <w:p w14:paraId="76F33BCA">
      <w:pPr>
        <w:widowControl w:val="0"/>
        <w:adjustRightInd w:val="0"/>
        <w:snapToGrid w:val="0"/>
        <w:spacing w:line="360" w:lineRule="auto"/>
        <w:ind w:firstLine="402" w:firstLineChars="200"/>
        <w:jc w:val="center"/>
        <w:rPr>
          <w:rFonts w:hint="eastAsia" w:ascii="仿宋_GB2312" w:hAnsi="仿宋_GB2312" w:eastAsia="仿宋_GB2312" w:cs="仿宋_GB2312"/>
          <w:b/>
          <w:bCs/>
          <w:kern w:val="2"/>
          <w:sz w:val="20"/>
          <w:szCs w:val="20"/>
          <w:highlight w:val="none"/>
          <w:lang w:val="en-US" w:eastAsia="zh-CN"/>
        </w:rPr>
      </w:pPr>
      <w:r>
        <w:rPr>
          <w:rFonts w:hint="eastAsia" w:ascii="仿宋_GB2312" w:hAnsi="仿宋_GB2312" w:eastAsia="仿宋_GB2312" w:cs="仿宋_GB2312"/>
          <w:b/>
          <w:bCs/>
          <w:kern w:val="2"/>
          <w:sz w:val="20"/>
          <w:szCs w:val="20"/>
          <w:highlight w:val="none"/>
          <w:lang w:val="en-US" w:eastAsia="zh-CN"/>
        </w:rPr>
        <w:t xml:space="preserve">曲江政务服务中心物业服务考核打分表     </w:t>
      </w:r>
    </w:p>
    <w:p w14:paraId="66E3F7A7">
      <w:pPr>
        <w:keepNext w:val="0"/>
        <w:keepLines w:val="0"/>
        <w:pageBreakBefore w:val="0"/>
        <w:widowControl w:val="0"/>
        <w:kinsoku/>
        <w:wordWrap/>
        <w:overflowPunct/>
        <w:topLinePunct w:val="0"/>
        <w:autoSpaceDE/>
        <w:autoSpaceDN/>
        <w:bidi w:val="0"/>
        <w:adjustRightInd/>
        <w:snapToGrid/>
        <w:spacing w:before="157" w:beforeLines="50" w:after="157" w:afterLines="50"/>
        <w:jc w:val="right"/>
        <w:textAlignment w:val="auto"/>
        <w:rPr>
          <w:rFonts w:hint="eastAsia" w:ascii="仿宋_GB2312" w:hAnsi="仿宋_GB2312" w:eastAsia="仿宋_GB2312" w:cs="仿宋_GB2312"/>
          <w:b/>
          <w:bCs/>
          <w:color w:val="000000"/>
          <w:sz w:val="20"/>
          <w:szCs w:val="20"/>
          <w:highlight w:val="none"/>
          <w:u w:val="none"/>
          <w:lang w:val="en-US" w:eastAsia="zh-CN"/>
        </w:rPr>
      </w:pPr>
      <w:r>
        <w:rPr>
          <w:rFonts w:hint="eastAsia" w:ascii="仿宋_GB2312" w:hAnsi="仿宋_GB2312" w:eastAsia="仿宋_GB2312" w:cs="仿宋_GB2312"/>
          <w:b w:val="0"/>
          <w:bCs w:val="0"/>
          <w:color w:val="000000"/>
          <w:sz w:val="20"/>
          <w:szCs w:val="20"/>
          <w:highlight w:val="none"/>
          <w:lang w:val="en-US" w:eastAsia="zh-CN"/>
        </w:rPr>
        <w:t>考核期间：</w:t>
      </w:r>
      <w:r>
        <w:rPr>
          <w:rFonts w:hint="eastAsia" w:ascii="仿宋_GB2312" w:hAnsi="仿宋_GB2312" w:eastAsia="仿宋_GB2312" w:cs="仿宋_GB2312"/>
          <w:b w:val="0"/>
          <w:bCs w:val="0"/>
          <w:color w:val="000000"/>
          <w:sz w:val="20"/>
          <w:szCs w:val="20"/>
          <w:highlight w:val="none"/>
          <w:u w:val="single"/>
          <w:lang w:val="en-US" w:eastAsia="zh-CN"/>
        </w:rPr>
        <w:t xml:space="preserve">    </w:t>
      </w:r>
      <w:r>
        <w:rPr>
          <w:rFonts w:hint="eastAsia" w:ascii="仿宋_GB2312" w:hAnsi="仿宋_GB2312" w:eastAsia="仿宋_GB2312" w:cs="仿宋_GB2312"/>
          <w:b w:val="0"/>
          <w:bCs w:val="0"/>
          <w:color w:val="000000"/>
          <w:sz w:val="20"/>
          <w:szCs w:val="20"/>
          <w:highlight w:val="none"/>
          <w:lang w:val="en-US" w:eastAsia="zh-CN"/>
        </w:rPr>
        <w:t>年</w:t>
      </w:r>
      <w:r>
        <w:rPr>
          <w:rFonts w:hint="eastAsia" w:ascii="仿宋_GB2312" w:hAnsi="仿宋_GB2312" w:eastAsia="仿宋_GB2312" w:cs="仿宋_GB2312"/>
          <w:b w:val="0"/>
          <w:bCs w:val="0"/>
          <w:color w:val="000000"/>
          <w:sz w:val="20"/>
          <w:szCs w:val="20"/>
          <w:highlight w:val="none"/>
          <w:u w:val="single"/>
          <w:lang w:val="en-US" w:eastAsia="zh-CN"/>
        </w:rPr>
        <w:t xml:space="preserve">    </w:t>
      </w:r>
      <w:r>
        <w:rPr>
          <w:rFonts w:hint="eastAsia" w:ascii="仿宋_GB2312" w:hAnsi="仿宋_GB2312" w:eastAsia="仿宋_GB2312" w:cs="仿宋_GB2312"/>
          <w:b w:val="0"/>
          <w:bCs w:val="0"/>
          <w:color w:val="000000"/>
          <w:sz w:val="20"/>
          <w:szCs w:val="20"/>
          <w:highlight w:val="none"/>
          <w:u w:val="none"/>
          <w:lang w:val="en-US" w:eastAsia="zh-CN"/>
        </w:rPr>
        <w:t xml:space="preserve">月至 </w:t>
      </w:r>
      <w:r>
        <w:rPr>
          <w:rFonts w:hint="eastAsia" w:ascii="仿宋_GB2312" w:hAnsi="仿宋_GB2312" w:eastAsia="仿宋_GB2312" w:cs="仿宋_GB2312"/>
          <w:b w:val="0"/>
          <w:bCs w:val="0"/>
          <w:color w:val="000000"/>
          <w:sz w:val="20"/>
          <w:szCs w:val="20"/>
          <w:highlight w:val="none"/>
          <w:u w:val="single"/>
          <w:lang w:val="en-US" w:eastAsia="zh-CN"/>
        </w:rPr>
        <w:t xml:space="preserve">    </w:t>
      </w:r>
      <w:r>
        <w:rPr>
          <w:rFonts w:hint="eastAsia" w:ascii="仿宋_GB2312" w:hAnsi="仿宋_GB2312" w:eastAsia="仿宋_GB2312" w:cs="仿宋_GB2312"/>
          <w:b w:val="0"/>
          <w:bCs w:val="0"/>
          <w:color w:val="000000"/>
          <w:sz w:val="20"/>
          <w:szCs w:val="20"/>
          <w:highlight w:val="none"/>
          <w:u w:val="none"/>
          <w:lang w:val="en-US" w:eastAsia="zh-CN"/>
        </w:rPr>
        <w:t>年</w:t>
      </w:r>
      <w:r>
        <w:rPr>
          <w:rFonts w:hint="eastAsia" w:ascii="仿宋_GB2312" w:hAnsi="仿宋_GB2312" w:eastAsia="仿宋_GB2312" w:cs="仿宋_GB2312"/>
          <w:b w:val="0"/>
          <w:bCs w:val="0"/>
          <w:color w:val="000000"/>
          <w:sz w:val="20"/>
          <w:szCs w:val="20"/>
          <w:highlight w:val="none"/>
          <w:u w:val="single"/>
          <w:lang w:val="en-US" w:eastAsia="zh-CN"/>
        </w:rPr>
        <w:t xml:space="preserve">    </w:t>
      </w:r>
      <w:r>
        <w:rPr>
          <w:rFonts w:hint="eastAsia" w:ascii="仿宋_GB2312" w:hAnsi="仿宋_GB2312" w:eastAsia="仿宋_GB2312" w:cs="仿宋_GB2312"/>
          <w:b w:val="0"/>
          <w:bCs w:val="0"/>
          <w:color w:val="000000"/>
          <w:sz w:val="20"/>
          <w:szCs w:val="20"/>
          <w:highlight w:val="none"/>
          <w:u w:val="none"/>
          <w:lang w:val="en-US" w:eastAsia="zh-CN"/>
        </w:rPr>
        <w:t>月</w:t>
      </w:r>
    </w:p>
    <w:tbl>
      <w:tblPr>
        <w:tblStyle w:val="5"/>
        <w:tblW w:w="9427" w:type="dxa"/>
        <w:tblInd w:w="-8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544"/>
        <w:gridCol w:w="623"/>
        <w:gridCol w:w="2752"/>
        <w:gridCol w:w="1193"/>
        <w:gridCol w:w="1529"/>
      </w:tblGrid>
      <w:tr w14:paraId="1CED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786" w:type="dxa"/>
            <w:noWrap w:val="0"/>
            <w:vAlign w:val="center"/>
          </w:tcPr>
          <w:p w14:paraId="3DF18FA8">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序号</w:t>
            </w:r>
          </w:p>
        </w:tc>
        <w:tc>
          <w:tcPr>
            <w:tcW w:w="2544" w:type="dxa"/>
            <w:noWrap w:val="0"/>
            <w:vAlign w:val="center"/>
          </w:tcPr>
          <w:p w14:paraId="7344C6E1">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标准内容</w:t>
            </w:r>
          </w:p>
        </w:tc>
        <w:tc>
          <w:tcPr>
            <w:tcW w:w="623" w:type="dxa"/>
            <w:noWrap w:val="0"/>
            <w:vAlign w:val="center"/>
          </w:tcPr>
          <w:p w14:paraId="0E2FB36C">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分值</w:t>
            </w:r>
          </w:p>
        </w:tc>
        <w:tc>
          <w:tcPr>
            <w:tcW w:w="2752" w:type="dxa"/>
            <w:noWrap w:val="0"/>
            <w:vAlign w:val="center"/>
          </w:tcPr>
          <w:p w14:paraId="2D1C1316">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rPr>
              <w:t>评分</w:t>
            </w:r>
            <w:r>
              <w:rPr>
                <w:rFonts w:hint="eastAsia" w:ascii="仿宋_GB2312" w:hAnsi="仿宋_GB2312" w:eastAsia="仿宋_GB2312" w:cs="仿宋_GB2312"/>
                <w:color w:val="000000"/>
                <w:kern w:val="0"/>
                <w:sz w:val="20"/>
                <w:szCs w:val="20"/>
                <w:highlight w:val="none"/>
                <w:lang w:val="en-US" w:eastAsia="zh-CN"/>
              </w:rPr>
              <w:t>办法</w:t>
            </w:r>
          </w:p>
        </w:tc>
        <w:tc>
          <w:tcPr>
            <w:tcW w:w="1193" w:type="dxa"/>
            <w:noWrap w:val="0"/>
            <w:vAlign w:val="center"/>
          </w:tcPr>
          <w:p w14:paraId="492C4652">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得分</w:t>
            </w:r>
          </w:p>
        </w:tc>
        <w:tc>
          <w:tcPr>
            <w:tcW w:w="1529" w:type="dxa"/>
            <w:noWrap w:val="0"/>
            <w:vAlign w:val="center"/>
          </w:tcPr>
          <w:p w14:paraId="66ACCF60">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备注</w:t>
            </w:r>
          </w:p>
        </w:tc>
      </w:tr>
      <w:tr w14:paraId="101D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86" w:type="dxa"/>
            <w:vMerge w:val="restart"/>
            <w:shd w:val="clear" w:color="auto" w:fill="auto"/>
            <w:noWrap w:val="0"/>
            <w:vAlign w:val="center"/>
          </w:tcPr>
          <w:p w14:paraId="6247E563">
            <w:pPr>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一</w:t>
            </w:r>
          </w:p>
        </w:tc>
        <w:tc>
          <w:tcPr>
            <w:tcW w:w="2544" w:type="dxa"/>
            <w:shd w:val="clear" w:color="auto" w:fill="D9D9D9"/>
            <w:noWrap w:val="0"/>
            <w:vAlign w:val="center"/>
          </w:tcPr>
          <w:p w14:paraId="2D33C65E">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基础管理</w:t>
            </w:r>
          </w:p>
        </w:tc>
        <w:tc>
          <w:tcPr>
            <w:tcW w:w="623" w:type="dxa"/>
            <w:shd w:val="clear" w:color="auto" w:fill="D9D9D9"/>
            <w:noWrap w:val="0"/>
            <w:vAlign w:val="center"/>
          </w:tcPr>
          <w:p w14:paraId="32A851BC">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11</w:t>
            </w:r>
          </w:p>
        </w:tc>
        <w:tc>
          <w:tcPr>
            <w:tcW w:w="2752" w:type="dxa"/>
            <w:shd w:val="clear" w:color="auto" w:fill="D9D9D9"/>
            <w:noWrap w:val="0"/>
            <w:vAlign w:val="center"/>
          </w:tcPr>
          <w:p w14:paraId="586B151F">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70B4B8A0">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275C0124">
            <w:pPr>
              <w:spacing w:line="300" w:lineRule="atLeast"/>
              <w:rPr>
                <w:rFonts w:hint="eastAsia" w:ascii="仿宋_GB2312" w:hAnsi="仿宋_GB2312" w:eastAsia="仿宋_GB2312" w:cs="仿宋_GB2312"/>
                <w:b/>
                <w:bCs/>
                <w:color w:val="000000"/>
                <w:kern w:val="0"/>
                <w:sz w:val="20"/>
                <w:szCs w:val="20"/>
                <w:highlight w:val="none"/>
              </w:rPr>
            </w:pPr>
          </w:p>
        </w:tc>
      </w:tr>
      <w:tr w14:paraId="7A38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Merge w:val="continue"/>
            <w:noWrap w:val="0"/>
            <w:vAlign w:val="top"/>
          </w:tcPr>
          <w:p w14:paraId="04E62E50">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0D808CB1">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1、物业管理企业应用智能化</w:t>
            </w:r>
            <w:r>
              <w:rPr>
                <w:rFonts w:hint="eastAsia" w:ascii="仿宋_GB2312" w:hAnsi="仿宋_GB2312" w:eastAsia="仿宋_GB2312" w:cs="仿宋_GB2312"/>
                <w:color w:val="000000"/>
                <w:kern w:val="0"/>
                <w:sz w:val="20"/>
                <w:szCs w:val="20"/>
                <w:highlight w:val="none"/>
                <w:lang w:val="en-US" w:eastAsia="zh-CN"/>
              </w:rPr>
              <w:t>办公软件，</w:t>
            </w:r>
            <w:r>
              <w:rPr>
                <w:rFonts w:hint="eastAsia" w:ascii="仿宋_GB2312" w:hAnsi="仿宋_GB2312" w:eastAsia="仿宋_GB2312" w:cs="仿宋_GB2312"/>
                <w:color w:val="000000"/>
                <w:kern w:val="0"/>
                <w:sz w:val="20"/>
                <w:szCs w:val="20"/>
                <w:highlight w:val="none"/>
              </w:rPr>
              <w:t>专业技术人员持证上岗</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员工着装规范，</w:t>
            </w:r>
            <w:r>
              <w:rPr>
                <w:rFonts w:hint="eastAsia" w:ascii="仿宋_GB2312" w:hAnsi="仿宋_GB2312" w:eastAsia="仿宋_GB2312" w:cs="仿宋_GB2312"/>
                <w:color w:val="000000"/>
                <w:kern w:val="0"/>
                <w:sz w:val="20"/>
                <w:szCs w:val="20"/>
                <w:highlight w:val="none"/>
                <w:lang w:val="en-US" w:eastAsia="zh-CN"/>
              </w:rPr>
              <w:t>服务周到、</w:t>
            </w:r>
            <w:r>
              <w:rPr>
                <w:rFonts w:hint="eastAsia" w:ascii="仿宋_GB2312" w:hAnsi="仿宋_GB2312" w:eastAsia="仿宋_GB2312" w:cs="仿宋_GB2312"/>
                <w:color w:val="000000"/>
                <w:kern w:val="0"/>
                <w:sz w:val="20"/>
                <w:szCs w:val="20"/>
                <w:highlight w:val="none"/>
              </w:rPr>
              <w:t>工作</w:t>
            </w:r>
            <w:r>
              <w:rPr>
                <w:rFonts w:hint="eastAsia" w:ascii="仿宋_GB2312" w:hAnsi="仿宋_GB2312" w:eastAsia="仿宋_GB2312" w:cs="仿宋_GB2312"/>
                <w:color w:val="000000"/>
                <w:kern w:val="0"/>
                <w:sz w:val="20"/>
                <w:szCs w:val="20"/>
                <w:highlight w:val="none"/>
                <w:lang w:val="en-US" w:eastAsia="zh-CN"/>
              </w:rPr>
              <w:t>认真</w:t>
            </w:r>
            <w:r>
              <w:rPr>
                <w:rFonts w:hint="eastAsia" w:ascii="仿宋_GB2312" w:hAnsi="仿宋_GB2312" w:eastAsia="仿宋_GB2312" w:cs="仿宋_GB2312"/>
                <w:color w:val="000000"/>
                <w:kern w:val="0"/>
                <w:sz w:val="20"/>
                <w:szCs w:val="20"/>
                <w:highlight w:val="none"/>
              </w:rPr>
              <w:t>、作风严谨。</w:t>
            </w:r>
          </w:p>
        </w:tc>
        <w:tc>
          <w:tcPr>
            <w:tcW w:w="623" w:type="dxa"/>
            <w:noWrap w:val="0"/>
            <w:vAlign w:val="center"/>
          </w:tcPr>
          <w:p w14:paraId="70B6B411">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21B8FBB8">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应用智能化办公软件得1分，专业技术人员持证证达标得2分，人员着装规范、仪容仪表得当</w:t>
            </w:r>
            <w:r>
              <w:rPr>
                <w:rFonts w:hint="eastAsia" w:ascii="仿宋_GB2312" w:hAnsi="仿宋_GB2312" w:eastAsia="仿宋_GB2312" w:cs="仿宋_GB2312"/>
                <w:color w:val="000000"/>
                <w:kern w:val="0"/>
                <w:sz w:val="20"/>
                <w:szCs w:val="20"/>
                <w:highlight w:val="none"/>
              </w:rPr>
              <w:t>得</w:t>
            </w:r>
            <w:r>
              <w:rPr>
                <w:rFonts w:hint="eastAsia" w:ascii="仿宋_GB2312" w:hAnsi="仿宋_GB2312" w:eastAsia="仿宋_GB2312" w:cs="仿宋_GB2312"/>
                <w:color w:val="000000"/>
                <w:kern w:val="0"/>
                <w:sz w:val="20"/>
                <w:szCs w:val="20"/>
                <w:highlight w:val="none"/>
                <w:lang w:val="en-US" w:eastAsia="zh-CN"/>
              </w:rPr>
              <w:t>1</w:t>
            </w:r>
            <w:r>
              <w:rPr>
                <w:rFonts w:hint="eastAsia" w:ascii="仿宋_GB2312" w:hAnsi="仿宋_GB2312" w:eastAsia="仿宋_GB2312" w:cs="仿宋_GB2312"/>
                <w:color w:val="000000"/>
                <w:kern w:val="0"/>
                <w:sz w:val="20"/>
                <w:szCs w:val="20"/>
                <w:highlight w:val="none"/>
              </w:rPr>
              <w:t>分</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B5597B1">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CCE60CF">
            <w:pPr>
              <w:spacing w:line="300" w:lineRule="atLeast"/>
              <w:rPr>
                <w:rFonts w:hint="eastAsia" w:ascii="仿宋_GB2312" w:hAnsi="仿宋_GB2312" w:eastAsia="仿宋_GB2312" w:cs="仿宋_GB2312"/>
                <w:color w:val="000000"/>
                <w:kern w:val="0"/>
                <w:sz w:val="20"/>
                <w:szCs w:val="20"/>
                <w:highlight w:val="none"/>
              </w:rPr>
            </w:pPr>
          </w:p>
        </w:tc>
      </w:tr>
      <w:tr w14:paraId="61CB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36DB3E94">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4E73F031">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、房屋及其共用设施设备档案资料齐全</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分类成册、管理完善</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查阅方便。</w:t>
            </w:r>
          </w:p>
        </w:tc>
        <w:tc>
          <w:tcPr>
            <w:tcW w:w="623" w:type="dxa"/>
            <w:noWrap w:val="0"/>
            <w:vAlign w:val="center"/>
          </w:tcPr>
          <w:p w14:paraId="629EB109">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6BF9E5EF">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房屋图纸、设备维保及检查记录</w:t>
            </w: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F772A9D">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029E1C42">
            <w:pPr>
              <w:spacing w:line="300" w:lineRule="atLeast"/>
              <w:rPr>
                <w:rFonts w:hint="eastAsia" w:ascii="仿宋_GB2312" w:hAnsi="仿宋_GB2312" w:eastAsia="仿宋_GB2312" w:cs="仿宋_GB2312"/>
                <w:color w:val="000000"/>
                <w:kern w:val="0"/>
                <w:sz w:val="20"/>
                <w:szCs w:val="20"/>
                <w:highlight w:val="none"/>
              </w:rPr>
            </w:pPr>
          </w:p>
        </w:tc>
      </w:tr>
      <w:tr w14:paraId="4C98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432B9502">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EE19B39">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、24小时值班</w:t>
            </w:r>
            <w:r>
              <w:rPr>
                <w:rFonts w:hint="eastAsia" w:ascii="仿宋_GB2312" w:hAnsi="仿宋_GB2312" w:eastAsia="仿宋_GB2312" w:cs="仿宋_GB2312"/>
                <w:color w:val="000000"/>
                <w:kern w:val="0"/>
                <w:sz w:val="20"/>
                <w:szCs w:val="20"/>
                <w:highlight w:val="none"/>
                <w:lang w:val="en-US" w:eastAsia="zh-CN"/>
              </w:rPr>
              <w:t>服务</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工作时间客服受理</w:t>
            </w:r>
            <w:r>
              <w:rPr>
                <w:rFonts w:hint="eastAsia" w:ascii="仿宋_GB2312" w:hAnsi="仿宋_GB2312" w:eastAsia="仿宋_GB2312" w:cs="仿宋_GB2312"/>
                <w:color w:val="000000"/>
                <w:kern w:val="0"/>
                <w:sz w:val="20"/>
                <w:szCs w:val="20"/>
                <w:highlight w:val="none"/>
              </w:rPr>
              <w:t>物业理服务</w:t>
            </w:r>
            <w:r>
              <w:rPr>
                <w:rFonts w:hint="eastAsia" w:ascii="仿宋_GB2312" w:hAnsi="仿宋_GB2312" w:eastAsia="仿宋_GB2312" w:cs="仿宋_GB2312"/>
                <w:color w:val="000000"/>
                <w:kern w:val="0"/>
                <w:sz w:val="20"/>
                <w:szCs w:val="20"/>
                <w:highlight w:val="none"/>
                <w:lang w:val="en-US" w:eastAsia="zh-CN"/>
              </w:rPr>
              <w:t>范围内的公共服务事项</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 xml:space="preserve"> </w:t>
            </w:r>
            <w:r>
              <w:rPr>
                <w:rFonts w:hint="eastAsia" w:ascii="仿宋_GB2312" w:hAnsi="仿宋_GB2312" w:eastAsia="仿宋_GB2312" w:cs="仿宋_GB2312"/>
                <w:color w:val="000000"/>
                <w:kern w:val="0"/>
                <w:sz w:val="20"/>
                <w:szCs w:val="20"/>
                <w:highlight w:val="none"/>
                <w:lang w:val="en-US" w:eastAsia="zh-CN"/>
              </w:rPr>
              <w:t>夜间值班人员安全巡查及处理紧急性维修。</w:t>
            </w:r>
            <w:r>
              <w:rPr>
                <w:rFonts w:hint="eastAsia" w:ascii="仿宋_GB2312" w:hAnsi="仿宋_GB2312" w:eastAsia="仿宋_GB2312" w:cs="仿宋_GB2312"/>
                <w:color w:val="000000"/>
                <w:kern w:val="0"/>
                <w:sz w:val="20"/>
                <w:szCs w:val="20"/>
                <w:highlight w:val="none"/>
              </w:rPr>
              <w:t>有回访制度和</w:t>
            </w:r>
            <w:r>
              <w:rPr>
                <w:rFonts w:hint="eastAsia" w:ascii="仿宋_GB2312" w:hAnsi="仿宋_GB2312" w:eastAsia="仿宋_GB2312" w:cs="仿宋_GB2312"/>
                <w:color w:val="000000"/>
                <w:kern w:val="0"/>
                <w:sz w:val="20"/>
                <w:szCs w:val="20"/>
                <w:highlight w:val="none"/>
                <w:lang w:val="en-US" w:eastAsia="zh-CN"/>
              </w:rPr>
              <w:t>投诉处理</w:t>
            </w:r>
            <w:r>
              <w:rPr>
                <w:rFonts w:hint="eastAsia" w:ascii="仿宋_GB2312" w:hAnsi="仿宋_GB2312" w:eastAsia="仿宋_GB2312" w:cs="仿宋_GB2312"/>
                <w:color w:val="000000"/>
                <w:kern w:val="0"/>
                <w:sz w:val="20"/>
                <w:szCs w:val="20"/>
                <w:highlight w:val="none"/>
              </w:rPr>
              <w:t>记录。</w:t>
            </w:r>
          </w:p>
        </w:tc>
        <w:tc>
          <w:tcPr>
            <w:tcW w:w="623" w:type="dxa"/>
            <w:noWrap w:val="0"/>
            <w:vAlign w:val="center"/>
          </w:tcPr>
          <w:p w14:paraId="5B2AB93F">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16924BBA">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实施24小时值班服务得2分，有受理报修、投诉及回访记录</w:t>
            </w:r>
            <w:r>
              <w:rPr>
                <w:rFonts w:hint="eastAsia" w:ascii="仿宋_GB2312" w:hAnsi="仿宋_GB2312" w:eastAsia="仿宋_GB2312" w:cs="仿宋_GB2312"/>
                <w:color w:val="000000"/>
                <w:kern w:val="0"/>
                <w:sz w:val="20"/>
                <w:szCs w:val="20"/>
                <w:highlight w:val="none"/>
              </w:rPr>
              <w:t>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3CA480B8">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7EF47C36">
            <w:pPr>
              <w:spacing w:line="300" w:lineRule="atLeast"/>
              <w:rPr>
                <w:rFonts w:hint="eastAsia" w:ascii="仿宋_GB2312" w:hAnsi="仿宋_GB2312" w:eastAsia="仿宋_GB2312" w:cs="仿宋_GB2312"/>
                <w:color w:val="000000"/>
                <w:kern w:val="0"/>
                <w:sz w:val="20"/>
                <w:szCs w:val="20"/>
                <w:highlight w:val="none"/>
              </w:rPr>
            </w:pPr>
          </w:p>
        </w:tc>
      </w:tr>
      <w:tr w14:paraId="7B7E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86" w:type="dxa"/>
            <w:vMerge w:val="restart"/>
            <w:shd w:val="clear" w:color="auto" w:fill="auto"/>
            <w:noWrap w:val="0"/>
            <w:vAlign w:val="center"/>
          </w:tcPr>
          <w:p w14:paraId="04D97EA1">
            <w:pPr>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二</w:t>
            </w:r>
          </w:p>
        </w:tc>
        <w:tc>
          <w:tcPr>
            <w:tcW w:w="2544" w:type="dxa"/>
            <w:shd w:val="clear" w:color="auto" w:fill="D9D9D9"/>
            <w:noWrap w:val="0"/>
            <w:vAlign w:val="center"/>
          </w:tcPr>
          <w:p w14:paraId="1ECF2275">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lang w:val="en-US" w:eastAsia="zh-CN"/>
              </w:rPr>
              <w:t>公共部位维护</w:t>
            </w:r>
            <w:r>
              <w:rPr>
                <w:rFonts w:hint="eastAsia" w:ascii="仿宋_GB2312" w:hAnsi="仿宋_GB2312" w:eastAsia="仿宋_GB2312" w:cs="仿宋_GB2312"/>
                <w:b/>
                <w:bCs/>
                <w:color w:val="000000"/>
                <w:kern w:val="0"/>
                <w:sz w:val="20"/>
                <w:szCs w:val="20"/>
                <w:highlight w:val="none"/>
              </w:rPr>
              <w:t>管理</w:t>
            </w:r>
          </w:p>
        </w:tc>
        <w:tc>
          <w:tcPr>
            <w:tcW w:w="623" w:type="dxa"/>
            <w:shd w:val="clear" w:color="auto" w:fill="D9D9D9"/>
            <w:noWrap w:val="0"/>
            <w:vAlign w:val="center"/>
          </w:tcPr>
          <w:p w14:paraId="09C6DFA2">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rPr>
              <w:t>1</w:t>
            </w:r>
            <w:r>
              <w:rPr>
                <w:rFonts w:hint="eastAsia" w:ascii="仿宋_GB2312" w:hAnsi="仿宋_GB2312" w:eastAsia="仿宋_GB2312" w:cs="仿宋_GB2312"/>
                <w:b/>
                <w:bCs/>
                <w:color w:val="000000"/>
                <w:kern w:val="0"/>
                <w:sz w:val="20"/>
                <w:szCs w:val="20"/>
                <w:highlight w:val="none"/>
                <w:lang w:val="en-US" w:eastAsia="zh-CN"/>
              </w:rPr>
              <w:t>0</w:t>
            </w:r>
          </w:p>
        </w:tc>
        <w:tc>
          <w:tcPr>
            <w:tcW w:w="2752" w:type="dxa"/>
            <w:shd w:val="clear" w:color="auto" w:fill="D9D9D9"/>
            <w:noWrap w:val="0"/>
            <w:vAlign w:val="center"/>
          </w:tcPr>
          <w:p w14:paraId="54C52DBF">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12492B3A">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78FD81AE">
            <w:pPr>
              <w:spacing w:line="300" w:lineRule="atLeast"/>
              <w:rPr>
                <w:rFonts w:hint="eastAsia" w:ascii="仿宋_GB2312" w:hAnsi="仿宋_GB2312" w:eastAsia="仿宋_GB2312" w:cs="仿宋_GB2312"/>
                <w:b/>
                <w:bCs/>
                <w:color w:val="000000"/>
                <w:kern w:val="0"/>
                <w:sz w:val="20"/>
                <w:szCs w:val="20"/>
                <w:highlight w:val="none"/>
              </w:rPr>
            </w:pPr>
          </w:p>
        </w:tc>
      </w:tr>
      <w:tr w14:paraId="5429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Merge w:val="continue"/>
            <w:noWrap w:val="0"/>
            <w:vAlign w:val="top"/>
          </w:tcPr>
          <w:p w14:paraId="2E36E475">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6378E7D">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1、建筑物</w:t>
            </w:r>
            <w:r>
              <w:rPr>
                <w:rFonts w:hint="eastAsia" w:ascii="仿宋_GB2312" w:hAnsi="仿宋_GB2312" w:eastAsia="仿宋_GB2312" w:cs="仿宋_GB2312"/>
                <w:color w:val="000000"/>
                <w:kern w:val="0"/>
                <w:sz w:val="20"/>
                <w:szCs w:val="20"/>
                <w:highlight w:val="none"/>
                <w:lang w:val="en-US" w:eastAsia="zh-CN"/>
              </w:rPr>
              <w:t>原配置</w:t>
            </w:r>
            <w:r>
              <w:rPr>
                <w:rFonts w:hint="eastAsia" w:ascii="仿宋_GB2312" w:hAnsi="仿宋_GB2312" w:eastAsia="仿宋_GB2312" w:cs="仿宋_GB2312"/>
                <w:color w:val="000000"/>
                <w:kern w:val="0"/>
                <w:sz w:val="20"/>
                <w:szCs w:val="20"/>
                <w:highlight w:val="none"/>
              </w:rPr>
              <w:t>标志明显、设立引路方向平面图和路标、铭牌及各类标识牌统一有序。</w:t>
            </w:r>
          </w:p>
        </w:tc>
        <w:tc>
          <w:tcPr>
            <w:tcW w:w="623" w:type="dxa"/>
            <w:noWrap w:val="0"/>
            <w:vAlign w:val="center"/>
          </w:tcPr>
          <w:p w14:paraId="149ED603">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09E7CC6B">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标识标牌设置合理得1.5分，内容规范</w:t>
            </w:r>
            <w:r>
              <w:rPr>
                <w:rFonts w:hint="eastAsia" w:ascii="仿宋_GB2312" w:hAnsi="仿宋_GB2312" w:eastAsia="仿宋_GB2312" w:cs="仿宋_GB2312"/>
                <w:color w:val="000000"/>
                <w:kern w:val="0"/>
                <w:sz w:val="20"/>
                <w:szCs w:val="20"/>
                <w:highlight w:val="none"/>
              </w:rPr>
              <w:t>得</w:t>
            </w:r>
            <w:r>
              <w:rPr>
                <w:rFonts w:hint="eastAsia" w:ascii="仿宋_GB2312" w:hAnsi="仿宋_GB2312" w:eastAsia="仿宋_GB2312" w:cs="仿宋_GB2312"/>
                <w:color w:val="000000"/>
                <w:kern w:val="0"/>
                <w:sz w:val="20"/>
                <w:szCs w:val="20"/>
                <w:highlight w:val="none"/>
                <w:lang w:val="en-US" w:eastAsia="zh-CN"/>
              </w:rPr>
              <w:t>1.5</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3F13E058">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6C4376D2">
            <w:pPr>
              <w:spacing w:line="300" w:lineRule="atLeast"/>
              <w:rPr>
                <w:rFonts w:hint="eastAsia" w:ascii="仿宋_GB2312" w:hAnsi="仿宋_GB2312" w:eastAsia="仿宋_GB2312" w:cs="仿宋_GB2312"/>
                <w:color w:val="000000"/>
                <w:kern w:val="0"/>
                <w:sz w:val="20"/>
                <w:szCs w:val="20"/>
                <w:highlight w:val="none"/>
              </w:rPr>
            </w:pPr>
          </w:p>
        </w:tc>
      </w:tr>
      <w:tr w14:paraId="1C0E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09FCE27E">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272AF909">
            <w:pPr>
              <w:numPr>
                <w:ilvl w:val="0"/>
                <w:numId w:val="0"/>
              </w:num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2、建筑</w:t>
            </w:r>
            <w:r>
              <w:rPr>
                <w:rFonts w:hint="eastAsia" w:ascii="仿宋_GB2312" w:hAnsi="仿宋_GB2312" w:eastAsia="仿宋_GB2312" w:cs="仿宋_GB2312"/>
                <w:color w:val="000000"/>
                <w:kern w:val="0"/>
                <w:sz w:val="20"/>
                <w:szCs w:val="20"/>
                <w:highlight w:val="none"/>
              </w:rPr>
              <w:t>外观完好，无纸张乱贴、乱涂、乱画和乱悬挂现象。共用楼梯、天台、通道、平台等处无堆放废料、杂物及违章占用等</w:t>
            </w:r>
            <w:r>
              <w:rPr>
                <w:rFonts w:hint="eastAsia" w:ascii="仿宋_GB2312" w:hAnsi="仿宋_GB2312" w:eastAsia="仿宋_GB2312" w:cs="仿宋_GB2312"/>
                <w:color w:val="000000"/>
                <w:kern w:val="0"/>
                <w:sz w:val="20"/>
                <w:szCs w:val="20"/>
                <w:highlight w:val="none"/>
                <w:lang w:eastAsia="zh-CN"/>
              </w:rPr>
              <w:t>。</w:t>
            </w:r>
          </w:p>
        </w:tc>
        <w:tc>
          <w:tcPr>
            <w:tcW w:w="623" w:type="dxa"/>
            <w:noWrap w:val="0"/>
            <w:vAlign w:val="center"/>
          </w:tcPr>
          <w:p w14:paraId="6A78D5DD">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5153B86B">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建筑外观完好</w:t>
            </w:r>
            <w:r>
              <w:rPr>
                <w:rFonts w:hint="eastAsia" w:ascii="仿宋_GB2312" w:hAnsi="仿宋_GB2312" w:eastAsia="仿宋_GB2312" w:cs="仿宋_GB2312"/>
                <w:color w:val="000000"/>
                <w:kern w:val="0"/>
                <w:sz w:val="20"/>
                <w:szCs w:val="20"/>
                <w:highlight w:val="none"/>
              </w:rPr>
              <w:t>得</w:t>
            </w:r>
            <w:r>
              <w:rPr>
                <w:rFonts w:hint="eastAsia" w:ascii="仿宋_GB2312" w:hAnsi="仿宋_GB2312" w:eastAsia="仿宋_GB2312" w:cs="仿宋_GB2312"/>
                <w:color w:val="000000"/>
                <w:kern w:val="0"/>
                <w:sz w:val="20"/>
                <w:szCs w:val="20"/>
                <w:highlight w:val="none"/>
                <w:lang w:val="en-US" w:eastAsia="zh-CN"/>
              </w:rPr>
              <w:t>1.5</w:t>
            </w:r>
            <w:r>
              <w:rPr>
                <w:rFonts w:hint="eastAsia" w:ascii="仿宋_GB2312" w:hAnsi="仿宋_GB2312" w:eastAsia="仿宋_GB2312" w:cs="仿宋_GB2312"/>
                <w:color w:val="000000"/>
                <w:kern w:val="0"/>
                <w:sz w:val="20"/>
                <w:szCs w:val="20"/>
                <w:highlight w:val="none"/>
              </w:rPr>
              <w:t>分，</w:t>
            </w:r>
            <w:r>
              <w:rPr>
                <w:rFonts w:hint="eastAsia" w:ascii="仿宋_GB2312" w:hAnsi="仿宋_GB2312" w:eastAsia="仿宋_GB2312" w:cs="仿宋_GB2312"/>
                <w:color w:val="000000"/>
                <w:kern w:val="0"/>
                <w:sz w:val="20"/>
                <w:szCs w:val="20"/>
                <w:highlight w:val="none"/>
                <w:lang w:val="en-US" w:eastAsia="zh-CN"/>
              </w:rPr>
              <w:t>无</w:t>
            </w:r>
            <w:r>
              <w:rPr>
                <w:rFonts w:hint="eastAsia" w:ascii="仿宋_GB2312" w:hAnsi="仿宋_GB2312" w:eastAsia="仿宋_GB2312" w:cs="仿宋_GB2312"/>
                <w:color w:val="000000"/>
                <w:kern w:val="0"/>
                <w:sz w:val="20"/>
                <w:szCs w:val="20"/>
                <w:highlight w:val="none"/>
              </w:rPr>
              <w:t>乱贴、乱涂、乱画和乱悬挂现象</w:t>
            </w:r>
            <w:r>
              <w:rPr>
                <w:rFonts w:hint="eastAsia" w:ascii="仿宋_GB2312" w:hAnsi="仿宋_GB2312" w:eastAsia="仿宋_GB2312" w:cs="仿宋_GB2312"/>
                <w:color w:val="000000"/>
                <w:kern w:val="0"/>
                <w:sz w:val="20"/>
                <w:szCs w:val="20"/>
                <w:highlight w:val="none"/>
                <w:lang w:val="en-US" w:eastAsia="zh-CN"/>
              </w:rPr>
              <w:t>得1.5分，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760DD774">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28C99B1A">
            <w:pPr>
              <w:spacing w:line="300" w:lineRule="atLeast"/>
              <w:rPr>
                <w:rFonts w:hint="eastAsia" w:ascii="仿宋_GB2312" w:hAnsi="仿宋_GB2312" w:eastAsia="仿宋_GB2312" w:cs="仿宋_GB2312"/>
                <w:color w:val="000000"/>
                <w:kern w:val="0"/>
                <w:sz w:val="20"/>
                <w:szCs w:val="20"/>
                <w:highlight w:val="none"/>
              </w:rPr>
            </w:pPr>
          </w:p>
        </w:tc>
      </w:tr>
      <w:tr w14:paraId="192E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413AD718">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1442AF7">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楼梯、走道、扶手、天花板、吊顶等</w:t>
            </w:r>
            <w:r>
              <w:rPr>
                <w:rFonts w:hint="eastAsia" w:ascii="仿宋_GB2312" w:hAnsi="仿宋_GB2312" w:eastAsia="仿宋_GB2312" w:cs="仿宋_GB2312"/>
                <w:color w:val="000000"/>
                <w:kern w:val="0"/>
                <w:sz w:val="20"/>
                <w:szCs w:val="20"/>
                <w:highlight w:val="none"/>
                <w:lang w:val="en-US" w:eastAsia="zh-CN"/>
              </w:rPr>
              <w:t>完好</w:t>
            </w:r>
            <w:r>
              <w:rPr>
                <w:rFonts w:hint="eastAsia" w:ascii="仿宋_GB2312" w:hAnsi="仿宋_GB2312" w:eastAsia="仿宋_GB2312" w:cs="仿宋_GB2312"/>
                <w:color w:val="000000"/>
                <w:kern w:val="0"/>
                <w:sz w:val="20"/>
                <w:szCs w:val="20"/>
                <w:highlight w:val="none"/>
              </w:rPr>
              <w:t>；墙体整洁，无乱张贴；共用部位门窗、灯具、开关等功能良好；卫生间</w:t>
            </w:r>
            <w:r>
              <w:rPr>
                <w:rFonts w:hint="eastAsia" w:ascii="仿宋_GB2312" w:hAnsi="仿宋_GB2312" w:eastAsia="仿宋_GB2312" w:cs="仿宋_GB2312"/>
                <w:color w:val="000000"/>
                <w:kern w:val="0"/>
                <w:sz w:val="20"/>
                <w:szCs w:val="20"/>
                <w:highlight w:val="none"/>
                <w:lang w:val="en-US" w:eastAsia="zh-CN"/>
              </w:rPr>
              <w:t>设施</w:t>
            </w:r>
            <w:r>
              <w:rPr>
                <w:rFonts w:hint="eastAsia" w:ascii="仿宋_GB2312" w:hAnsi="仿宋_GB2312" w:eastAsia="仿宋_GB2312" w:cs="仿宋_GB2312"/>
                <w:color w:val="000000"/>
                <w:kern w:val="0"/>
                <w:sz w:val="20"/>
                <w:szCs w:val="20"/>
                <w:highlight w:val="none"/>
              </w:rPr>
              <w:t>完好。</w:t>
            </w:r>
          </w:p>
        </w:tc>
        <w:tc>
          <w:tcPr>
            <w:tcW w:w="623" w:type="dxa"/>
            <w:noWrap w:val="0"/>
            <w:vAlign w:val="center"/>
          </w:tcPr>
          <w:p w14:paraId="3E2DAE93">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4111B31E">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检查完好无乱张贴的得1分，设施功能完好得1分，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3CE3AC2A">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288F6DC3">
            <w:pPr>
              <w:spacing w:line="300" w:lineRule="atLeast"/>
              <w:rPr>
                <w:rFonts w:hint="eastAsia" w:ascii="仿宋_GB2312" w:hAnsi="仿宋_GB2312" w:eastAsia="仿宋_GB2312" w:cs="仿宋_GB2312"/>
                <w:color w:val="000000"/>
                <w:kern w:val="0"/>
                <w:sz w:val="20"/>
                <w:szCs w:val="20"/>
                <w:highlight w:val="none"/>
              </w:rPr>
            </w:pPr>
          </w:p>
        </w:tc>
      </w:tr>
      <w:tr w14:paraId="7F2E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786" w:type="dxa"/>
            <w:vMerge w:val="restart"/>
            <w:shd w:val="clear" w:color="auto" w:fill="auto"/>
            <w:noWrap w:val="0"/>
            <w:vAlign w:val="center"/>
          </w:tcPr>
          <w:p w14:paraId="1E5E1696">
            <w:pPr>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三</w:t>
            </w:r>
          </w:p>
        </w:tc>
        <w:tc>
          <w:tcPr>
            <w:tcW w:w="2544" w:type="dxa"/>
            <w:shd w:val="clear" w:color="auto" w:fill="D9D9D9"/>
            <w:noWrap w:val="0"/>
            <w:vAlign w:val="center"/>
          </w:tcPr>
          <w:p w14:paraId="4102DED3">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共用设施设备</w:t>
            </w:r>
            <w:r>
              <w:rPr>
                <w:rFonts w:hint="eastAsia" w:ascii="仿宋_GB2312" w:hAnsi="仿宋_GB2312" w:eastAsia="仿宋_GB2312" w:cs="仿宋_GB2312"/>
                <w:b/>
                <w:bCs/>
                <w:color w:val="000000"/>
                <w:kern w:val="0"/>
                <w:sz w:val="20"/>
                <w:szCs w:val="20"/>
                <w:highlight w:val="none"/>
                <w:lang w:val="en-US" w:eastAsia="zh-CN"/>
              </w:rPr>
              <w:t>运行</w:t>
            </w:r>
            <w:r>
              <w:rPr>
                <w:rFonts w:hint="eastAsia" w:ascii="仿宋_GB2312" w:hAnsi="仿宋_GB2312" w:eastAsia="仿宋_GB2312" w:cs="仿宋_GB2312"/>
                <w:b/>
                <w:bCs/>
                <w:color w:val="000000"/>
                <w:kern w:val="0"/>
                <w:sz w:val="20"/>
                <w:szCs w:val="20"/>
                <w:highlight w:val="none"/>
              </w:rPr>
              <w:t>管理</w:t>
            </w:r>
          </w:p>
        </w:tc>
        <w:tc>
          <w:tcPr>
            <w:tcW w:w="623" w:type="dxa"/>
            <w:shd w:val="clear" w:color="auto" w:fill="D9D9D9"/>
            <w:noWrap w:val="0"/>
            <w:vAlign w:val="center"/>
          </w:tcPr>
          <w:p w14:paraId="7B4CCF1E">
            <w:pPr>
              <w:spacing w:line="300" w:lineRule="atLeas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50</w:t>
            </w:r>
          </w:p>
        </w:tc>
        <w:tc>
          <w:tcPr>
            <w:tcW w:w="2752" w:type="dxa"/>
            <w:shd w:val="clear" w:color="auto" w:fill="D9D9D9"/>
            <w:noWrap w:val="0"/>
            <w:vAlign w:val="center"/>
          </w:tcPr>
          <w:p w14:paraId="77EFD2E1">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683599EB">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682BCD65">
            <w:pPr>
              <w:spacing w:line="300" w:lineRule="atLeast"/>
              <w:rPr>
                <w:rFonts w:hint="eastAsia" w:ascii="仿宋_GB2312" w:hAnsi="仿宋_GB2312" w:eastAsia="仿宋_GB2312" w:cs="仿宋_GB2312"/>
                <w:b/>
                <w:bCs/>
                <w:color w:val="000000"/>
                <w:kern w:val="0"/>
                <w:sz w:val="20"/>
                <w:szCs w:val="20"/>
                <w:highlight w:val="none"/>
              </w:rPr>
            </w:pPr>
          </w:p>
        </w:tc>
      </w:tr>
      <w:tr w14:paraId="2E3E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786" w:type="dxa"/>
            <w:vMerge w:val="continue"/>
            <w:noWrap w:val="0"/>
            <w:vAlign w:val="top"/>
          </w:tcPr>
          <w:p w14:paraId="3D5971F5">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2D74975D">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(一)综合要求</w:t>
            </w:r>
          </w:p>
        </w:tc>
        <w:tc>
          <w:tcPr>
            <w:tcW w:w="623" w:type="dxa"/>
            <w:noWrap w:val="0"/>
            <w:vAlign w:val="center"/>
          </w:tcPr>
          <w:p w14:paraId="67480699">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6</w:t>
            </w:r>
          </w:p>
        </w:tc>
        <w:tc>
          <w:tcPr>
            <w:tcW w:w="2752" w:type="dxa"/>
            <w:noWrap w:val="0"/>
            <w:vAlign w:val="center"/>
          </w:tcPr>
          <w:p w14:paraId="29DF6A8E">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5C78206D">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58385670">
            <w:pPr>
              <w:spacing w:line="300" w:lineRule="atLeast"/>
              <w:rPr>
                <w:rFonts w:hint="eastAsia" w:ascii="仿宋_GB2312" w:hAnsi="仿宋_GB2312" w:eastAsia="仿宋_GB2312" w:cs="仿宋_GB2312"/>
                <w:b/>
                <w:bCs/>
                <w:color w:val="000000"/>
                <w:kern w:val="0"/>
                <w:sz w:val="20"/>
                <w:szCs w:val="20"/>
                <w:highlight w:val="none"/>
              </w:rPr>
            </w:pPr>
          </w:p>
        </w:tc>
      </w:tr>
      <w:tr w14:paraId="3789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Merge w:val="continue"/>
            <w:noWrap w:val="0"/>
            <w:vAlign w:val="top"/>
          </w:tcPr>
          <w:p w14:paraId="0137EFE2">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0E6859BF">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l、配备专业技术人员</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设备安全运行定期检查、维护保养</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运行</w:t>
            </w:r>
            <w:r>
              <w:rPr>
                <w:rFonts w:hint="eastAsia" w:ascii="仿宋_GB2312" w:hAnsi="仿宋_GB2312" w:eastAsia="仿宋_GB2312" w:cs="仿宋_GB2312"/>
                <w:color w:val="000000"/>
                <w:kern w:val="0"/>
                <w:sz w:val="20"/>
                <w:szCs w:val="20"/>
                <w:highlight w:val="none"/>
                <w:lang w:val="en-US" w:eastAsia="zh-CN"/>
              </w:rPr>
              <w:t>及维修</w:t>
            </w:r>
            <w:r>
              <w:rPr>
                <w:rFonts w:hint="eastAsia" w:ascii="仿宋_GB2312" w:hAnsi="仿宋_GB2312" w:eastAsia="仿宋_GB2312" w:cs="仿宋_GB2312"/>
                <w:color w:val="000000"/>
                <w:kern w:val="0"/>
                <w:sz w:val="20"/>
                <w:szCs w:val="20"/>
                <w:highlight w:val="none"/>
              </w:rPr>
              <w:t>记录</w:t>
            </w:r>
            <w:r>
              <w:rPr>
                <w:rFonts w:hint="eastAsia" w:ascii="仿宋_GB2312" w:hAnsi="仿宋_GB2312" w:eastAsia="仿宋_GB2312" w:cs="仿宋_GB2312"/>
                <w:color w:val="000000"/>
                <w:kern w:val="0"/>
                <w:sz w:val="20"/>
                <w:szCs w:val="20"/>
                <w:highlight w:val="none"/>
                <w:lang w:val="en-US" w:eastAsia="zh-CN"/>
              </w:rPr>
              <w:t>完备</w:t>
            </w:r>
            <w:r>
              <w:rPr>
                <w:rFonts w:hint="eastAsia" w:ascii="仿宋_GB2312" w:hAnsi="仿宋_GB2312" w:eastAsia="仿宋_GB2312" w:cs="仿宋_GB2312"/>
                <w:color w:val="000000"/>
                <w:kern w:val="0"/>
                <w:sz w:val="20"/>
                <w:szCs w:val="20"/>
                <w:highlight w:val="none"/>
              </w:rPr>
              <w:t>。设备良好，运行正常，无重大管理责任事故。</w:t>
            </w:r>
          </w:p>
        </w:tc>
        <w:tc>
          <w:tcPr>
            <w:tcW w:w="623" w:type="dxa"/>
            <w:noWrap w:val="0"/>
            <w:vAlign w:val="center"/>
          </w:tcPr>
          <w:p w14:paraId="7A6A6986">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62FD2E3C">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1ED46AF7">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65B6081">
            <w:pPr>
              <w:spacing w:line="300" w:lineRule="atLeast"/>
              <w:rPr>
                <w:rFonts w:hint="eastAsia" w:ascii="仿宋_GB2312" w:hAnsi="仿宋_GB2312" w:eastAsia="仿宋_GB2312" w:cs="仿宋_GB2312"/>
                <w:color w:val="000000"/>
                <w:kern w:val="0"/>
                <w:sz w:val="20"/>
                <w:szCs w:val="20"/>
                <w:highlight w:val="none"/>
              </w:rPr>
            </w:pPr>
          </w:p>
        </w:tc>
      </w:tr>
      <w:tr w14:paraId="2CE4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2F4DC76D">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4D0A93D7">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2、设备及机房环境整治、无杂物</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无鼠、虫害发生</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机房环境符合设备要求。</w:t>
            </w:r>
          </w:p>
        </w:tc>
        <w:tc>
          <w:tcPr>
            <w:tcW w:w="623" w:type="dxa"/>
            <w:noWrap w:val="0"/>
            <w:vAlign w:val="center"/>
          </w:tcPr>
          <w:p w14:paraId="233A14D0">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65FADCC4">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405BEF5">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368815D8">
            <w:pPr>
              <w:spacing w:line="300" w:lineRule="atLeast"/>
              <w:rPr>
                <w:rFonts w:hint="eastAsia" w:ascii="仿宋_GB2312" w:hAnsi="仿宋_GB2312" w:eastAsia="仿宋_GB2312" w:cs="仿宋_GB2312"/>
                <w:color w:val="000000"/>
                <w:kern w:val="0"/>
                <w:sz w:val="20"/>
                <w:szCs w:val="20"/>
                <w:highlight w:val="none"/>
              </w:rPr>
            </w:pPr>
          </w:p>
        </w:tc>
      </w:tr>
      <w:tr w14:paraId="4CB6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86" w:type="dxa"/>
            <w:vMerge w:val="continue"/>
            <w:noWrap w:val="0"/>
            <w:vAlign w:val="top"/>
          </w:tcPr>
          <w:p w14:paraId="6C1C1085">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7E01C45C">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(二)供电系统</w:t>
            </w:r>
          </w:p>
        </w:tc>
        <w:tc>
          <w:tcPr>
            <w:tcW w:w="623" w:type="dxa"/>
            <w:noWrap w:val="0"/>
            <w:vAlign w:val="center"/>
          </w:tcPr>
          <w:p w14:paraId="4717D67C">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4</w:t>
            </w:r>
          </w:p>
        </w:tc>
        <w:tc>
          <w:tcPr>
            <w:tcW w:w="2752" w:type="dxa"/>
            <w:noWrap w:val="0"/>
            <w:vAlign w:val="center"/>
          </w:tcPr>
          <w:p w14:paraId="4EB24119">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367089FC">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763DBBC9">
            <w:pPr>
              <w:spacing w:line="300" w:lineRule="atLeast"/>
              <w:rPr>
                <w:rFonts w:hint="eastAsia" w:ascii="仿宋_GB2312" w:hAnsi="仿宋_GB2312" w:eastAsia="仿宋_GB2312" w:cs="仿宋_GB2312"/>
                <w:b/>
                <w:bCs/>
                <w:color w:val="000000"/>
                <w:kern w:val="0"/>
                <w:sz w:val="20"/>
                <w:szCs w:val="20"/>
                <w:highlight w:val="none"/>
              </w:rPr>
            </w:pPr>
          </w:p>
        </w:tc>
      </w:tr>
      <w:tr w14:paraId="1218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07418A52">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42995737">
            <w:pPr>
              <w:spacing w:line="300" w:lineRule="atLeast"/>
              <w:jc w:val="both"/>
              <w:rPr>
                <w:rFonts w:hint="eastAsia" w:ascii="仿宋_GB2312" w:hAnsi="仿宋_GB2312" w:eastAsia="仿宋_GB2312" w:cs="仿宋_GB2312"/>
                <w:color w:val="000000"/>
                <w:kern w:val="0"/>
                <w:sz w:val="20"/>
                <w:szCs w:val="20"/>
                <w:highlight w:val="none"/>
                <w:lang w:val="en-US"/>
              </w:rPr>
            </w:pPr>
            <w:r>
              <w:rPr>
                <w:rFonts w:hint="eastAsia" w:ascii="仿宋_GB2312" w:hAnsi="仿宋_GB2312" w:eastAsia="仿宋_GB2312" w:cs="仿宋_GB2312"/>
                <w:color w:val="000000"/>
                <w:kern w:val="0"/>
                <w:sz w:val="20"/>
                <w:szCs w:val="20"/>
                <w:highlight w:val="none"/>
              </w:rPr>
              <w:t>1、保证正常供电</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lang w:val="en-US" w:eastAsia="zh-CN"/>
              </w:rPr>
              <w:t>计划性停电提前通知。计划作业完成后，及时恢复供电。</w:t>
            </w:r>
            <w:r>
              <w:rPr>
                <w:rFonts w:hint="eastAsia" w:ascii="仿宋_GB2312" w:hAnsi="仿宋_GB2312" w:eastAsia="仿宋_GB2312" w:cs="仿宋_GB2312"/>
                <w:color w:val="000000"/>
                <w:kern w:val="0"/>
                <w:sz w:val="20"/>
                <w:szCs w:val="20"/>
                <w:highlight w:val="none"/>
              </w:rPr>
              <w:t>制订</w:t>
            </w:r>
            <w:r>
              <w:rPr>
                <w:rFonts w:hint="eastAsia" w:ascii="仿宋_GB2312" w:hAnsi="仿宋_GB2312" w:eastAsia="仿宋_GB2312" w:cs="仿宋_GB2312"/>
                <w:color w:val="000000"/>
                <w:kern w:val="0"/>
                <w:sz w:val="20"/>
                <w:szCs w:val="20"/>
                <w:highlight w:val="none"/>
                <w:lang w:val="en-US" w:eastAsia="zh-CN"/>
              </w:rPr>
              <w:t>紧急停电</w:t>
            </w:r>
            <w:r>
              <w:rPr>
                <w:rFonts w:hint="eastAsia" w:ascii="仿宋_GB2312" w:hAnsi="仿宋_GB2312" w:eastAsia="仿宋_GB2312" w:cs="仿宋_GB2312"/>
                <w:color w:val="000000"/>
                <w:kern w:val="0"/>
                <w:sz w:val="20"/>
                <w:szCs w:val="20"/>
                <w:highlight w:val="none"/>
              </w:rPr>
              <w:t>应急处理措施</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并严格执行。备用应急发电机可随时起用。</w:t>
            </w:r>
          </w:p>
        </w:tc>
        <w:tc>
          <w:tcPr>
            <w:tcW w:w="623" w:type="dxa"/>
            <w:noWrap w:val="0"/>
            <w:vAlign w:val="center"/>
          </w:tcPr>
          <w:p w14:paraId="02E2B1C8">
            <w:pPr>
              <w:spacing w:line="300" w:lineRule="atLeast"/>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1EE99C59">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停电提前通知且计划作业完成后及时恢复用电得2分</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有停电应急处理措施的得1分</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发电机启动正常1分，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CEF898E">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62ABBD19">
            <w:pPr>
              <w:spacing w:line="300" w:lineRule="atLeast"/>
              <w:rPr>
                <w:rFonts w:hint="eastAsia" w:ascii="仿宋_GB2312" w:hAnsi="仿宋_GB2312" w:eastAsia="仿宋_GB2312" w:cs="仿宋_GB2312"/>
                <w:color w:val="000000"/>
                <w:kern w:val="0"/>
                <w:sz w:val="20"/>
                <w:szCs w:val="20"/>
                <w:highlight w:val="none"/>
              </w:rPr>
            </w:pPr>
          </w:p>
        </w:tc>
      </w:tr>
      <w:tr w14:paraId="1890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Merge w:val="continue"/>
            <w:noWrap w:val="0"/>
            <w:vAlign w:val="top"/>
          </w:tcPr>
          <w:p w14:paraId="611E1A06">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FF8BCEC">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(三)弱电系统</w:t>
            </w:r>
          </w:p>
        </w:tc>
        <w:tc>
          <w:tcPr>
            <w:tcW w:w="623" w:type="dxa"/>
            <w:noWrap w:val="0"/>
            <w:vAlign w:val="center"/>
          </w:tcPr>
          <w:p w14:paraId="5656F7F5">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3</w:t>
            </w:r>
          </w:p>
        </w:tc>
        <w:tc>
          <w:tcPr>
            <w:tcW w:w="2752" w:type="dxa"/>
            <w:noWrap w:val="0"/>
            <w:vAlign w:val="center"/>
          </w:tcPr>
          <w:p w14:paraId="1D3B16BA">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3D5AF471">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3F442579">
            <w:pPr>
              <w:spacing w:line="300" w:lineRule="atLeast"/>
              <w:rPr>
                <w:rFonts w:hint="eastAsia" w:ascii="仿宋_GB2312" w:hAnsi="仿宋_GB2312" w:eastAsia="仿宋_GB2312" w:cs="仿宋_GB2312"/>
                <w:b/>
                <w:bCs/>
                <w:color w:val="000000"/>
                <w:kern w:val="0"/>
                <w:sz w:val="20"/>
                <w:szCs w:val="20"/>
                <w:highlight w:val="none"/>
              </w:rPr>
            </w:pPr>
          </w:p>
        </w:tc>
      </w:tr>
      <w:tr w14:paraId="24EA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86" w:type="dxa"/>
            <w:vMerge w:val="continue"/>
            <w:noWrap w:val="0"/>
            <w:vAlign w:val="top"/>
          </w:tcPr>
          <w:p w14:paraId="7F296A64">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09A54F51">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门禁系统正常，</w:t>
            </w:r>
            <w:r>
              <w:rPr>
                <w:rFonts w:hint="eastAsia" w:ascii="仿宋_GB2312" w:hAnsi="仿宋_GB2312" w:eastAsia="仿宋_GB2312" w:cs="仿宋_GB2312"/>
                <w:color w:val="000000"/>
                <w:kern w:val="0"/>
                <w:sz w:val="20"/>
                <w:szCs w:val="20"/>
                <w:highlight w:val="none"/>
              </w:rPr>
              <w:t>监控等智能化设施设备运行正常；</w:t>
            </w:r>
            <w:r>
              <w:rPr>
                <w:rFonts w:hint="eastAsia" w:ascii="仿宋_GB2312" w:hAnsi="仿宋_GB2312" w:eastAsia="仿宋_GB2312" w:cs="仿宋_GB2312"/>
                <w:color w:val="000000"/>
                <w:kern w:val="0"/>
                <w:sz w:val="20"/>
                <w:szCs w:val="20"/>
                <w:highlight w:val="none"/>
                <w:lang w:val="en-US" w:eastAsia="zh-CN"/>
              </w:rPr>
              <w:t>监控</w:t>
            </w:r>
            <w:r>
              <w:rPr>
                <w:rFonts w:hint="eastAsia" w:ascii="仿宋_GB2312" w:hAnsi="仿宋_GB2312" w:eastAsia="仿宋_GB2312" w:cs="仿宋_GB2312"/>
                <w:color w:val="000000"/>
                <w:kern w:val="0"/>
                <w:sz w:val="20"/>
                <w:szCs w:val="20"/>
                <w:highlight w:val="none"/>
              </w:rPr>
              <w:t>记录按规定期限</w:t>
            </w:r>
            <w:r>
              <w:rPr>
                <w:rFonts w:hint="eastAsia" w:ascii="仿宋_GB2312" w:hAnsi="仿宋_GB2312" w:eastAsia="仿宋_GB2312" w:cs="仿宋_GB2312"/>
                <w:color w:val="000000"/>
                <w:kern w:val="0"/>
                <w:sz w:val="20"/>
                <w:szCs w:val="20"/>
                <w:highlight w:val="none"/>
                <w:lang w:val="en-US" w:eastAsia="zh-CN"/>
              </w:rPr>
              <w:t>存储</w:t>
            </w:r>
            <w:r>
              <w:rPr>
                <w:rFonts w:hint="eastAsia" w:ascii="仿宋_GB2312" w:hAnsi="仿宋_GB2312" w:eastAsia="仿宋_GB2312" w:cs="仿宋_GB2312"/>
                <w:color w:val="000000"/>
                <w:kern w:val="0"/>
                <w:sz w:val="20"/>
                <w:szCs w:val="20"/>
                <w:highlight w:val="none"/>
              </w:rPr>
              <w:t>。</w:t>
            </w:r>
          </w:p>
        </w:tc>
        <w:tc>
          <w:tcPr>
            <w:tcW w:w="623" w:type="dxa"/>
            <w:noWrap w:val="0"/>
            <w:vAlign w:val="center"/>
          </w:tcPr>
          <w:p w14:paraId="22FA6127">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1C3F8213">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门禁系统正常得1分，监控正常得1分，监控记录存储时间达30天的得1分，不</w:t>
            </w:r>
            <w:r>
              <w:rPr>
                <w:rFonts w:hint="eastAsia" w:ascii="仿宋_GB2312" w:hAnsi="仿宋_GB2312" w:eastAsia="仿宋_GB2312" w:cs="仿宋_GB2312"/>
                <w:color w:val="000000"/>
                <w:kern w:val="0"/>
                <w:sz w:val="20"/>
                <w:szCs w:val="20"/>
                <w:highlight w:val="none"/>
              </w:rPr>
              <w:t>符合要求</w:t>
            </w:r>
            <w:r>
              <w:rPr>
                <w:rFonts w:hint="eastAsia" w:ascii="仿宋_GB2312" w:hAnsi="仿宋_GB2312" w:eastAsia="仿宋_GB2312" w:cs="仿宋_GB2312"/>
                <w:color w:val="000000"/>
                <w:kern w:val="0"/>
                <w:sz w:val="20"/>
                <w:szCs w:val="20"/>
                <w:highlight w:val="none"/>
                <w:lang w:val="en-US" w:eastAsia="zh-CN"/>
              </w:rPr>
              <w:t>每项扣0.5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199948F8">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7C7524D">
            <w:pPr>
              <w:spacing w:line="300" w:lineRule="atLeast"/>
              <w:rPr>
                <w:rFonts w:hint="eastAsia" w:ascii="仿宋_GB2312" w:hAnsi="仿宋_GB2312" w:eastAsia="仿宋_GB2312" w:cs="仿宋_GB2312"/>
                <w:color w:val="000000"/>
                <w:kern w:val="0"/>
                <w:sz w:val="20"/>
                <w:szCs w:val="20"/>
                <w:highlight w:val="none"/>
              </w:rPr>
            </w:pPr>
          </w:p>
        </w:tc>
      </w:tr>
      <w:tr w14:paraId="4C54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86" w:type="dxa"/>
            <w:vMerge w:val="continue"/>
            <w:noWrap w:val="0"/>
            <w:vAlign w:val="top"/>
          </w:tcPr>
          <w:p w14:paraId="2480ECEF">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6D070E54">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(四)消防系统</w:t>
            </w:r>
          </w:p>
        </w:tc>
        <w:tc>
          <w:tcPr>
            <w:tcW w:w="623" w:type="dxa"/>
            <w:noWrap w:val="0"/>
            <w:vAlign w:val="center"/>
          </w:tcPr>
          <w:p w14:paraId="21B1FDFA">
            <w:pPr>
              <w:spacing w:line="300" w:lineRule="atLeas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11</w:t>
            </w:r>
          </w:p>
        </w:tc>
        <w:tc>
          <w:tcPr>
            <w:tcW w:w="2752" w:type="dxa"/>
            <w:noWrap w:val="0"/>
            <w:vAlign w:val="center"/>
          </w:tcPr>
          <w:p w14:paraId="55D9DC62">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024F6EFA">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1AAE5456">
            <w:pPr>
              <w:spacing w:line="300" w:lineRule="atLeast"/>
              <w:rPr>
                <w:rFonts w:hint="eastAsia" w:ascii="仿宋_GB2312" w:hAnsi="仿宋_GB2312" w:eastAsia="仿宋_GB2312" w:cs="仿宋_GB2312"/>
                <w:b/>
                <w:bCs/>
                <w:color w:val="000000"/>
                <w:kern w:val="0"/>
                <w:sz w:val="20"/>
                <w:szCs w:val="20"/>
                <w:highlight w:val="none"/>
              </w:rPr>
            </w:pPr>
          </w:p>
        </w:tc>
      </w:tr>
      <w:tr w14:paraId="79FF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293B09CB">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D38B5FA">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1、消防监控中心24小时值班、消防系统设施设备齐全、完好无损，可随时起用。</w:t>
            </w:r>
            <w:r>
              <w:rPr>
                <w:rFonts w:hint="eastAsia" w:ascii="仿宋_GB2312" w:hAnsi="仿宋_GB2312" w:eastAsia="仿宋_GB2312" w:cs="仿宋_GB2312"/>
                <w:color w:val="000000"/>
                <w:kern w:val="0"/>
                <w:sz w:val="20"/>
                <w:szCs w:val="20"/>
                <w:highlight w:val="none"/>
                <w:lang w:val="en-US" w:eastAsia="zh-CN"/>
              </w:rPr>
              <w:t>懂</w:t>
            </w:r>
            <w:r>
              <w:rPr>
                <w:rFonts w:hint="eastAsia" w:ascii="仿宋_GB2312" w:hAnsi="仿宋_GB2312" w:eastAsia="仿宋_GB2312" w:cs="仿宋_GB2312"/>
                <w:color w:val="000000"/>
                <w:kern w:val="0"/>
                <w:sz w:val="20"/>
                <w:szCs w:val="20"/>
                <w:highlight w:val="none"/>
              </w:rPr>
              <w:t>消防</w:t>
            </w:r>
            <w:r>
              <w:rPr>
                <w:rFonts w:hint="eastAsia" w:ascii="仿宋_GB2312" w:hAnsi="仿宋_GB2312" w:eastAsia="仿宋_GB2312" w:cs="仿宋_GB2312"/>
                <w:color w:val="000000"/>
                <w:kern w:val="0"/>
                <w:sz w:val="20"/>
                <w:szCs w:val="20"/>
                <w:highlight w:val="none"/>
                <w:lang w:val="en-US" w:eastAsia="zh-CN"/>
              </w:rPr>
              <w:t>主机</w:t>
            </w:r>
            <w:r>
              <w:rPr>
                <w:rFonts w:hint="eastAsia" w:ascii="仿宋_GB2312" w:hAnsi="仿宋_GB2312" w:eastAsia="仿宋_GB2312" w:cs="仿宋_GB2312"/>
                <w:color w:val="000000"/>
                <w:kern w:val="0"/>
                <w:sz w:val="20"/>
                <w:szCs w:val="20"/>
                <w:highlight w:val="none"/>
              </w:rPr>
              <w:t>的</w:t>
            </w:r>
            <w:r>
              <w:rPr>
                <w:rFonts w:hint="eastAsia" w:ascii="仿宋_GB2312" w:hAnsi="仿宋_GB2312" w:eastAsia="仿宋_GB2312" w:cs="仿宋_GB2312"/>
                <w:color w:val="000000"/>
                <w:kern w:val="0"/>
                <w:sz w:val="20"/>
                <w:szCs w:val="20"/>
                <w:highlight w:val="none"/>
                <w:lang w:val="en-US" w:eastAsia="zh-CN"/>
              </w:rPr>
              <w:t>操作</w:t>
            </w:r>
            <w:r>
              <w:rPr>
                <w:rFonts w:hint="eastAsia" w:ascii="仿宋_GB2312" w:hAnsi="仿宋_GB2312" w:eastAsia="仿宋_GB2312" w:cs="仿宋_GB2312"/>
                <w:color w:val="000000"/>
                <w:kern w:val="0"/>
                <w:sz w:val="20"/>
                <w:szCs w:val="20"/>
                <w:highlight w:val="none"/>
              </w:rPr>
              <w:t>方法</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lang w:val="en-US" w:eastAsia="zh-CN"/>
              </w:rPr>
              <w:t>掌握处置火灾报警应急流程。</w:t>
            </w:r>
          </w:p>
        </w:tc>
        <w:tc>
          <w:tcPr>
            <w:tcW w:w="623" w:type="dxa"/>
            <w:noWrap w:val="0"/>
            <w:vAlign w:val="center"/>
          </w:tcPr>
          <w:p w14:paraId="2F56F4B5">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5</w:t>
            </w:r>
          </w:p>
        </w:tc>
        <w:tc>
          <w:tcPr>
            <w:tcW w:w="2752" w:type="dxa"/>
            <w:noWrap w:val="0"/>
            <w:vAlign w:val="center"/>
          </w:tcPr>
          <w:p w14:paraId="5FF8C9B2">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24小时值班得1分，消防、安防系统正常得1分，值班人员会操作懂应急流程得2分。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BE09C20">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467B4003">
            <w:pPr>
              <w:spacing w:line="300" w:lineRule="atLeast"/>
              <w:rPr>
                <w:rFonts w:hint="eastAsia" w:ascii="仿宋_GB2312" w:hAnsi="仿宋_GB2312" w:eastAsia="仿宋_GB2312" w:cs="仿宋_GB2312"/>
                <w:color w:val="000000"/>
                <w:kern w:val="0"/>
                <w:sz w:val="20"/>
                <w:szCs w:val="20"/>
                <w:highlight w:val="none"/>
              </w:rPr>
            </w:pPr>
          </w:p>
        </w:tc>
      </w:tr>
      <w:tr w14:paraId="09C5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786" w:type="dxa"/>
            <w:vMerge w:val="continue"/>
            <w:noWrap w:val="0"/>
            <w:vAlign w:val="top"/>
          </w:tcPr>
          <w:p w14:paraId="18113C71">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ADA5D03">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定期</w:t>
            </w:r>
            <w:r>
              <w:rPr>
                <w:rFonts w:hint="eastAsia" w:ascii="仿宋_GB2312" w:hAnsi="仿宋_GB2312" w:eastAsia="仿宋_GB2312" w:cs="仿宋_GB2312"/>
                <w:color w:val="000000"/>
                <w:kern w:val="0"/>
                <w:sz w:val="20"/>
                <w:szCs w:val="20"/>
                <w:highlight w:val="none"/>
              </w:rPr>
              <w:t>组织开展消防法规及消防知识的宣传教育</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lang w:val="en-US" w:eastAsia="zh-CN"/>
              </w:rPr>
              <w:t>每半年不低于1次。</w:t>
            </w:r>
          </w:p>
        </w:tc>
        <w:tc>
          <w:tcPr>
            <w:tcW w:w="623" w:type="dxa"/>
            <w:noWrap w:val="0"/>
            <w:vAlign w:val="center"/>
          </w:tcPr>
          <w:p w14:paraId="7DA033F0">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2</w:t>
            </w:r>
          </w:p>
        </w:tc>
        <w:tc>
          <w:tcPr>
            <w:tcW w:w="2752" w:type="dxa"/>
            <w:noWrap w:val="0"/>
            <w:vAlign w:val="center"/>
          </w:tcPr>
          <w:p w14:paraId="4F07DE43">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77354E99">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7E569DD2">
            <w:pPr>
              <w:spacing w:line="300" w:lineRule="atLeast"/>
              <w:rPr>
                <w:rFonts w:hint="eastAsia" w:ascii="仿宋_GB2312" w:hAnsi="仿宋_GB2312" w:eastAsia="仿宋_GB2312" w:cs="仿宋_GB2312"/>
                <w:color w:val="000000"/>
                <w:kern w:val="0"/>
                <w:sz w:val="20"/>
                <w:szCs w:val="20"/>
                <w:highlight w:val="none"/>
              </w:rPr>
            </w:pPr>
          </w:p>
        </w:tc>
      </w:tr>
      <w:tr w14:paraId="3CCF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7C5B9EE4">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40A7F7AF">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、订有突发火灾应急方案，</w:t>
            </w:r>
            <w:r>
              <w:rPr>
                <w:rFonts w:hint="eastAsia" w:ascii="仿宋_GB2312" w:hAnsi="仿宋_GB2312" w:eastAsia="仿宋_GB2312" w:cs="仿宋_GB2312"/>
                <w:color w:val="000000"/>
                <w:kern w:val="0"/>
                <w:sz w:val="20"/>
                <w:szCs w:val="20"/>
                <w:highlight w:val="none"/>
                <w:lang w:val="en-US" w:eastAsia="zh-CN"/>
              </w:rPr>
              <w:t>消防安全演练每年至少组织1次。</w:t>
            </w:r>
            <w:r>
              <w:rPr>
                <w:rFonts w:hint="eastAsia" w:ascii="仿宋_GB2312" w:hAnsi="仿宋_GB2312" w:eastAsia="仿宋_GB2312" w:cs="仿宋_GB2312"/>
                <w:color w:val="000000"/>
                <w:kern w:val="0"/>
                <w:sz w:val="20"/>
                <w:szCs w:val="20"/>
                <w:highlight w:val="none"/>
              </w:rPr>
              <w:t>在明显处设立消防疏散示意图</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照明设施、</w:t>
            </w:r>
            <w:r>
              <w:rPr>
                <w:rFonts w:hint="eastAsia" w:ascii="仿宋_GB2312" w:hAnsi="仿宋_GB2312" w:eastAsia="仿宋_GB2312" w:cs="仿宋_GB2312"/>
                <w:color w:val="000000"/>
                <w:kern w:val="0"/>
                <w:sz w:val="20"/>
                <w:szCs w:val="20"/>
                <w:highlight w:val="none"/>
                <w:lang w:val="en-US" w:eastAsia="zh-CN"/>
              </w:rPr>
              <w:t>指引</w:t>
            </w:r>
            <w:r>
              <w:rPr>
                <w:rFonts w:hint="eastAsia" w:ascii="仿宋_GB2312" w:hAnsi="仿宋_GB2312" w:eastAsia="仿宋_GB2312" w:cs="仿宋_GB2312"/>
                <w:color w:val="000000"/>
                <w:kern w:val="0"/>
                <w:sz w:val="20"/>
                <w:szCs w:val="20"/>
                <w:highlight w:val="none"/>
              </w:rPr>
              <w:t>标志完好，紧急疏散通道畅通无阻。</w:t>
            </w:r>
          </w:p>
        </w:tc>
        <w:tc>
          <w:tcPr>
            <w:tcW w:w="623" w:type="dxa"/>
            <w:noWrap w:val="0"/>
            <w:vAlign w:val="center"/>
          </w:tcPr>
          <w:p w14:paraId="0C9B0614">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2A7E4E87">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实施演练并有记录得2分，消防通道畅通得2分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的每项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73162227">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3D98475">
            <w:pPr>
              <w:spacing w:line="300" w:lineRule="atLeast"/>
              <w:rPr>
                <w:rFonts w:hint="eastAsia" w:ascii="仿宋_GB2312" w:hAnsi="仿宋_GB2312" w:eastAsia="仿宋_GB2312" w:cs="仿宋_GB2312"/>
                <w:color w:val="000000"/>
                <w:kern w:val="0"/>
                <w:sz w:val="20"/>
                <w:szCs w:val="20"/>
                <w:highlight w:val="none"/>
              </w:rPr>
            </w:pPr>
          </w:p>
        </w:tc>
      </w:tr>
      <w:tr w14:paraId="3668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86" w:type="dxa"/>
            <w:vMerge w:val="continue"/>
            <w:noWrap w:val="0"/>
            <w:vAlign w:val="top"/>
          </w:tcPr>
          <w:p w14:paraId="0D947FEA">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0C2E344B">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(五)电梯系统</w:t>
            </w:r>
          </w:p>
        </w:tc>
        <w:tc>
          <w:tcPr>
            <w:tcW w:w="623" w:type="dxa"/>
            <w:noWrap w:val="0"/>
            <w:vAlign w:val="center"/>
          </w:tcPr>
          <w:p w14:paraId="4B577D80">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9</w:t>
            </w:r>
          </w:p>
        </w:tc>
        <w:tc>
          <w:tcPr>
            <w:tcW w:w="2752" w:type="dxa"/>
            <w:noWrap w:val="0"/>
            <w:vAlign w:val="center"/>
          </w:tcPr>
          <w:p w14:paraId="61163E8C">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001B65C8">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01AD6839">
            <w:pPr>
              <w:spacing w:line="300" w:lineRule="atLeast"/>
              <w:rPr>
                <w:rFonts w:hint="eastAsia" w:ascii="仿宋_GB2312" w:hAnsi="仿宋_GB2312" w:eastAsia="仿宋_GB2312" w:cs="仿宋_GB2312"/>
                <w:b/>
                <w:bCs/>
                <w:color w:val="000000"/>
                <w:kern w:val="0"/>
                <w:sz w:val="20"/>
                <w:szCs w:val="20"/>
                <w:highlight w:val="none"/>
              </w:rPr>
            </w:pPr>
          </w:p>
        </w:tc>
      </w:tr>
      <w:tr w14:paraId="2CCD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786" w:type="dxa"/>
            <w:vMerge w:val="continue"/>
            <w:noWrap w:val="0"/>
            <w:vAlign w:val="top"/>
          </w:tcPr>
          <w:p w14:paraId="64EDC801">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77B7A55">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rPr>
              <w:t>1、电梯准用证、年检合格证、维修保养合同齐全</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lang w:val="en-US" w:eastAsia="zh-CN"/>
              </w:rPr>
              <w:t>电梯运行安全规范。</w:t>
            </w:r>
          </w:p>
        </w:tc>
        <w:tc>
          <w:tcPr>
            <w:tcW w:w="623" w:type="dxa"/>
            <w:noWrap w:val="0"/>
            <w:vAlign w:val="center"/>
          </w:tcPr>
          <w:p w14:paraId="107A137B">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6FBB43FF">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年检合格有效、维保合同有效得2分，电梯运行平稳得1分。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5F67E6F9">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ACEF462">
            <w:pPr>
              <w:spacing w:line="300" w:lineRule="atLeast"/>
              <w:rPr>
                <w:rFonts w:hint="eastAsia" w:ascii="仿宋_GB2312" w:hAnsi="仿宋_GB2312" w:eastAsia="仿宋_GB2312" w:cs="仿宋_GB2312"/>
                <w:color w:val="000000"/>
                <w:kern w:val="0"/>
                <w:sz w:val="20"/>
                <w:szCs w:val="20"/>
                <w:highlight w:val="none"/>
              </w:rPr>
            </w:pPr>
          </w:p>
        </w:tc>
      </w:tr>
      <w:tr w14:paraId="712D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71560E5A">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39E61D2E">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2、电梯运行安全</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通风、照明及附属设施完好，轿厢、井道、机房保持整洁。</w:t>
            </w:r>
          </w:p>
        </w:tc>
        <w:tc>
          <w:tcPr>
            <w:tcW w:w="623" w:type="dxa"/>
            <w:noWrap w:val="0"/>
            <w:vAlign w:val="center"/>
          </w:tcPr>
          <w:p w14:paraId="0829CFB0">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2</w:t>
            </w:r>
          </w:p>
        </w:tc>
        <w:tc>
          <w:tcPr>
            <w:tcW w:w="2752" w:type="dxa"/>
            <w:noWrap w:val="0"/>
            <w:vAlign w:val="center"/>
          </w:tcPr>
          <w:p w14:paraId="10E5DCF2">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93FB945">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1FFBA56">
            <w:pPr>
              <w:spacing w:line="300" w:lineRule="atLeast"/>
              <w:rPr>
                <w:rFonts w:hint="eastAsia" w:ascii="仿宋_GB2312" w:hAnsi="仿宋_GB2312" w:eastAsia="仿宋_GB2312" w:cs="仿宋_GB2312"/>
                <w:color w:val="000000"/>
                <w:kern w:val="0"/>
                <w:sz w:val="20"/>
                <w:szCs w:val="20"/>
                <w:highlight w:val="none"/>
              </w:rPr>
            </w:pPr>
          </w:p>
        </w:tc>
      </w:tr>
      <w:tr w14:paraId="42DD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786" w:type="dxa"/>
            <w:vMerge w:val="continue"/>
            <w:noWrap w:val="0"/>
            <w:vAlign w:val="top"/>
          </w:tcPr>
          <w:p w14:paraId="060A3656">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68335F2">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、电梯由专业队伍维修保养；维修、操作人员持证上岗。</w:t>
            </w:r>
            <w:r>
              <w:rPr>
                <w:rFonts w:hint="eastAsia" w:ascii="仿宋_GB2312" w:hAnsi="仿宋_GB2312" w:eastAsia="仿宋_GB2312" w:cs="仿宋_GB2312"/>
                <w:color w:val="000000"/>
                <w:kern w:val="0"/>
                <w:sz w:val="20"/>
                <w:szCs w:val="20"/>
                <w:highlight w:val="none"/>
                <w:lang w:val="en-US" w:eastAsia="zh-CN"/>
              </w:rPr>
              <w:t>电梯出现困人电梯管理员10分钟到场救援，</w:t>
            </w:r>
            <w:r>
              <w:rPr>
                <w:rFonts w:hint="eastAsia" w:ascii="仿宋_GB2312" w:hAnsi="仿宋_GB2312" w:eastAsia="仿宋_GB2312" w:cs="仿宋_GB2312"/>
                <w:color w:val="000000"/>
                <w:kern w:val="0"/>
                <w:sz w:val="20"/>
                <w:szCs w:val="20"/>
                <w:highlight w:val="none"/>
              </w:rPr>
              <w:t>运行出现故障，维修人员</w:t>
            </w:r>
            <w:r>
              <w:rPr>
                <w:rFonts w:hint="eastAsia" w:ascii="仿宋_GB2312" w:hAnsi="仿宋_GB2312" w:eastAsia="仿宋_GB2312" w:cs="仿宋_GB2312"/>
                <w:color w:val="000000"/>
                <w:kern w:val="0"/>
                <w:sz w:val="20"/>
                <w:szCs w:val="20"/>
                <w:highlight w:val="none"/>
                <w:lang w:val="en-US" w:eastAsia="zh-CN"/>
              </w:rPr>
              <w:t>1小时</w:t>
            </w:r>
            <w:r>
              <w:rPr>
                <w:rFonts w:hint="eastAsia" w:ascii="仿宋_GB2312" w:hAnsi="仿宋_GB2312" w:eastAsia="仿宋_GB2312" w:cs="仿宋_GB2312"/>
                <w:color w:val="000000"/>
                <w:kern w:val="0"/>
                <w:sz w:val="20"/>
                <w:szCs w:val="20"/>
                <w:highlight w:val="none"/>
              </w:rPr>
              <w:t>内到场维修。</w:t>
            </w:r>
          </w:p>
        </w:tc>
        <w:tc>
          <w:tcPr>
            <w:tcW w:w="623" w:type="dxa"/>
            <w:noWrap w:val="0"/>
            <w:vAlign w:val="center"/>
          </w:tcPr>
          <w:p w14:paraId="09689FD1">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4C023FC7">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有专业维保队伍，持证规范得2分，电梯困人或故障处理及时得当</w:t>
            </w:r>
            <w:r>
              <w:rPr>
                <w:rFonts w:hint="eastAsia" w:ascii="仿宋_GB2312" w:hAnsi="仿宋_GB2312" w:eastAsia="仿宋_GB2312" w:cs="仿宋_GB2312"/>
                <w:color w:val="000000"/>
                <w:kern w:val="0"/>
                <w:sz w:val="20"/>
                <w:szCs w:val="20"/>
                <w:highlight w:val="none"/>
              </w:rPr>
              <w:t>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42BF5F89">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4141F069">
            <w:pPr>
              <w:spacing w:line="300" w:lineRule="atLeast"/>
              <w:rPr>
                <w:rFonts w:hint="eastAsia" w:ascii="仿宋_GB2312" w:hAnsi="仿宋_GB2312" w:eastAsia="仿宋_GB2312" w:cs="仿宋_GB2312"/>
                <w:color w:val="000000"/>
                <w:kern w:val="0"/>
                <w:sz w:val="20"/>
                <w:szCs w:val="20"/>
                <w:highlight w:val="none"/>
              </w:rPr>
            </w:pPr>
          </w:p>
        </w:tc>
      </w:tr>
      <w:tr w14:paraId="7754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86" w:type="dxa"/>
            <w:vMerge w:val="continue"/>
            <w:noWrap w:val="0"/>
            <w:vAlign w:val="top"/>
          </w:tcPr>
          <w:p w14:paraId="65722060">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2756FDE">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(六)给</w:t>
            </w:r>
            <w:r>
              <w:rPr>
                <w:rFonts w:hint="eastAsia" w:ascii="仿宋_GB2312" w:hAnsi="仿宋_GB2312" w:eastAsia="仿宋_GB2312" w:cs="仿宋_GB2312"/>
                <w:b/>
                <w:bCs/>
                <w:color w:val="000000"/>
                <w:kern w:val="0"/>
                <w:sz w:val="20"/>
                <w:szCs w:val="20"/>
                <w:highlight w:val="none"/>
                <w:lang w:eastAsia="zh-CN"/>
              </w:rPr>
              <w:t>、</w:t>
            </w:r>
            <w:r>
              <w:rPr>
                <w:rFonts w:hint="eastAsia" w:ascii="仿宋_GB2312" w:hAnsi="仿宋_GB2312" w:eastAsia="仿宋_GB2312" w:cs="仿宋_GB2312"/>
                <w:b/>
                <w:bCs/>
                <w:color w:val="000000"/>
                <w:kern w:val="0"/>
                <w:sz w:val="20"/>
                <w:szCs w:val="20"/>
                <w:highlight w:val="none"/>
              </w:rPr>
              <w:t>排水系统</w:t>
            </w:r>
          </w:p>
        </w:tc>
        <w:tc>
          <w:tcPr>
            <w:tcW w:w="623" w:type="dxa"/>
            <w:noWrap w:val="0"/>
            <w:vAlign w:val="center"/>
          </w:tcPr>
          <w:p w14:paraId="21D1CCA7">
            <w:pPr>
              <w:spacing w:line="300" w:lineRule="atLeas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11</w:t>
            </w:r>
          </w:p>
        </w:tc>
        <w:tc>
          <w:tcPr>
            <w:tcW w:w="2752" w:type="dxa"/>
            <w:noWrap w:val="0"/>
            <w:vAlign w:val="center"/>
          </w:tcPr>
          <w:p w14:paraId="636C6C79">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33C83213">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5EEEFB07">
            <w:pPr>
              <w:spacing w:line="300" w:lineRule="atLeast"/>
              <w:rPr>
                <w:rFonts w:hint="eastAsia" w:ascii="仿宋_GB2312" w:hAnsi="仿宋_GB2312" w:eastAsia="仿宋_GB2312" w:cs="仿宋_GB2312"/>
                <w:b/>
                <w:bCs/>
                <w:color w:val="000000"/>
                <w:kern w:val="0"/>
                <w:sz w:val="20"/>
                <w:szCs w:val="20"/>
                <w:highlight w:val="none"/>
              </w:rPr>
            </w:pPr>
          </w:p>
        </w:tc>
      </w:tr>
      <w:tr w14:paraId="1015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86" w:type="dxa"/>
            <w:vMerge w:val="continue"/>
            <w:noWrap w:val="0"/>
            <w:vAlign w:val="top"/>
          </w:tcPr>
          <w:p w14:paraId="3FC98C94">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11F9B34">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1、建立</w:t>
            </w:r>
            <w:r>
              <w:rPr>
                <w:rFonts w:hint="eastAsia" w:ascii="仿宋_GB2312" w:hAnsi="仿宋_GB2312" w:eastAsia="仿宋_GB2312" w:cs="仿宋_GB2312"/>
                <w:color w:val="000000"/>
                <w:kern w:val="0"/>
                <w:sz w:val="20"/>
                <w:szCs w:val="20"/>
                <w:highlight w:val="none"/>
                <w:lang w:val="en-US" w:eastAsia="zh-CN"/>
              </w:rPr>
              <w:t>水泵房</w:t>
            </w:r>
            <w:r>
              <w:rPr>
                <w:rFonts w:hint="eastAsia" w:ascii="仿宋_GB2312" w:hAnsi="仿宋_GB2312" w:eastAsia="仿宋_GB2312" w:cs="仿宋_GB2312"/>
                <w:color w:val="000000"/>
                <w:kern w:val="0"/>
                <w:sz w:val="20"/>
                <w:szCs w:val="20"/>
                <w:highlight w:val="none"/>
              </w:rPr>
              <w:t>管理制度</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rPr>
              <w:t>设备</w:t>
            </w:r>
            <w:r>
              <w:rPr>
                <w:rFonts w:hint="eastAsia" w:ascii="仿宋_GB2312" w:hAnsi="仿宋_GB2312" w:eastAsia="仿宋_GB2312" w:cs="仿宋_GB2312"/>
                <w:color w:val="000000"/>
                <w:kern w:val="0"/>
                <w:sz w:val="20"/>
                <w:szCs w:val="20"/>
                <w:highlight w:val="none"/>
                <w:lang w:val="en-US" w:eastAsia="zh-CN"/>
              </w:rPr>
              <w:t>运行</w:t>
            </w:r>
            <w:r>
              <w:rPr>
                <w:rFonts w:hint="eastAsia" w:ascii="仿宋_GB2312" w:hAnsi="仿宋_GB2312" w:eastAsia="仿宋_GB2312" w:cs="仿宋_GB2312"/>
                <w:color w:val="000000"/>
                <w:kern w:val="0"/>
                <w:sz w:val="20"/>
                <w:szCs w:val="20"/>
                <w:highlight w:val="none"/>
              </w:rPr>
              <w:t>正常、</w:t>
            </w:r>
            <w:r>
              <w:rPr>
                <w:rFonts w:hint="eastAsia" w:ascii="仿宋_GB2312" w:hAnsi="仿宋_GB2312" w:eastAsia="仿宋_GB2312" w:cs="仿宋_GB2312"/>
                <w:color w:val="000000"/>
                <w:kern w:val="0"/>
                <w:sz w:val="20"/>
                <w:szCs w:val="20"/>
                <w:highlight w:val="none"/>
                <w:lang w:val="en-US" w:eastAsia="zh-CN"/>
              </w:rPr>
              <w:t>发现</w:t>
            </w:r>
            <w:r>
              <w:rPr>
                <w:rFonts w:hint="eastAsia" w:ascii="仿宋_GB2312" w:hAnsi="仿宋_GB2312" w:eastAsia="仿宋_GB2312" w:cs="仿宋_GB2312"/>
                <w:color w:val="000000"/>
                <w:kern w:val="0"/>
                <w:sz w:val="20"/>
                <w:szCs w:val="20"/>
                <w:highlight w:val="none"/>
              </w:rPr>
              <w:t>跑冒滴漏现象</w:t>
            </w:r>
            <w:r>
              <w:rPr>
                <w:rFonts w:hint="eastAsia" w:ascii="仿宋_GB2312" w:hAnsi="仿宋_GB2312" w:eastAsia="仿宋_GB2312" w:cs="仿宋_GB2312"/>
                <w:color w:val="000000"/>
                <w:kern w:val="0"/>
                <w:sz w:val="20"/>
                <w:szCs w:val="20"/>
                <w:highlight w:val="none"/>
                <w:lang w:val="en-US" w:eastAsia="zh-CN"/>
              </w:rPr>
              <w:t>及时维修</w:t>
            </w:r>
            <w:r>
              <w:rPr>
                <w:rFonts w:hint="eastAsia" w:ascii="仿宋_GB2312" w:hAnsi="仿宋_GB2312" w:eastAsia="仿宋_GB2312" w:cs="仿宋_GB2312"/>
                <w:color w:val="000000"/>
                <w:kern w:val="0"/>
                <w:sz w:val="20"/>
                <w:szCs w:val="20"/>
                <w:highlight w:val="none"/>
              </w:rPr>
              <w:t>。停水</w:t>
            </w:r>
            <w:r>
              <w:rPr>
                <w:rFonts w:hint="eastAsia" w:ascii="仿宋_GB2312" w:hAnsi="仿宋_GB2312" w:eastAsia="仿宋_GB2312" w:cs="仿宋_GB2312"/>
                <w:color w:val="000000"/>
                <w:kern w:val="0"/>
                <w:sz w:val="20"/>
                <w:szCs w:val="20"/>
                <w:highlight w:val="none"/>
                <w:lang w:val="en-US" w:eastAsia="zh-CN"/>
              </w:rPr>
              <w:t>及时</w:t>
            </w:r>
            <w:r>
              <w:rPr>
                <w:rFonts w:hint="eastAsia" w:ascii="仿宋_GB2312" w:hAnsi="仿宋_GB2312" w:eastAsia="仿宋_GB2312" w:cs="仿宋_GB2312"/>
                <w:color w:val="000000"/>
                <w:kern w:val="0"/>
                <w:sz w:val="20"/>
                <w:szCs w:val="20"/>
                <w:highlight w:val="none"/>
              </w:rPr>
              <w:t>通知业主和使用人。</w:t>
            </w:r>
          </w:p>
        </w:tc>
        <w:tc>
          <w:tcPr>
            <w:tcW w:w="623" w:type="dxa"/>
            <w:noWrap w:val="0"/>
            <w:vAlign w:val="center"/>
          </w:tcPr>
          <w:p w14:paraId="608166E8">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5E9B6714">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5128796A">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291B5ABD">
            <w:pPr>
              <w:spacing w:line="300" w:lineRule="atLeast"/>
              <w:rPr>
                <w:rFonts w:hint="eastAsia" w:ascii="仿宋_GB2312" w:hAnsi="仿宋_GB2312" w:eastAsia="仿宋_GB2312" w:cs="仿宋_GB2312"/>
                <w:color w:val="000000"/>
                <w:kern w:val="0"/>
                <w:sz w:val="20"/>
                <w:szCs w:val="20"/>
                <w:highlight w:val="none"/>
              </w:rPr>
            </w:pPr>
          </w:p>
        </w:tc>
      </w:tr>
      <w:tr w14:paraId="794D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786" w:type="dxa"/>
            <w:vMerge w:val="continue"/>
            <w:noWrap w:val="0"/>
            <w:vAlign w:val="top"/>
          </w:tcPr>
          <w:p w14:paraId="50FA9DFE">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41400134">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w:t>
            </w:r>
            <w:r>
              <w:rPr>
                <w:rFonts w:hint="eastAsia" w:ascii="仿宋_GB2312" w:hAnsi="仿宋_GB2312" w:eastAsia="仿宋_GB2312" w:cs="仿宋_GB2312"/>
                <w:color w:val="000000"/>
                <w:kern w:val="0"/>
                <w:sz w:val="20"/>
                <w:szCs w:val="20"/>
                <w:highlight w:val="none"/>
                <w:lang w:val="en-US" w:eastAsia="zh-CN"/>
              </w:rPr>
              <w:t>每半年清洗一次生活水箱，</w:t>
            </w:r>
            <w:r>
              <w:rPr>
                <w:rFonts w:hint="eastAsia" w:ascii="仿宋_GB2312" w:hAnsi="仿宋_GB2312" w:eastAsia="仿宋_GB2312" w:cs="仿宋_GB2312"/>
                <w:color w:val="000000"/>
                <w:kern w:val="0"/>
                <w:sz w:val="20"/>
                <w:szCs w:val="20"/>
                <w:highlight w:val="none"/>
              </w:rPr>
              <w:t>水泵、水箱</w:t>
            </w:r>
            <w:r>
              <w:rPr>
                <w:rFonts w:hint="eastAsia" w:ascii="仿宋_GB2312" w:hAnsi="仿宋_GB2312" w:eastAsia="仿宋_GB2312" w:cs="仿宋_GB2312"/>
                <w:color w:val="000000"/>
                <w:kern w:val="0"/>
                <w:sz w:val="20"/>
                <w:szCs w:val="20"/>
                <w:highlight w:val="none"/>
                <w:lang w:val="en-US" w:eastAsia="zh-CN"/>
              </w:rPr>
              <w:t>规范</w:t>
            </w:r>
            <w:r>
              <w:rPr>
                <w:rFonts w:hint="eastAsia" w:ascii="仿宋_GB2312" w:hAnsi="仿宋_GB2312" w:eastAsia="仿宋_GB2312" w:cs="仿宋_GB2312"/>
                <w:color w:val="000000"/>
                <w:kern w:val="0"/>
                <w:sz w:val="20"/>
                <w:szCs w:val="20"/>
                <w:highlight w:val="none"/>
              </w:rPr>
              <w:t>管理措施，水箱周围无污染隐患。</w:t>
            </w:r>
          </w:p>
        </w:tc>
        <w:tc>
          <w:tcPr>
            <w:tcW w:w="623" w:type="dxa"/>
            <w:noWrap w:val="0"/>
            <w:vAlign w:val="center"/>
          </w:tcPr>
          <w:p w14:paraId="47E2980E">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10A567B4">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水箱按期清洗得2分，泵房管理规范得2分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9CDE0C6">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058AFF76">
            <w:pPr>
              <w:spacing w:line="300" w:lineRule="atLeast"/>
              <w:rPr>
                <w:rFonts w:hint="eastAsia" w:ascii="仿宋_GB2312" w:hAnsi="仿宋_GB2312" w:eastAsia="仿宋_GB2312" w:cs="仿宋_GB2312"/>
                <w:color w:val="000000"/>
                <w:kern w:val="0"/>
                <w:sz w:val="20"/>
                <w:szCs w:val="20"/>
                <w:highlight w:val="none"/>
              </w:rPr>
            </w:pPr>
          </w:p>
        </w:tc>
      </w:tr>
      <w:tr w14:paraId="2FDD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0A91D298">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0BDDA71B">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、排水系统通畅，汛期道路无</w:t>
            </w:r>
            <w:r>
              <w:rPr>
                <w:rFonts w:hint="eastAsia" w:ascii="仿宋_GB2312" w:hAnsi="仿宋_GB2312" w:eastAsia="仿宋_GB2312" w:cs="仿宋_GB2312"/>
                <w:color w:val="000000"/>
                <w:kern w:val="0"/>
                <w:sz w:val="20"/>
                <w:szCs w:val="20"/>
                <w:highlight w:val="none"/>
                <w:lang w:val="en-US" w:eastAsia="zh-CN"/>
              </w:rPr>
              <w:t>大量</w:t>
            </w:r>
            <w:r>
              <w:rPr>
                <w:rFonts w:hint="eastAsia" w:ascii="仿宋_GB2312" w:hAnsi="仿宋_GB2312" w:eastAsia="仿宋_GB2312" w:cs="仿宋_GB2312"/>
                <w:color w:val="000000"/>
                <w:kern w:val="0"/>
                <w:sz w:val="20"/>
                <w:szCs w:val="20"/>
                <w:highlight w:val="none"/>
              </w:rPr>
              <w:t>积水，地下室、车库、设备房无浸</w:t>
            </w:r>
            <w:r>
              <w:rPr>
                <w:rFonts w:hint="eastAsia" w:ascii="仿宋_GB2312" w:hAnsi="仿宋_GB2312" w:eastAsia="仿宋_GB2312" w:cs="仿宋_GB2312"/>
                <w:color w:val="000000"/>
                <w:kern w:val="0"/>
                <w:sz w:val="20"/>
                <w:szCs w:val="20"/>
                <w:highlight w:val="none"/>
                <w:lang w:val="en-US" w:eastAsia="zh-CN"/>
              </w:rPr>
              <w:t>水事件</w:t>
            </w:r>
            <w:r>
              <w:rPr>
                <w:rFonts w:hint="eastAsia" w:ascii="仿宋_GB2312" w:hAnsi="仿宋_GB2312" w:eastAsia="仿宋_GB2312" w:cs="仿宋_GB2312"/>
                <w:color w:val="000000"/>
                <w:kern w:val="0"/>
                <w:sz w:val="20"/>
                <w:szCs w:val="20"/>
                <w:highlight w:val="none"/>
              </w:rPr>
              <w:t>发生。</w:t>
            </w:r>
          </w:p>
        </w:tc>
        <w:tc>
          <w:tcPr>
            <w:tcW w:w="623" w:type="dxa"/>
            <w:noWrap w:val="0"/>
            <w:vAlign w:val="center"/>
          </w:tcPr>
          <w:p w14:paraId="2A4A4B82">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31E324A2">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4</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9615423">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02E23555">
            <w:pPr>
              <w:spacing w:line="300" w:lineRule="atLeast"/>
              <w:rPr>
                <w:rFonts w:hint="eastAsia" w:ascii="仿宋_GB2312" w:hAnsi="仿宋_GB2312" w:eastAsia="仿宋_GB2312" w:cs="仿宋_GB2312"/>
                <w:color w:val="000000"/>
                <w:kern w:val="0"/>
                <w:sz w:val="20"/>
                <w:szCs w:val="20"/>
                <w:highlight w:val="none"/>
              </w:rPr>
            </w:pPr>
          </w:p>
        </w:tc>
      </w:tr>
      <w:tr w14:paraId="2332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86" w:type="dxa"/>
            <w:vMerge w:val="continue"/>
            <w:noWrap w:val="0"/>
            <w:vAlign w:val="top"/>
          </w:tcPr>
          <w:p w14:paraId="3B696DA7">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73E4F5E4">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(七)空调系统</w:t>
            </w:r>
          </w:p>
        </w:tc>
        <w:tc>
          <w:tcPr>
            <w:tcW w:w="623" w:type="dxa"/>
            <w:noWrap w:val="0"/>
            <w:vAlign w:val="center"/>
          </w:tcPr>
          <w:p w14:paraId="473AE41D">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6</w:t>
            </w:r>
          </w:p>
        </w:tc>
        <w:tc>
          <w:tcPr>
            <w:tcW w:w="2752" w:type="dxa"/>
            <w:noWrap w:val="0"/>
            <w:vAlign w:val="center"/>
          </w:tcPr>
          <w:p w14:paraId="0A4AA66C">
            <w:pPr>
              <w:spacing w:line="300" w:lineRule="atLeast"/>
              <w:rPr>
                <w:rFonts w:hint="eastAsia" w:ascii="仿宋_GB2312" w:hAnsi="仿宋_GB2312" w:eastAsia="仿宋_GB2312" w:cs="仿宋_GB2312"/>
                <w:b/>
                <w:bCs/>
                <w:color w:val="000000"/>
                <w:kern w:val="0"/>
                <w:sz w:val="20"/>
                <w:szCs w:val="20"/>
                <w:highlight w:val="none"/>
              </w:rPr>
            </w:pPr>
          </w:p>
        </w:tc>
        <w:tc>
          <w:tcPr>
            <w:tcW w:w="1193" w:type="dxa"/>
            <w:noWrap w:val="0"/>
            <w:vAlign w:val="center"/>
          </w:tcPr>
          <w:p w14:paraId="0E8DE823">
            <w:pPr>
              <w:spacing w:line="300" w:lineRule="atLeast"/>
              <w:rPr>
                <w:rFonts w:hint="eastAsia" w:ascii="仿宋_GB2312" w:hAnsi="仿宋_GB2312" w:eastAsia="仿宋_GB2312" w:cs="仿宋_GB2312"/>
                <w:b/>
                <w:bCs/>
                <w:color w:val="000000"/>
                <w:kern w:val="0"/>
                <w:sz w:val="20"/>
                <w:szCs w:val="20"/>
                <w:highlight w:val="none"/>
              </w:rPr>
            </w:pPr>
          </w:p>
        </w:tc>
        <w:tc>
          <w:tcPr>
            <w:tcW w:w="1529" w:type="dxa"/>
            <w:noWrap w:val="0"/>
            <w:vAlign w:val="center"/>
          </w:tcPr>
          <w:p w14:paraId="4D9922D9">
            <w:pPr>
              <w:spacing w:line="300" w:lineRule="atLeast"/>
              <w:rPr>
                <w:rFonts w:hint="eastAsia" w:ascii="仿宋_GB2312" w:hAnsi="仿宋_GB2312" w:eastAsia="仿宋_GB2312" w:cs="仿宋_GB2312"/>
                <w:b/>
                <w:bCs/>
                <w:color w:val="000000"/>
                <w:kern w:val="0"/>
                <w:sz w:val="20"/>
                <w:szCs w:val="20"/>
                <w:highlight w:val="none"/>
              </w:rPr>
            </w:pPr>
          </w:p>
        </w:tc>
      </w:tr>
      <w:tr w14:paraId="3484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6" w:type="dxa"/>
            <w:vMerge w:val="continue"/>
            <w:noWrap w:val="0"/>
            <w:vAlign w:val="top"/>
          </w:tcPr>
          <w:p w14:paraId="52F56846">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A2CABDA">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1、空调系统运行正常，无严重滴漏水现象。</w:t>
            </w:r>
            <w:r>
              <w:rPr>
                <w:rFonts w:hint="eastAsia" w:ascii="仿宋_GB2312" w:hAnsi="仿宋_GB2312" w:eastAsia="仿宋_GB2312" w:cs="仿宋_GB2312"/>
                <w:color w:val="000000"/>
                <w:kern w:val="0"/>
                <w:sz w:val="20"/>
                <w:szCs w:val="20"/>
                <w:highlight w:val="none"/>
                <w:lang w:val="en-US" w:eastAsia="zh-CN"/>
              </w:rPr>
              <w:t>制冷、供暖结束后，对空调系统通进行维护保养</w:t>
            </w:r>
            <w:r>
              <w:rPr>
                <w:rFonts w:hint="eastAsia" w:ascii="仿宋_GB2312" w:hAnsi="仿宋_GB2312" w:eastAsia="仿宋_GB2312" w:cs="仿宋_GB2312"/>
                <w:color w:val="000000"/>
                <w:kern w:val="0"/>
                <w:sz w:val="20"/>
                <w:szCs w:val="20"/>
                <w:highlight w:val="none"/>
              </w:rPr>
              <w:t>。空调系统出现运行故障后，维修人员在规定时间内到达现场维修。</w:t>
            </w:r>
          </w:p>
        </w:tc>
        <w:tc>
          <w:tcPr>
            <w:tcW w:w="623" w:type="dxa"/>
            <w:noWrap w:val="0"/>
            <w:vAlign w:val="center"/>
          </w:tcPr>
          <w:p w14:paraId="5AA01887">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6</w:t>
            </w:r>
          </w:p>
        </w:tc>
        <w:tc>
          <w:tcPr>
            <w:tcW w:w="2752" w:type="dxa"/>
            <w:noWrap w:val="0"/>
            <w:vAlign w:val="center"/>
          </w:tcPr>
          <w:p w14:paraId="779DB65C">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维保运行正常得3分</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故障处置及时得当得3分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3F1C0A2C">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6F0C3C81">
            <w:pPr>
              <w:spacing w:line="300" w:lineRule="atLeast"/>
              <w:rPr>
                <w:rFonts w:hint="eastAsia" w:ascii="仿宋_GB2312" w:hAnsi="仿宋_GB2312" w:eastAsia="仿宋_GB2312" w:cs="仿宋_GB2312"/>
                <w:color w:val="000000"/>
                <w:kern w:val="0"/>
                <w:sz w:val="20"/>
                <w:szCs w:val="20"/>
                <w:highlight w:val="none"/>
              </w:rPr>
            </w:pPr>
          </w:p>
        </w:tc>
      </w:tr>
      <w:tr w14:paraId="7E32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86" w:type="dxa"/>
            <w:vMerge w:val="restart"/>
            <w:shd w:val="clear" w:color="auto" w:fill="auto"/>
            <w:noWrap w:val="0"/>
            <w:vAlign w:val="center"/>
          </w:tcPr>
          <w:p w14:paraId="7E7CF5EE">
            <w:pPr>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四</w:t>
            </w:r>
          </w:p>
        </w:tc>
        <w:tc>
          <w:tcPr>
            <w:tcW w:w="2544" w:type="dxa"/>
            <w:shd w:val="clear" w:color="auto" w:fill="D9D9D9"/>
            <w:noWrap w:val="0"/>
            <w:vAlign w:val="center"/>
          </w:tcPr>
          <w:p w14:paraId="4ED0B763">
            <w:pPr>
              <w:spacing w:line="300" w:lineRule="atLeast"/>
              <w:jc w:val="both"/>
              <w:rPr>
                <w:rFonts w:hint="eastAsia" w:ascii="仿宋_GB2312" w:hAnsi="仿宋_GB2312" w:eastAsia="仿宋_GB2312" w:cs="仿宋_GB2312"/>
                <w:b/>
                <w:bCs/>
                <w:color w:val="000000"/>
                <w:kern w:val="0"/>
                <w:sz w:val="20"/>
                <w:szCs w:val="20"/>
                <w:highlight w:val="none"/>
                <w:lang w:val="en-US"/>
              </w:rPr>
            </w:pPr>
            <w:r>
              <w:rPr>
                <w:rFonts w:hint="eastAsia" w:ascii="仿宋_GB2312" w:hAnsi="仿宋_GB2312" w:eastAsia="仿宋_GB2312" w:cs="仿宋_GB2312"/>
                <w:b/>
                <w:bCs/>
                <w:color w:val="000000"/>
                <w:kern w:val="0"/>
                <w:sz w:val="20"/>
                <w:szCs w:val="20"/>
                <w:highlight w:val="none"/>
                <w:lang w:val="en-US" w:eastAsia="zh-CN"/>
              </w:rPr>
              <w:t>公共秩序维护安全管理</w:t>
            </w:r>
          </w:p>
        </w:tc>
        <w:tc>
          <w:tcPr>
            <w:tcW w:w="623" w:type="dxa"/>
            <w:shd w:val="clear" w:color="auto" w:fill="D9D9D9"/>
            <w:noWrap w:val="0"/>
            <w:vAlign w:val="center"/>
          </w:tcPr>
          <w:p w14:paraId="0C312D80">
            <w:pPr>
              <w:spacing w:line="300" w:lineRule="atLeas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14</w:t>
            </w:r>
          </w:p>
        </w:tc>
        <w:tc>
          <w:tcPr>
            <w:tcW w:w="2752" w:type="dxa"/>
            <w:shd w:val="clear" w:color="auto" w:fill="D9D9D9"/>
            <w:noWrap w:val="0"/>
            <w:vAlign w:val="center"/>
          </w:tcPr>
          <w:p w14:paraId="295972AB">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4426AFE4">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6BCDFDBD">
            <w:pPr>
              <w:spacing w:line="300" w:lineRule="atLeast"/>
              <w:rPr>
                <w:rFonts w:hint="eastAsia" w:ascii="仿宋_GB2312" w:hAnsi="仿宋_GB2312" w:eastAsia="仿宋_GB2312" w:cs="仿宋_GB2312"/>
                <w:b/>
                <w:bCs/>
                <w:color w:val="000000"/>
                <w:kern w:val="0"/>
                <w:sz w:val="20"/>
                <w:szCs w:val="20"/>
                <w:highlight w:val="none"/>
              </w:rPr>
            </w:pPr>
          </w:p>
        </w:tc>
      </w:tr>
      <w:tr w14:paraId="07FD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153FE91F">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68E0B4F5">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w:t>
            </w:r>
            <w:r>
              <w:rPr>
                <w:rFonts w:hint="eastAsia" w:ascii="仿宋_GB2312" w:hAnsi="仿宋_GB2312" w:eastAsia="仿宋_GB2312" w:cs="仿宋_GB2312"/>
                <w:color w:val="000000"/>
                <w:kern w:val="0"/>
                <w:sz w:val="20"/>
                <w:szCs w:val="20"/>
                <w:highlight w:val="none"/>
                <w:lang w:val="en-US" w:eastAsia="zh-CN"/>
              </w:rPr>
              <w:t>配备</w:t>
            </w:r>
            <w:r>
              <w:rPr>
                <w:rFonts w:hint="eastAsia" w:ascii="仿宋_GB2312" w:hAnsi="仿宋_GB2312" w:eastAsia="仿宋_GB2312" w:cs="仿宋_GB2312"/>
                <w:color w:val="000000"/>
                <w:kern w:val="0"/>
                <w:sz w:val="20"/>
                <w:szCs w:val="20"/>
                <w:highlight w:val="none"/>
              </w:rPr>
              <w:t>专业</w:t>
            </w:r>
            <w:r>
              <w:rPr>
                <w:rFonts w:hint="eastAsia" w:ascii="仿宋_GB2312" w:hAnsi="仿宋_GB2312" w:eastAsia="仿宋_GB2312" w:cs="仿宋_GB2312"/>
                <w:color w:val="000000"/>
                <w:kern w:val="0"/>
                <w:sz w:val="20"/>
                <w:szCs w:val="20"/>
                <w:highlight w:val="none"/>
                <w:lang w:val="en-US" w:eastAsia="zh-CN"/>
              </w:rPr>
              <w:t>的安保</w:t>
            </w:r>
            <w:r>
              <w:rPr>
                <w:rFonts w:hint="eastAsia" w:ascii="仿宋_GB2312" w:hAnsi="仿宋_GB2312" w:eastAsia="仿宋_GB2312" w:cs="仿宋_GB2312"/>
                <w:color w:val="000000"/>
                <w:kern w:val="0"/>
                <w:sz w:val="20"/>
                <w:szCs w:val="20"/>
                <w:highlight w:val="none"/>
              </w:rPr>
              <w:t>队伍，</w:t>
            </w:r>
            <w:r>
              <w:rPr>
                <w:rFonts w:hint="eastAsia" w:ascii="仿宋_GB2312" w:hAnsi="仿宋_GB2312" w:eastAsia="仿宋_GB2312" w:cs="仿宋_GB2312"/>
                <w:color w:val="000000"/>
                <w:kern w:val="0"/>
                <w:sz w:val="20"/>
                <w:szCs w:val="20"/>
                <w:highlight w:val="none"/>
                <w:lang w:val="en-US" w:eastAsia="zh-CN"/>
              </w:rPr>
              <w:t>定时巡逻，办公环境安全有序。遇突发事件，第一时间联动应急处置。</w:t>
            </w:r>
          </w:p>
        </w:tc>
        <w:tc>
          <w:tcPr>
            <w:tcW w:w="623" w:type="dxa"/>
            <w:noWrap w:val="0"/>
            <w:vAlign w:val="center"/>
          </w:tcPr>
          <w:p w14:paraId="3DC51B07">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49C2627C">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办公环境安全有序得2分</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突发事件应急处置得当得2分，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5</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73A7C7F">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DA06DD4">
            <w:pPr>
              <w:spacing w:line="300" w:lineRule="atLeast"/>
              <w:rPr>
                <w:rFonts w:hint="eastAsia" w:ascii="仿宋_GB2312" w:hAnsi="仿宋_GB2312" w:eastAsia="仿宋_GB2312" w:cs="仿宋_GB2312"/>
                <w:color w:val="000000"/>
                <w:kern w:val="0"/>
                <w:sz w:val="20"/>
                <w:szCs w:val="20"/>
                <w:highlight w:val="none"/>
              </w:rPr>
            </w:pPr>
          </w:p>
        </w:tc>
      </w:tr>
      <w:tr w14:paraId="1908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786" w:type="dxa"/>
            <w:vMerge w:val="continue"/>
            <w:noWrap w:val="0"/>
            <w:vAlign w:val="top"/>
          </w:tcPr>
          <w:p w14:paraId="11E636A8">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249C5277">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、停车场管理有序，</w:t>
            </w:r>
            <w:r>
              <w:rPr>
                <w:rFonts w:hint="eastAsia" w:ascii="仿宋_GB2312" w:hAnsi="仿宋_GB2312" w:eastAsia="仿宋_GB2312" w:cs="仿宋_GB2312"/>
                <w:color w:val="000000"/>
                <w:kern w:val="0"/>
                <w:sz w:val="20"/>
                <w:szCs w:val="20"/>
                <w:highlight w:val="none"/>
                <w:lang w:val="en-US" w:eastAsia="zh-CN"/>
              </w:rPr>
              <w:t>车辆停放</w:t>
            </w:r>
            <w:r>
              <w:rPr>
                <w:rFonts w:hint="eastAsia" w:ascii="仿宋_GB2312" w:hAnsi="仿宋_GB2312" w:eastAsia="仿宋_GB2312" w:cs="仿宋_GB2312"/>
                <w:color w:val="000000"/>
                <w:kern w:val="0"/>
                <w:sz w:val="20"/>
                <w:szCs w:val="20"/>
                <w:highlight w:val="none"/>
              </w:rPr>
              <w:t>整齐</w:t>
            </w:r>
            <w:r>
              <w:rPr>
                <w:rFonts w:hint="eastAsia" w:ascii="仿宋_GB2312" w:hAnsi="仿宋_GB2312" w:eastAsia="仿宋_GB2312" w:cs="仿宋_GB2312"/>
                <w:color w:val="000000"/>
                <w:kern w:val="0"/>
                <w:sz w:val="20"/>
                <w:szCs w:val="20"/>
                <w:highlight w:val="none"/>
                <w:lang w:val="en-US" w:eastAsia="zh-CN"/>
              </w:rPr>
              <w:t>，发现问题及时跟进处理</w:t>
            </w:r>
            <w:r>
              <w:rPr>
                <w:rFonts w:hint="eastAsia" w:ascii="仿宋_GB2312" w:hAnsi="仿宋_GB2312" w:eastAsia="仿宋_GB2312" w:cs="仿宋_GB2312"/>
                <w:color w:val="000000"/>
                <w:kern w:val="0"/>
                <w:sz w:val="20"/>
                <w:szCs w:val="20"/>
                <w:highlight w:val="none"/>
              </w:rPr>
              <w:t>。非机动车</w:t>
            </w:r>
            <w:r>
              <w:rPr>
                <w:rFonts w:hint="eastAsia" w:ascii="仿宋_GB2312" w:hAnsi="仿宋_GB2312" w:eastAsia="仿宋_GB2312" w:cs="仿宋_GB2312"/>
                <w:color w:val="000000"/>
                <w:kern w:val="0"/>
                <w:sz w:val="20"/>
                <w:szCs w:val="20"/>
                <w:highlight w:val="none"/>
                <w:lang w:val="en-US" w:eastAsia="zh-CN"/>
              </w:rPr>
              <w:t>临时</w:t>
            </w:r>
            <w:r>
              <w:rPr>
                <w:rFonts w:hint="eastAsia" w:ascii="仿宋_GB2312" w:hAnsi="仿宋_GB2312" w:eastAsia="仿宋_GB2312" w:cs="仿宋_GB2312"/>
                <w:color w:val="000000"/>
                <w:kern w:val="0"/>
                <w:sz w:val="20"/>
                <w:szCs w:val="20"/>
                <w:highlight w:val="none"/>
              </w:rPr>
              <w:t>停放场地，管理有序停放整齐。</w:t>
            </w:r>
          </w:p>
        </w:tc>
        <w:tc>
          <w:tcPr>
            <w:tcW w:w="623" w:type="dxa"/>
            <w:noWrap w:val="0"/>
            <w:vAlign w:val="center"/>
          </w:tcPr>
          <w:p w14:paraId="01E79F38">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485529DD">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车库车场车辆停放整齐得2分</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非机动车临停点整齐有序得2分，</w:t>
            </w:r>
            <w:r>
              <w:rPr>
                <w:rFonts w:hint="eastAsia" w:ascii="仿宋_GB2312" w:hAnsi="仿宋_GB2312" w:eastAsia="仿宋_GB2312" w:cs="仿宋_GB2312"/>
                <w:color w:val="000000"/>
                <w:kern w:val="0"/>
                <w:sz w:val="20"/>
                <w:szCs w:val="20"/>
                <w:highlight w:val="none"/>
              </w:rPr>
              <w:t>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2E13F9E0">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270791BE">
            <w:pPr>
              <w:spacing w:line="300" w:lineRule="atLeast"/>
              <w:rPr>
                <w:rFonts w:hint="eastAsia" w:ascii="仿宋_GB2312" w:hAnsi="仿宋_GB2312" w:eastAsia="仿宋_GB2312" w:cs="仿宋_GB2312"/>
                <w:color w:val="000000"/>
                <w:kern w:val="0"/>
                <w:sz w:val="20"/>
                <w:szCs w:val="20"/>
                <w:highlight w:val="none"/>
              </w:rPr>
            </w:pPr>
          </w:p>
        </w:tc>
      </w:tr>
      <w:tr w14:paraId="2968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86" w:type="dxa"/>
            <w:vMerge w:val="continue"/>
            <w:noWrap w:val="0"/>
            <w:vAlign w:val="top"/>
          </w:tcPr>
          <w:p w14:paraId="5C74ECF4">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18DDC6FC">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工作期间内人行出入口安排专人值守，规范管理。严防危险品、违禁品进入办公区域，杜绝推销人员进入。</w:t>
            </w:r>
          </w:p>
        </w:tc>
        <w:tc>
          <w:tcPr>
            <w:tcW w:w="623" w:type="dxa"/>
            <w:noWrap w:val="0"/>
            <w:vAlign w:val="center"/>
          </w:tcPr>
          <w:p w14:paraId="698E0AFE">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7795A1CB">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6AAA09A9">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C59B404">
            <w:pPr>
              <w:spacing w:line="300" w:lineRule="atLeast"/>
              <w:rPr>
                <w:rFonts w:hint="eastAsia" w:ascii="仿宋_GB2312" w:hAnsi="仿宋_GB2312" w:eastAsia="仿宋_GB2312" w:cs="仿宋_GB2312"/>
                <w:color w:val="000000"/>
                <w:kern w:val="0"/>
                <w:sz w:val="20"/>
                <w:szCs w:val="20"/>
                <w:highlight w:val="none"/>
              </w:rPr>
            </w:pPr>
          </w:p>
        </w:tc>
      </w:tr>
      <w:tr w14:paraId="6C87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786" w:type="dxa"/>
            <w:vMerge w:val="continue"/>
            <w:noWrap w:val="0"/>
            <w:vAlign w:val="top"/>
          </w:tcPr>
          <w:p w14:paraId="4C0E057D">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52E0CBBC">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4</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遇暴雨、大风、暴雪等极端天气预警，及时响应进行安全隐患排查，实施防范措施，按要求上报信息。</w:t>
            </w:r>
          </w:p>
        </w:tc>
        <w:tc>
          <w:tcPr>
            <w:tcW w:w="623" w:type="dxa"/>
            <w:noWrap w:val="0"/>
            <w:vAlign w:val="center"/>
          </w:tcPr>
          <w:p w14:paraId="730D5214">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2</w:t>
            </w:r>
          </w:p>
        </w:tc>
        <w:tc>
          <w:tcPr>
            <w:tcW w:w="2752" w:type="dxa"/>
            <w:noWrap w:val="0"/>
            <w:vAlign w:val="center"/>
          </w:tcPr>
          <w:p w14:paraId="72E933CB">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5C9BA281">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390AE92F">
            <w:pPr>
              <w:spacing w:line="300" w:lineRule="atLeast"/>
              <w:rPr>
                <w:rFonts w:hint="eastAsia" w:ascii="仿宋_GB2312" w:hAnsi="仿宋_GB2312" w:eastAsia="仿宋_GB2312" w:cs="仿宋_GB2312"/>
                <w:color w:val="000000"/>
                <w:kern w:val="0"/>
                <w:sz w:val="20"/>
                <w:szCs w:val="20"/>
                <w:highlight w:val="none"/>
              </w:rPr>
            </w:pPr>
          </w:p>
        </w:tc>
      </w:tr>
      <w:tr w14:paraId="1CA2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86" w:type="dxa"/>
            <w:vMerge w:val="restart"/>
            <w:shd w:val="clear" w:color="auto" w:fill="auto"/>
            <w:noWrap w:val="0"/>
            <w:vAlign w:val="center"/>
          </w:tcPr>
          <w:p w14:paraId="381A2C02">
            <w:pPr>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五</w:t>
            </w:r>
          </w:p>
        </w:tc>
        <w:tc>
          <w:tcPr>
            <w:tcW w:w="2544" w:type="dxa"/>
            <w:shd w:val="clear" w:color="auto" w:fill="D9D9D9"/>
            <w:noWrap w:val="0"/>
            <w:vAlign w:val="center"/>
          </w:tcPr>
          <w:p w14:paraId="1CF98C7E">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环境卫生管理</w:t>
            </w:r>
          </w:p>
        </w:tc>
        <w:tc>
          <w:tcPr>
            <w:tcW w:w="623" w:type="dxa"/>
            <w:shd w:val="clear" w:color="auto" w:fill="D9D9D9"/>
            <w:noWrap w:val="0"/>
            <w:vAlign w:val="center"/>
          </w:tcPr>
          <w:p w14:paraId="2FA11EA2">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rPr>
              <w:t>1</w:t>
            </w:r>
            <w:r>
              <w:rPr>
                <w:rFonts w:hint="eastAsia" w:ascii="仿宋_GB2312" w:hAnsi="仿宋_GB2312" w:eastAsia="仿宋_GB2312" w:cs="仿宋_GB2312"/>
                <w:b/>
                <w:bCs/>
                <w:color w:val="000000"/>
                <w:kern w:val="0"/>
                <w:sz w:val="20"/>
                <w:szCs w:val="20"/>
                <w:highlight w:val="none"/>
                <w:lang w:val="en-US" w:eastAsia="zh-CN"/>
              </w:rPr>
              <w:t>1</w:t>
            </w:r>
          </w:p>
        </w:tc>
        <w:tc>
          <w:tcPr>
            <w:tcW w:w="2752" w:type="dxa"/>
            <w:shd w:val="clear" w:color="auto" w:fill="D9D9D9"/>
            <w:noWrap w:val="0"/>
            <w:vAlign w:val="center"/>
          </w:tcPr>
          <w:p w14:paraId="29327D14">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75594B1D">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050D145F">
            <w:pPr>
              <w:spacing w:line="300" w:lineRule="atLeast"/>
              <w:rPr>
                <w:rFonts w:hint="eastAsia" w:ascii="仿宋_GB2312" w:hAnsi="仿宋_GB2312" w:eastAsia="仿宋_GB2312" w:cs="仿宋_GB2312"/>
                <w:b/>
                <w:bCs/>
                <w:color w:val="000000"/>
                <w:kern w:val="0"/>
                <w:sz w:val="20"/>
                <w:szCs w:val="20"/>
                <w:highlight w:val="none"/>
              </w:rPr>
            </w:pPr>
          </w:p>
        </w:tc>
      </w:tr>
      <w:tr w14:paraId="0A88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786" w:type="dxa"/>
            <w:vMerge w:val="continue"/>
            <w:noWrap w:val="0"/>
            <w:vAlign w:val="top"/>
          </w:tcPr>
          <w:p w14:paraId="2C331AA0">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68F1C33E">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rPr>
              <w:t>1、</w:t>
            </w:r>
            <w:r>
              <w:rPr>
                <w:rFonts w:hint="eastAsia" w:ascii="仿宋_GB2312" w:hAnsi="仿宋_GB2312" w:eastAsia="仿宋_GB2312" w:cs="仿宋_GB2312"/>
                <w:color w:val="000000"/>
                <w:kern w:val="0"/>
                <w:sz w:val="20"/>
                <w:szCs w:val="20"/>
                <w:highlight w:val="none"/>
                <w:lang w:val="en-US" w:eastAsia="zh-CN"/>
              </w:rPr>
              <w:t>清洁</w:t>
            </w:r>
            <w:r>
              <w:rPr>
                <w:rFonts w:hint="eastAsia" w:ascii="仿宋_GB2312" w:hAnsi="仿宋_GB2312" w:eastAsia="仿宋_GB2312" w:cs="仿宋_GB2312"/>
                <w:color w:val="000000"/>
                <w:kern w:val="0"/>
                <w:sz w:val="20"/>
                <w:szCs w:val="20"/>
                <w:highlight w:val="none"/>
              </w:rPr>
              <w:t>设施完备，垃圾</w:t>
            </w:r>
            <w:r>
              <w:rPr>
                <w:rFonts w:hint="eastAsia" w:ascii="仿宋_GB2312" w:hAnsi="仿宋_GB2312" w:eastAsia="仿宋_GB2312" w:cs="仿宋_GB2312"/>
                <w:color w:val="000000"/>
                <w:kern w:val="0"/>
                <w:sz w:val="20"/>
                <w:szCs w:val="20"/>
                <w:highlight w:val="none"/>
                <w:lang w:val="en-US" w:eastAsia="zh-CN"/>
              </w:rPr>
              <w:t>四分类规范日产日清</w:t>
            </w:r>
            <w:r>
              <w:rPr>
                <w:rFonts w:hint="eastAsia" w:ascii="仿宋_GB2312" w:hAnsi="仿宋_GB2312" w:eastAsia="仿宋_GB2312" w:cs="仿宋_GB2312"/>
                <w:color w:val="000000"/>
                <w:kern w:val="0"/>
                <w:sz w:val="20"/>
                <w:szCs w:val="20"/>
                <w:highlight w:val="none"/>
              </w:rPr>
              <w:t>，</w:t>
            </w:r>
            <w:r>
              <w:rPr>
                <w:rFonts w:hint="eastAsia" w:ascii="仿宋_GB2312" w:hAnsi="仿宋_GB2312" w:eastAsia="仿宋_GB2312" w:cs="仿宋_GB2312"/>
                <w:color w:val="000000"/>
                <w:kern w:val="0"/>
                <w:sz w:val="20"/>
                <w:szCs w:val="20"/>
                <w:highlight w:val="none"/>
                <w:lang w:val="en-US" w:eastAsia="zh-CN"/>
              </w:rPr>
              <w:t>中转站</w:t>
            </w:r>
            <w:r>
              <w:rPr>
                <w:rFonts w:hint="eastAsia" w:ascii="仿宋_GB2312" w:hAnsi="仿宋_GB2312" w:eastAsia="仿宋_GB2312" w:cs="仿宋_GB2312"/>
                <w:color w:val="000000"/>
                <w:kern w:val="0"/>
                <w:sz w:val="20"/>
                <w:szCs w:val="20"/>
                <w:highlight w:val="none"/>
              </w:rPr>
              <w:t>定期进行卫生灭杀。有毒、有害垃圾管理</w:t>
            </w:r>
            <w:r>
              <w:rPr>
                <w:rFonts w:hint="eastAsia" w:ascii="仿宋_GB2312" w:hAnsi="仿宋_GB2312" w:eastAsia="仿宋_GB2312" w:cs="仿宋_GB2312"/>
                <w:color w:val="000000"/>
                <w:kern w:val="0"/>
                <w:sz w:val="20"/>
                <w:szCs w:val="20"/>
                <w:highlight w:val="none"/>
                <w:lang w:val="en-US" w:eastAsia="zh-CN"/>
              </w:rPr>
              <w:t>封闭式管理。</w:t>
            </w:r>
          </w:p>
        </w:tc>
        <w:tc>
          <w:tcPr>
            <w:tcW w:w="623" w:type="dxa"/>
            <w:noWrap w:val="0"/>
            <w:vAlign w:val="center"/>
          </w:tcPr>
          <w:p w14:paraId="2430F304">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3</w:t>
            </w:r>
          </w:p>
        </w:tc>
        <w:tc>
          <w:tcPr>
            <w:tcW w:w="2752" w:type="dxa"/>
            <w:noWrap w:val="0"/>
            <w:vAlign w:val="center"/>
          </w:tcPr>
          <w:p w14:paraId="5603C370">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51183443">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7712D44">
            <w:pPr>
              <w:spacing w:line="300" w:lineRule="atLeast"/>
              <w:rPr>
                <w:rFonts w:hint="eastAsia" w:ascii="仿宋_GB2312" w:hAnsi="仿宋_GB2312" w:eastAsia="仿宋_GB2312" w:cs="仿宋_GB2312"/>
                <w:color w:val="000000"/>
                <w:kern w:val="0"/>
                <w:sz w:val="20"/>
                <w:szCs w:val="20"/>
                <w:highlight w:val="none"/>
              </w:rPr>
            </w:pPr>
          </w:p>
        </w:tc>
      </w:tr>
      <w:tr w14:paraId="68B9B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7B209871">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2B103ED8">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rPr>
              <w:t>2、有专职</w:t>
            </w:r>
            <w:r>
              <w:rPr>
                <w:rFonts w:hint="eastAsia" w:ascii="仿宋_GB2312" w:hAnsi="仿宋_GB2312" w:eastAsia="仿宋_GB2312" w:cs="仿宋_GB2312"/>
                <w:color w:val="000000"/>
                <w:kern w:val="0"/>
                <w:sz w:val="20"/>
                <w:szCs w:val="20"/>
                <w:highlight w:val="none"/>
                <w:lang w:val="en-US" w:eastAsia="zh-CN"/>
              </w:rPr>
              <w:t>保洁</w:t>
            </w:r>
            <w:r>
              <w:rPr>
                <w:rFonts w:hint="eastAsia" w:ascii="仿宋_GB2312" w:hAnsi="仿宋_GB2312" w:eastAsia="仿宋_GB2312" w:cs="仿宋_GB2312"/>
                <w:color w:val="000000"/>
                <w:kern w:val="0"/>
                <w:sz w:val="20"/>
                <w:szCs w:val="20"/>
                <w:highlight w:val="none"/>
              </w:rPr>
              <w:t>实行标准化</w:t>
            </w:r>
            <w:r>
              <w:rPr>
                <w:rFonts w:hint="eastAsia" w:ascii="仿宋_GB2312" w:hAnsi="仿宋_GB2312" w:eastAsia="仿宋_GB2312" w:cs="仿宋_GB2312"/>
                <w:color w:val="000000"/>
                <w:kern w:val="0"/>
                <w:sz w:val="20"/>
                <w:szCs w:val="20"/>
                <w:highlight w:val="none"/>
                <w:lang w:val="en-US" w:eastAsia="zh-CN"/>
              </w:rPr>
              <w:t>环境</w:t>
            </w:r>
            <w:r>
              <w:rPr>
                <w:rFonts w:hint="eastAsia" w:ascii="仿宋_GB2312" w:hAnsi="仿宋_GB2312" w:eastAsia="仿宋_GB2312" w:cs="仿宋_GB2312"/>
                <w:color w:val="000000"/>
                <w:kern w:val="0"/>
                <w:sz w:val="20"/>
                <w:szCs w:val="20"/>
                <w:highlight w:val="none"/>
              </w:rPr>
              <w:t>清洁</w:t>
            </w:r>
            <w:r>
              <w:rPr>
                <w:rFonts w:hint="eastAsia" w:ascii="仿宋_GB2312" w:hAnsi="仿宋_GB2312" w:eastAsia="仿宋_GB2312" w:cs="仿宋_GB2312"/>
                <w:color w:val="000000"/>
                <w:kern w:val="0"/>
                <w:sz w:val="20"/>
                <w:szCs w:val="20"/>
                <w:highlight w:val="none"/>
                <w:lang w:val="en-US" w:eastAsia="zh-CN"/>
              </w:rPr>
              <w:t>，定期进行整体消杀，环境维护服务记录齐全。</w:t>
            </w:r>
          </w:p>
        </w:tc>
        <w:tc>
          <w:tcPr>
            <w:tcW w:w="623" w:type="dxa"/>
            <w:noWrap w:val="0"/>
            <w:vAlign w:val="center"/>
          </w:tcPr>
          <w:p w14:paraId="498AC1DD">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7A3227EA">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4</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399B24F8">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BD2E275">
            <w:pPr>
              <w:spacing w:line="300" w:lineRule="atLeast"/>
              <w:rPr>
                <w:rFonts w:hint="eastAsia" w:ascii="仿宋_GB2312" w:hAnsi="仿宋_GB2312" w:eastAsia="仿宋_GB2312" w:cs="仿宋_GB2312"/>
                <w:color w:val="000000"/>
                <w:kern w:val="0"/>
                <w:sz w:val="20"/>
                <w:szCs w:val="20"/>
                <w:highlight w:val="none"/>
              </w:rPr>
            </w:pPr>
          </w:p>
        </w:tc>
      </w:tr>
      <w:tr w14:paraId="4E29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4DD89345">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707F1389">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w:t>
            </w:r>
            <w:r>
              <w:rPr>
                <w:rFonts w:hint="eastAsia" w:ascii="仿宋_GB2312" w:hAnsi="仿宋_GB2312" w:eastAsia="仿宋_GB2312" w:cs="仿宋_GB2312"/>
                <w:color w:val="000000"/>
                <w:kern w:val="0"/>
                <w:sz w:val="20"/>
                <w:szCs w:val="20"/>
                <w:highlight w:val="none"/>
              </w:rPr>
              <w:t>、房屋共用部位保持清洁，无乱贴乱画，无擅自占用和堆放杂物现象；楼梯扶栏、天台保持洁净</w:t>
            </w:r>
            <w:r>
              <w:rPr>
                <w:rFonts w:hint="eastAsia" w:ascii="仿宋_GB2312" w:hAnsi="仿宋_GB2312" w:eastAsia="仿宋_GB2312" w:cs="仿宋_GB2312"/>
                <w:color w:val="000000"/>
                <w:kern w:val="0"/>
                <w:sz w:val="20"/>
                <w:szCs w:val="20"/>
                <w:highlight w:val="none"/>
                <w:lang w:eastAsia="zh-CN"/>
              </w:rPr>
              <w:t>，</w:t>
            </w:r>
            <w:r>
              <w:rPr>
                <w:rFonts w:hint="eastAsia" w:ascii="仿宋_GB2312" w:hAnsi="仿宋_GB2312" w:eastAsia="仿宋_GB2312" w:cs="仿宋_GB2312"/>
                <w:color w:val="000000"/>
                <w:kern w:val="0"/>
                <w:sz w:val="20"/>
                <w:szCs w:val="20"/>
                <w:highlight w:val="none"/>
                <w:lang w:val="en-US" w:eastAsia="zh-CN"/>
              </w:rPr>
              <w:t>无明显灰尘</w:t>
            </w:r>
            <w:r>
              <w:rPr>
                <w:rFonts w:hint="eastAsia" w:ascii="仿宋_GB2312" w:hAnsi="仿宋_GB2312" w:eastAsia="仿宋_GB2312" w:cs="仿宋_GB2312"/>
                <w:color w:val="000000"/>
                <w:kern w:val="0"/>
                <w:sz w:val="20"/>
                <w:szCs w:val="20"/>
                <w:highlight w:val="none"/>
              </w:rPr>
              <w:t>；共用场地无纸屑、烟头、积水。</w:t>
            </w:r>
          </w:p>
        </w:tc>
        <w:tc>
          <w:tcPr>
            <w:tcW w:w="623" w:type="dxa"/>
            <w:noWrap w:val="0"/>
            <w:vAlign w:val="center"/>
          </w:tcPr>
          <w:p w14:paraId="630436EB">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4</w:t>
            </w:r>
          </w:p>
        </w:tc>
        <w:tc>
          <w:tcPr>
            <w:tcW w:w="2752" w:type="dxa"/>
            <w:noWrap w:val="0"/>
            <w:vAlign w:val="center"/>
          </w:tcPr>
          <w:p w14:paraId="374751A5">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4</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F008168">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40D8C11">
            <w:pPr>
              <w:spacing w:line="300" w:lineRule="atLeast"/>
              <w:rPr>
                <w:rFonts w:hint="eastAsia" w:ascii="仿宋_GB2312" w:hAnsi="仿宋_GB2312" w:eastAsia="仿宋_GB2312" w:cs="仿宋_GB2312"/>
                <w:color w:val="000000"/>
                <w:kern w:val="0"/>
                <w:sz w:val="20"/>
                <w:szCs w:val="20"/>
                <w:highlight w:val="none"/>
              </w:rPr>
            </w:pPr>
          </w:p>
        </w:tc>
      </w:tr>
      <w:tr w14:paraId="0D3E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86" w:type="dxa"/>
            <w:vMerge w:val="restart"/>
            <w:shd w:val="clear" w:color="auto" w:fill="auto"/>
            <w:noWrap w:val="0"/>
            <w:vAlign w:val="center"/>
          </w:tcPr>
          <w:p w14:paraId="478E34B2">
            <w:pPr>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六</w:t>
            </w:r>
          </w:p>
        </w:tc>
        <w:tc>
          <w:tcPr>
            <w:tcW w:w="2544" w:type="dxa"/>
            <w:shd w:val="clear" w:color="auto" w:fill="D9D9D9"/>
            <w:noWrap w:val="0"/>
            <w:vAlign w:val="center"/>
          </w:tcPr>
          <w:p w14:paraId="14904C60">
            <w:pPr>
              <w:spacing w:line="300" w:lineRule="atLeast"/>
              <w:jc w:val="both"/>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绿化管理</w:t>
            </w:r>
          </w:p>
        </w:tc>
        <w:tc>
          <w:tcPr>
            <w:tcW w:w="623" w:type="dxa"/>
            <w:shd w:val="clear" w:color="auto" w:fill="D9D9D9"/>
            <w:noWrap w:val="0"/>
            <w:vAlign w:val="center"/>
          </w:tcPr>
          <w:p w14:paraId="338DA560">
            <w:pPr>
              <w:spacing w:line="300" w:lineRule="atLeast"/>
              <w:jc w:val="center"/>
              <w:rPr>
                <w:rFonts w:hint="eastAsia" w:ascii="仿宋_GB2312" w:hAnsi="仿宋_GB2312" w:eastAsia="仿宋_GB2312" w:cs="仿宋_GB2312"/>
                <w:b/>
                <w:bCs/>
                <w:color w:val="000000"/>
                <w:kern w:val="0"/>
                <w:sz w:val="20"/>
                <w:szCs w:val="20"/>
                <w:highlight w:val="none"/>
                <w:lang w:eastAsia="zh-CN"/>
              </w:rPr>
            </w:pPr>
            <w:r>
              <w:rPr>
                <w:rFonts w:hint="eastAsia" w:ascii="仿宋_GB2312" w:hAnsi="仿宋_GB2312" w:eastAsia="仿宋_GB2312" w:cs="仿宋_GB2312"/>
                <w:b/>
                <w:bCs/>
                <w:color w:val="000000"/>
                <w:kern w:val="0"/>
                <w:sz w:val="20"/>
                <w:szCs w:val="20"/>
                <w:highlight w:val="none"/>
                <w:lang w:val="en-US" w:eastAsia="zh-CN"/>
              </w:rPr>
              <w:t>4</w:t>
            </w:r>
          </w:p>
        </w:tc>
        <w:tc>
          <w:tcPr>
            <w:tcW w:w="2752" w:type="dxa"/>
            <w:shd w:val="clear" w:color="auto" w:fill="D9D9D9"/>
            <w:noWrap w:val="0"/>
            <w:vAlign w:val="center"/>
          </w:tcPr>
          <w:p w14:paraId="7D72717E">
            <w:pPr>
              <w:spacing w:line="300" w:lineRule="atLeast"/>
              <w:rPr>
                <w:rFonts w:hint="eastAsia" w:ascii="仿宋_GB2312" w:hAnsi="仿宋_GB2312" w:eastAsia="仿宋_GB2312" w:cs="仿宋_GB2312"/>
                <w:b/>
                <w:bCs/>
                <w:color w:val="000000"/>
                <w:kern w:val="0"/>
                <w:sz w:val="20"/>
                <w:szCs w:val="20"/>
                <w:highlight w:val="none"/>
              </w:rPr>
            </w:pPr>
          </w:p>
        </w:tc>
        <w:tc>
          <w:tcPr>
            <w:tcW w:w="1193" w:type="dxa"/>
            <w:shd w:val="clear" w:color="auto" w:fill="D9D9D9"/>
            <w:noWrap w:val="0"/>
            <w:vAlign w:val="center"/>
          </w:tcPr>
          <w:p w14:paraId="00507DA6">
            <w:pPr>
              <w:spacing w:line="300" w:lineRule="atLeast"/>
              <w:rPr>
                <w:rFonts w:hint="eastAsia" w:ascii="仿宋_GB2312" w:hAnsi="仿宋_GB2312" w:eastAsia="仿宋_GB2312" w:cs="仿宋_GB2312"/>
                <w:b/>
                <w:bCs/>
                <w:color w:val="000000"/>
                <w:kern w:val="0"/>
                <w:sz w:val="20"/>
                <w:szCs w:val="20"/>
                <w:highlight w:val="none"/>
              </w:rPr>
            </w:pPr>
          </w:p>
        </w:tc>
        <w:tc>
          <w:tcPr>
            <w:tcW w:w="1529" w:type="dxa"/>
            <w:shd w:val="clear" w:color="auto" w:fill="D9D9D9"/>
            <w:noWrap w:val="0"/>
            <w:vAlign w:val="center"/>
          </w:tcPr>
          <w:p w14:paraId="0B71BCBD">
            <w:pPr>
              <w:spacing w:line="300" w:lineRule="atLeast"/>
              <w:rPr>
                <w:rFonts w:hint="eastAsia" w:ascii="仿宋_GB2312" w:hAnsi="仿宋_GB2312" w:eastAsia="仿宋_GB2312" w:cs="仿宋_GB2312"/>
                <w:b/>
                <w:bCs/>
                <w:color w:val="000000"/>
                <w:kern w:val="0"/>
                <w:sz w:val="20"/>
                <w:szCs w:val="20"/>
                <w:highlight w:val="none"/>
              </w:rPr>
            </w:pPr>
          </w:p>
        </w:tc>
      </w:tr>
      <w:tr w14:paraId="0FF4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5577E900">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2123639E">
            <w:pPr>
              <w:spacing w:line="300" w:lineRule="atLeast"/>
              <w:jc w:val="both"/>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1、绿地无改变使用用途。花草树木长势良好，修剪整齐美观，无病虫害。</w:t>
            </w:r>
          </w:p>
        </w:tc>
        <w:tc>
          <w:tcPr>
            <w:tcW w:w="623" w:type="dxa"/>
            <w:noWrap w:val="0"/>
            <w:vAlign w:val="center"/>
          </w:tcPr>
          <w:p w14:paraId="0DFB58C7">
            <w:pPr>
              <w:spacing w:line="300" w:lineRule="atLeast"/>
              <w:jc w:val="center"/>
              <w:rPr>
                <w:rFonts w:hint="eastAsia" w:ascii="仿宋_GB2312" w:hAnsi="仿宋_GB2312" w:eastAsia="仿宋_GB2312" w:cs="仿宋_GB2312"/>
                <w:color w:val="000000"/>
                <w:kern w:val="0"/>
                <w:sz w:val="20"/>
                <w:szCs w:val="20"/>
                <w:highlight w:val="none"/>
                <w:lang w:eastAsia="zh-CN"/>
              </w:rPr>
            </w:pPr>
            <w:r>
              <w:rPr>
                <w:rFonts w:hint="eastAsia" w:ascii="仿宋_GB2312" w:hAnsi="仿宋_GB2312" w:eastAsia="仿宋_GB2312" w:cs="仿宋_GB2312"/>
                <w:color w:val="000000"/>
                <w:kern w:val="0"/>
                <w:sz w:val="20"/>
                <w:szCs w:val="20"/>
                <w:highlight w:val="none"/>
                <w:lang w:val="en-US" w:eastAsia="zh-CN"/>
              </w:rPr>
              <w:t>2</w:t>
            </w:r>
          </w:p>
        </w:tc>
        <w:tc>
          <w:tcPr>
            <w:tcW w:w="2752" w:type="dxa"/>
            <w:noWrap w:val="0"/>
            <w:vAlign w:val="center"/>
          </w:tcPr>
          <w:p w14:paraId="7123215F">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11DEBC1F">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56C73239">
            <w:pPr>
              <w:spacing w:line="300" w:lineRule="atLeast"/>
              <w:rPr>
                <w:rFonts w:hint="eastAsia" w:ascii="仿宋_GB2312" w:hAnsi="仿宋_GB2312" w:eastAsia="仿宋_GB2312" w:cs="仿宋_GB2312"/>
                <w:color w:val="000000"/>
                <w:kern w:val="0"/>
                <w:sz w:val="20"/>
                <w:szCs w:val="20"/>
                <w:highlight w:val="none"/>
              </w:rPr>
            </w:pPr>
          </w:p>
        </w:tc>
      </w:tr>
      <w:tr w14:paraId="25AA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Merge w:val="continue"/>
            <w:noWrap w:val="0"/>
            <w:vAlign w:val="top"/>
          </w:tcPr>
          <w:p w14:paraId="40890DFA">
            <w:pPr>
              <w:rPr>
                <w:rFonts w:hint="eastAsia" w:ascii="仿宋_GB2312" w:hAnsi="仿宋_GB2312" w:eastAsia="仿宋_GB2312" w:cs="仿宋_GB2312"/>
                <w:color w:val="000000"/>
                <w:kern w:val="0"/>
                <w:sz w:val="20"/>
                <w:szCs w:val="20"/>
                <w:highlight w:val="none"/>
              </w:rPr>
            </w:pPr>
          </w:p>
        </w:tc>
        <w:tc>
          <w:tcPr>
            <w:tcW w:w="2544" w:type="dxa"/>
            <w:noWrap w:val="0"/>
            <w:vAlign w:val="center"/>
          </w:tcPr>
          <w:p w14:paraId="36B662A2">
            <w:pPr>
              <w:spacing w:line="300" w:lineRule="atLeast"/>
              <w:jc w:val="both"/>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rPr>
              <w:t>2、</w:t>
            </w:r>
            <w:r>
              <w:rPr>
                <w:rFonts w:hint="eastAsia" w:ascii="仿宋_GB2312" w:hAnsi="仿宋_GB2312" w:eastAsia="仿宋_GB2312" w:cs="仿宋_GB2312"/>
                <w:color w:val="000000"/>
                <w:kern w:val="0"/>
                <w:sz w:val="20"/>
                <w:szCs w:val="20"/>
                <w:highlight w:val="none"/>
                <w:lang w:val="en-US" w:eastAsia="zh-CN"/>
              </w:rPr>
              <w:t>大厅绿植花卉养护得当，美观雅致，无病虫害或枯死植物。</w:t>
            </w:r>
          </w:p>
        </w:tc>
        <w:tc>
          <w:tcPr>
            <w:tcW w:w="623" w:type="dxa"/>
            <w:noWrap w:val="0"/>
            <w:vAlign w:val="center"/>
          </w:tcPr>
          <w:p w14:paraId="7A176616">
            <w:pPr>
              <w:spacing w:line="300" w:lineRule="atLeast"/>
              <w:jc w:val="center"/>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2</w:t>
            </w:r>
          </w:p>
        </w:tc>
        <w:tc>
          <w:tcPr>
            <w:tcW w:w="2752" w:type="dxa"/>
            <w:noWrap w:val="0"/>
            <w:vAlign w:val="center"/>
          </w:tcPr>
          <w:p w14:paraId="07455080">
            <w:pPr>
              <w:spacing w:line="300" w:lineRule="atLeast"/>
              <w:rPr>
                <w:rFonts w:hint="eastAsia" w:ascii="仿宋_GB2312" w:hAnsi="仿宋_GB2312" w:eastAsia="仿宋_GB2312" w:cs="仿宋_GB2312"/>
                <w:color w:val="000000"/>
                <w:kern w:val="0"/>
                <w:sz w:val="20"/>
                <w:szCs w:val="20"/>
                <w:highlight w:val="none"/>
              </w:rPr>
            </w:pPr>
            <w:r>
              <w:rPr>
                <w:rFonts w:hint="eastAsia" w:ascii="仿宋_GB2312" w:hAnsi="仿宋_GB2312" w:eastAsia="仿宋_GB2312" w:cs="仿宋_GB2312"/>
                <w:color w:val="000000"/>
                <w:kern w:val="0"/>
                <w:sz w:val="20"/>
                <w:szCs w:val="20"/>
                <w:highlight w:val="none"/>
              </w:rPr>
              <w:t>符合要求得</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分，不符合要求</w:t>
            </w:r>
            <w:r>
              <w:rPr>
                <w:rFonts w:hint="eastAsia" w:ascii="仿宋_GB2312" w:hAnsi="仿宋_GB2312" w:eastAsia="仿宋_GB2312" w:cs="仿宋_GB2312"/>
                <w:color w:val="000000"/>
                <w:kern w:val="0"/>
                <w:sz w:val="20"/>
                <w:szCs w:val="20"/>
                <w:highlight w:val="none"/>
                <w:lang w:val="en-US" w:eastAsia="zh-CN"/>
              </w:rPr>
              <w:t>每项</w:t>
            </w:r>
            <w:r>
              <w:rPr>
                <w:rFonts w:hint="eastAsia" w:ascii="仿宋_GB2312" w:hAnsi="仿宋_GB2312" w:eastAsia="仿宋_GB2312" w:cs="仿宋_GB2312"/>
                <w:color w:val="000000"/>
                <w:kern w:val="0"/>
                <w:sz w:val="20"/>
                <w:szCs w:val="20"/>
                <w:highlight w:val="none"/>
              </w:rPr>
              <w:t>扣0.</w:t>
            </w:r>
            <w:r>
              <w:rPr>
                <w:rFonts w:hint="eastAsia" w:ascii="仿宋_GB2312" w:hAnsi="仿宋_GB2312" w:eastAsia="仿宋_GB2312" w:cs="仿宋_GB2312"/>
                <w:color w:val="000000"/>
                <w:kern w:val="0"/>
                <w:sz w:val="20"/>
                <w:szCs w:val="20"/>
                <w:highlight w:val="none"/>
                <w:lang w:val="en-US" w:eastAsia="zh-CN"/>
              </w:rPr>
              <w:t>2</w:t>
            </w:r>
            <w:r>
              <w:rPr>
                <w:rFonts w:hint="eastAsia" w:ascii="仿宋_GB2312" w:hAnsi="仿宋_GB2312" w:eastAsia="仿宋_GB2312" w:cs="仿宋_GB2312"/>
                <w:color w:val="000000"/>
                <w:kern w:val="0"/>
                <w:sz w:val="20"/>
                <w:szCs w:val="20"/>
                <w:highlight w:val="none"/>
              </w:rPr>
              <w:t>分。</w:t>
            </w:r>
          </w:p>
        </w:tc>
        <w:tc>
          <w:tcPr>
            <w:tcW w:w="1193" w:type="dxa"/>
            <w:noWrap w:val="0"/>
            <w:vAlign w:val="center"/>
          </w:tcPr>
          <w:p w14:paraId="003F465D">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1CAAE512">
            <w:pPr>
              <w:spacing w:line="300" w:lineRule="atLeast"/>
              <w:rPr>
                <w:rFonts w:hint="eastAsia" w:ascii="仿宋_GB2312" w:hAnsi="仿宋_GB2312" w:eastAsia="仿宋_GB2312" w:cs="仿宋_GB2312"/>
                <w:color w:val="000000"/>
                <w:kern w:val="0"/>
                <w:sz w:val="20"/>
                <w:szCs w:val="20"/>
                <w:highlight w:val="none"/>
              </w:rPr>
            </w:pPr>
          </w:p>
        </w:tc>
      </w:tr>
      <w:tr w14:paraId="0E76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705" w:type="dxa"/>
            <w:gridSpan w:val="4"/>
            <w:noWrap w:val="0"/>
            <w:vAlign w:val="top"/>
          </w:tcPr>
          <w:p w14:paraId="6C805FDC">
            <w:pPr>
              <w:spacing w:line="300" w:lineRule="atLeast"/>
              <w:rPr>
                <w:rFonts w:hint="eastAsia" w:ascii="仿宋_GB2312" w:hAnsi="仿宋_GB2312" w:eastAsia="仿宋_GB2312" w:cs="仿宋_GB2312"/>
                <w:color w:val="000000"/>
                <w:kern w:val="0"/>
                <w:sz w:val="20"/>
                <w:szCs w:val="20"/>
                <w:highlight w:val="none"/>
              </w:rPr>
            </w:pPr>
          </w:p>
          <w:p w14:paraId="5A51D633">
            <w:pPr>
              <w:tabs>
                <w:tab w:val="left" w:pos="3845"/>
              </w:tabs>
              <w:bidi w:val="0"/>
              <w:ind w:firstLine="2600" w:firstLineChars="1300"/>
              <w:jc w:val="left"/>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考核合计得分</w:t>
            </w:r>
          </w:p>
          <w:p w14:paraId="1A04AE8D">
            <w:pPr>
              <w:tabs>
                <w:tab w:val="left" w:pos="3845"/>
              </w:tabs>
              <w:bidi w:val="0"/>
              <w:jc w:val="left"/>
              <w:rPr>
                <w:rFonts w:hint="eastAsia" w:ascii="仿宋_GB2312" w:hAnsi="仿宋_GB2312" w:eastAsia="仿宋_GB2312" w:cs="仿宋_GB2312"/>
                <w:kern w:val="2"/>
                <w:sz w:val="20"/>
                <w:szCs w:val="20"/>
                <w:highlight w:val="none"/>
                <w:lang w:val="en-US" w:eastAsia="zh-CN" w:bidi="ar-SA"/>
              </w:rPr>
            </w:pPr>
          </w:p>
        </w:tc>
        <w:tc>
          <w:tcPr>
            <w:tcW w:w="1193" w:type="dxa"/>
            <w:noWrap w:val="0"/>
            <w:vAlign w:val="center"/>
          </w:tcPr>
          <w:p w14:paraId="23FEDFB9">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39E9F665">
            <w:pPr>
              <w:spacing w:line="300" w:lineRule="atLeast"/>
              <w:rPr>
                <w:rFonts w:hint="eastAsia" w:ascii="仿宋_GB2312" w:hAnsi="仿宋_GB2312" w:eastAsia="仿宋_GB2312" w:cs="仿宋_GB2312"/>
                <w:color w:val="000000"/>
                <w:kern w:val="0"/>
                <w:sz w:val="20"/>
                <w:szCs w:val="20"/>
                <w:highlight w:val="none"/>
              </w:rPr>
            </w:pPr>
          </w:p>
        </w:tc>
      </w:tr>
      <w:tr w14:paraId="3B1A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705" w:type="dxa"/>
            <w:gridSpan w:val="4"/>
            <w:noWrap w:val="0"/>
            <w:vAlign w:val="top"/>
          </w:tcPr>
          <w:p w14:paraId="6355B34A">
            <w:pPr>
              <w:tabs>
                <w:tab w:val="left" w:pos="4490"/>
              </w:tabs>
              <w:bidi w:val="0"/>
              <w:jc w:val="left"/>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ab/>
            </w:r>
          </w:p>
          <w:p w14:paraId="71742CF8">
            <w:pPr>
              <w:tabs>
                <w:tab w:val="left" w:pos="4490"/>
              </w:tabs>
              <w:bidi w:val="0"/>
              <w:ind w:firstLine="2600" w:firstLineChars="1300"/>
              <w:jc w:val="left"/>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激励/扣除服务费金额</w:t>
            </w:r>
          </w:p>
          <w:p w14:paraId="02AADE44">
            <w:pPr>
              <w:tabs>
                <w:tab w:val="left" w:pos="4490"/>
              </w:tabs>
              <w:bidi w:val="0"/>
              <w:jc w:val="left"/>
              <w:rPr>
                <w:rFonts w:hint="eastAsia" w:ascii="仿宋_GB2312" w:hAnsi="仿宋_GB2312" w:eastAsia="仿宋_GB2312" w:cs="仿宋_GB2312"/>
                <w:kern w:val="2"/>
                <w:sz w:val="20"/>
                <w:szCs w:val="20"/>
                <w:highlight w:val="none"/>
                <w:lang w:val="en-US" w:eastAsia="zh-CN" w:bidi="ar-SA"/>
              </w:rPr>
            </w:pPr>
          </w:p>
        </w:tc>
        <w:tc>
          <w:tcPr>
            <w:tcW w:w="1193" w:type="dxa"/>
            <w:noWrap w:val="0"/>
            <w:vAlign w:val="center"/>
          </w:tcPr>
          <w:p w14:paraId="2B2AAA52">
            <w:pPr>
              <w:spacing w:line="300" w:lineRule="atLeast"/>
              <w:rPr>
                <w:rFonts w:hint="eastAsia" w:ascii="仿宋_GB2312" w:hAnsi="仿宋_GB2312" w:eastAsia="仿宋_GB2312" w:cs="仿宋_GB2312"/>
                <w:color w:val="000000"/>
                <w:kern w:val="0"/>
                <w:sz w:val="20"/>
                <w:szCs w:val="20"/>
                <w:highlight w:val="none"/>
              </w:rPr>
            </w:pPr>
          </w:p>
        </w:tc>
        <w:tc>
          <w:tcPr>
            <w:tcW w:w="1529" w:type="dxa"/>
            <w:noWrap w:val="0"/>
            <w:vAlign w:val="center"/>
          </w:tcPr>
          <w:p w14:paraId="3C43360F">
            <w:pPr>
              <w:spacing w:line="300" w:lineRule="atLeast"/>
              <w:rPr>
                <w:rFonts w:hint="eastAsia" w:ascii="仿宋_GB2312" w:hAnsi="仿宋_GB2312" w:eastAsia="仿宋_GB2312" w:cs="仿宋_GB2312"/>
                <w:color w:val="000000"/>
                <w:kern w:val="0"/>
                <w:sz w:val="20"/>
                <w:szCs w:val="20"/>
                <w:highlight w:val="none"/>
              </w:rPr>
            </w:pPr>
          </w:p>
        </w:tc>
      </w:tr>
      <w:tr w14:paraId="66D5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330" w:type="dxa"/>
            <w:gridSpan w:val="2"/>
            <w:noWrap w:val="0"/>
            <w:vAlign w:val="top"/>
          </w:tcPr>
          <w:p w14:paraId="468DE7FC">
            <w:pPr>
              <w:bidi w:val="0"/>
              <w:jc w:val="center"/>
              <w:rPr>
                <w:rFonts w:hint="eastAsia" w:ascii="仿宋_GB2312" w:hAnsi="仿宋_GB2312" w:eastAsia="仿宋_GB2312" w:cs="仿宋_GB2312"/>
                <w:kern w:val="2"/>
                <w:sz w:val="20"/>
                <w:szCs w:val="20"/>
                <w:highlight w:val="none"/>
                <w:lang w:val="en-US" w:eastAsia="zh-CN" w:bidi="ar-SA"/>
              </w:rPr>
            </w:pPr>
          </w:p>
          <w:p w14:paraId="637C8ED1">
            <w:pPr>
              <w:bidi w:val="0"/>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考核方签字</w:t>
            </w:r>
          </w:p>
          <w:p w14:paraId="0D8633F9">
            <w:pPr>
              <w:bidi w:val="0"/>
              <w:jc w:val="center"/>
              <w:rPr>
                <w:rFonts w:hint="eastAsia" w:ascii="仿宋_GB2312" w:hAnsi="仿宋_GB2312" w:eastAsia="仿宋_GB2312" w:cs="仿宋_GB2312"/>
                <w:kern w:val="2"/>
                <w:sz w:val="20"/>
                <w:szCs w:val="20"/>
                <w:highlight w:val="none"/>
                <w:lang w:val="en-US" w:eastAsia="zh-CN" w:bidi="ar-SA"/>
              </w:rPr>
            </w:pPr>
          </w:p>
        </w:tc>
        <w:tc>
          <w:tcPr>
            <w:tcW w:w="6097" w:type="dxa"/>
            <w:gridSpan w:val="4"/>
            <w:noWrap w:val="0"/>
            <w:vAlign w:val="top"/>
          </w:tcPr>
          <w:p w14:paraId="592C7DF2">
            <w:pPr>
              <w:spacing w:line="300" w:lineRule="atLeast"/>
              <w:rPr>
                <w:rFonts w:hint="eastAsia" w:ascii="仿宋_GB2312" w:hAnsi="仿宋_GB2312" w:eastAsia="仿宋_GB2312" w:cs="仿宋_GB2312"/>
                <w:color w:val="000000"/>
                <w:kern w:val="0"/>
                <w:sz w:val="20"/>
                <w:szCs w:val="20"/>
                <w:highlight w:val="none"/>
              </w:rPr>
            </w:pPr>
          </w:p>
        </w:tc>
      </w:tr>
      <w:tr w14:paraId="0477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3330" w:type="dxa"/>
            <w:gridSpan w:val="2"/>
            <w:noWrap w:val="0"/>
            <w:vAlign w:val="top"/>
          </w:tcPr>
          <w:p w14:paraId="347ECCAC">
            <w:pPr>
              <w:bidi w:val="0"/>
              <w:jc w:val="center"/>
              <w:rPr>
                <w:rFonts w:hint="eastAsia" w:ascii="仿宋_GB2312" w:hAnsi="仿宋_GB2312" w:eastAsia="仿宋_GB2312" w:cs="仿宋_GB2312"/>
                <w:kern w:val="2"/>
                <w:sz w:val="20"/>
                <w:szCs w:val="20"/>
                <w:highlight w:val="none"/>
                <w:lang w:val="en-US" w:eastAsia="zh-CN" w:bidi="ar-SA"/>
              </w:rPr>
            </w:pPr>
          </w:p>
          <w:p w14:paraId="19146294">
            <w:pPr>
              <w:bidi w:val="0"/>
              <w:jc w:val="center"/>
              <w:rPr>
                <w:rFonts w:hint="eastAsia" w:ascii="仿宋_GB2312" w:hAnsi="仿宋_GB2312" w:eastAsia="仿宋_GB2312" w:cs="仿宋_GB2312"/>
                <w:kern w:val="2"/>
                <w:sz w:val="20"/>
                <w:szCs w:val="20"/>
                <w:highlight w:val="none"/>
                <w:lang w:val="en-US" w:eastAsia="zh-CN" w:bidi="ar-SA"/>
              </w:rPr>
            </w:pPr>
            <w:r>
              <w:rPr>
                <w:rFonts w:hint="eastAsia" w:ascii="仿宋_GB2312" w:hAnsi="仿宋_GB2312" w:eastAsia="仿宋_GB2312" w:cs="仿宋_GB2312"/>
                <w:kern w:val="2"/>
                <w:sz w:val="20"/>
                <w:szCs w:val="20"/>
                <w:highlight w:val="none"/>
                <w:lang w:val="en-US" w:eastAsia="zh-CN" w:bidi="ar-SA"/>
              </w:rPr>
              <w:t>物业服务方签字</w:t>
            </w:r>
          </w:p>
          <w:p w14:paraId="17737BBB">
            <w:pPr>
              <w:bidi w:val="0"/>
              <w:jc w:val="center"/>
              <w:rPr>
                <w:rFonts w:hint="eastAsia" w:ascii="仿宋_GB2312" w:hAnsi="仿宋_GB2312" w:eastAsia="仿宋_GB2312" w:cs="仿宋_GB2312"/>
                <w:kern w:val="2"/>
                <w:sz w:val="20"/>
                <w:szCs w:val="20"/>
                <w:highlight w:val="none"/>
                <w:lang w:val="en-US" w:eastAsia="zh-CN" w:bidi="ar-SA"/>
              </w:rPr>
            </w:pPr>
          </w:p>
        </w:tc>
        <w:tc>
          <w:tcPr>
            <w:tcW w:w="6097" w:type="dxa"/>
            <w:gridSpan w:val="4"/>
            <w:noWrap w:val="0"/>
            <w:vAlign w:val="top"/>
          </w:tcPr>
          <w:p w14:paraId="444CC2CC">
            <w:pPr>
              <w:spacing w:line="300" w:lineRule="atLeast"/>
              <w:rPr>
                <w:rFonts w:hint="eastAsia" w:ascii="仿宋_GB2312" w:hAnsi="仿宋_GB2312" w:eastAsia="仿宋_GB2312" w:cs="仿宋_GB2312"/>
                <w:color w:val="000000"/>
                <w:kern w:val="0"/>
                <w:sz w:val="20"/>
                <w:szCs w:val="20"/>
                <w:highlight w:val="none"/>
              </w:rPr>
            </w:pPr>
          </w:p>
        </w:tc>
      </w:tr>
    </w:tbl>
    <w:p w14:paraId="35A47D14">
      <w:pPr>
        <w:rPr>
          <w:rFonts w:hint="eastAsia" w:ascii="仿宋_GB2312" w:hAnsi="仿宋_GB2312" w:eastAsia="仿宋_GB2312" w:cs="仿宋_GB2312"/>
          <w:sz w:val="20"/>
          <w:szCs w:val="20"/>
          <w:highlight w:val="none"/>
        </w:rPr>
      </w:pPr>
    </w:p>
    <w:p w14:paraId="03E9E409">
      <w:pPr>
        <w:pStyle w:val="7"/>
        <w:jc w:val="both"/>
        <w:outlineLvl w:val="1"/>
        <w:rPr>
          <w:rFonts w:hint="eastAsia" w:ascii="仿宋_GB2312" w:hAnsi="仿宋_GB2312" w:eastAsia="仿宋_GB2312" w:cs="仿宋_GB2312"/>
          <w:b/>
          <w:sz w:val="20"/>
          <w:szCs w:val="20"/>
          <w:highlight w:val="none"/>
          <w:lang w:eastAsia="zh-CN"/>
        </w:rPr>
      </w:pPr>
    </w:p>
    <w:p w14:paraId="4A5F9FCE">
      <w:bookmarkStart w:id="7" w:name="_GoBack"/>
      <w:bookmarkEnd w:id="7"/>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BFA6">
    <w:pPr>
      <w:pStyle w:val="3"/>
      <w:jc w:val="center"/>
    </w:pPr>
    <w:r>
      <w:fldChar w:fldCharType="begin"/>
    </w:r>
    <w:r>
      <w:instrText xml:space="preserve">PAGE   \* MERGEFORMAT</w:instrText>
    </w:r>
    <w:r>
      <w:fldChar w:fldCharType="separate"/>
    </w:r>
    <w:r>
      <w:rPr>
        <w:lang w:val="zh-CN"/>
      </w:rPr>
      <w:t>70</w:t>
    </w:r>
    <w:r>
      <w:fldChar w:fldCharType="end"/>
    </w:r>
  </w:p>
  <w:p w14:paraId="6415D352">
    <w:pPr>
      <w:pStyle w:val="3"/>
      <w:rPr>
        <w:rFonts w:ascii="Times New Roman"/>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D26A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B353D0"/>
    <w:rsid w:val="743C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2026-02-13T10:30:43Z</dcterms:created>
  <dc:creator>lenovo</dc:creator>
  <cp:lastModifiedBy>钟声</cp:lastModifiedBy>
  <dcterms:modified xsi:type="dcterms:W3CDTF">2026-02-13T10:32:21Z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eyJoZGlkIjoiN2U5MWE4OGRiNWMzMTMyZDU0ZDZhNTNjN2NmNDJiNjUiLCJ1c2VySWQiOiI2Nzc2MzQ0MTQifQ==</vt:lpwstr>
  </property>
  <property fmtid="{D5CDD505-2E9C-101B-9397-08002B2CF9AE}" pid="4" name="ICV">
    <vt:lpwstr>49DCE7AB2A09436880E744396FA75786_12</vt:lpwstr>
  </property>
</Properties>
</file>