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西安高新区第一次全国自然灾害综合风险普查成果应用试点建设项目</w:t>
      </w:r>
    </w:p>
    <w:p>
      <w:pPr>
        <w:pStyle w:val="null3"/>
        <w:jc w:val="center"/>
        <w:outlineLvl w:val="2"/>
      </w:pPr>
      <w:r>
        <w:rPr>
          <w:b/>
          <w:sz w:val="28"/>
        </w:rPr>
        <w:t>采购项目编号：</w:t>
      </w:r>
      <w:r>
        <w:rPr>
          <w:b/>
          <w:sz w:val="28"/>
        </w:rPr>
        <w:t>DCZX2023-ZCCS-FW1172</w:t>
      </w:r>
      <w:r>
        <w:br/>
      </w:r>
      <w:r>
        <w:br/>
      </w:r>
      <w:r>
        <w:br/>
      </w:r>
    </w:p>
    <w:p>
      <w:pPr>
        <w:pStyle w:val="null3"/>
        <w:jc w:val="center"/>
        <w:outlineLvl w:val="2"/>
      </w:pPr>
      <w:r>
        <w:rPr>
          <w:b/>
          <w:sz w:val="28"/>
        </w:rPr>
        <w:t>西安高新技术产业开发区应急管理局</w:t>
      </w:r>
    </w:p>
    <w:p>
      <w:pPr>
        <w:pStyle w:val="null3"/>
        <w:jc w:val="center"/>
        <w:outlineLvl w:val="2"/>
      </w:pPr>
      <w:r>
        <w:rPr>
          <w:b/>
          <w:sz w:val="28"/>
        </w:rPr>
        <w:t>陕西鼎成项目管理咨询有限公司</w:t>
      </w:r>
      <w:r>
        <w:rPr>
          <w:b/>
          <w:sz w:val="28"/>
        </w:rPr>
        <w:t>共同编制</w:t>
      </w:r>
    </w:p>
    <w:p>
      <w:pPr>
        <w:pStyle w:val="null3"/>
        <w:jc w:val="center"/>
        <w:outlineLvl w:val="2"/>
      </w:pPr>
      <w:r>
        <w:rPr>
          <w:b/>
          <w:sz w:val="28"/>
        </w:rPr>
        <w:t>2024年03月11日</w:t>
      </w:r>
    </w:p>
    <w:p>
      <w:pPr>
        <w:pStyle w:val="null3"/>
      </w:pPr>
      <w:r>
        <w:rPr/>
        <w:t xml:space="preserve"> </w:t>
      </w:r>
    </w:p>
    <w:p>
      <w:pPr>
        <w:pStyle w:val="null3"/>
        <w:jc w:val="center"/>
        <w:outlineLvl w:val="1"/>
      </w:pPr>
      <w:r>
        <w:rPr>
          <w:b/>
          <w:sz w:val="36"/>
        </w:rPr>
        <w:t>第一章 竞争性磋商邀请</w:t>
      </w:r>
    </w:p>
    <w:p>
      <w:pPr>
        <w:pStyle w:val="null3"/>
        <w:ind w:firstLine="480"/>
      </w:pPr>
      <w:r>
        <w:rPr/>
        <w:t>陕西鼎成项目管理咨询有限公司</w:t>
      </w:r>
      <w:r>
        <w:rPr/>
        <w:t>（以下简称“代理机构”）受</w:t>
      </w:r>
      <w:r>
        <w:rPr/>
        <w:t>西安高新技术产业开发区应急管理局</w:t>
      </w:r>
      <w:r>
        <w:rPr/>
        <w:t>委托，拟对</w:t>
      </w:r>
      <w:r>
        <w:rPr/>
        <w:t>西安高新区第一次全国自然灾害综合风险普查成果应用试点建设项目</w:t>
      </w:r>
      <w:r>
        <w:rPr/>
        <w:t>采用竞争性磋商采购方式进行采购，兹邀请供应商参加本项目的竞争性磋商。</w:t>
      </w:r>
    </w:p>
    <w:p>
      <w:pPr>
        <w:pStyle w:val="null3"/>
        <w:outlineLvl w:val="2"/>
      </w:pPr>
      <w:r>
        <w:rPr>
          <w:b/>
          <w:sz w:val="28"/>
        </w:rPr>
        <w:t>一、项目编号：</w:t>
      </w:r>
      <w:r>
        <w:rPr>
          <w:b/>
          <w:sz w:val="28"/>
        </w:rPr>
        <w:t>DCZX2023-ZCCS-FW1172</w:t>
      </w:r>
    </w:p>
    <w:p>
      <w:pPr>
        <w:pStyle w:val="null3"/>
        <w:outlineLvl w:val="2"/>
      </w:pPr>
      <w:r>
        <w:rPr>
          <w:b/>
          <w:sz w:val="28"/>
        </w:rPr>
        <w:t>二、项目名称：</w:t>
      </w:r>
      <w:r>
        <w:rPr>
          <w:b/>
          <w:sz w:val="28"/>
        </w:rPr>
        <w:t>西安高新区第一次全国自然灾害综合风险普查成果应用试点建设项目</w:t>
      </w:r>
    </w:p>
    <w:p>
      <w:pPr>
        <w:pStyle w:val="null3"/>
        <w:outlineLvl w:val="2"/>
      </w:pPr>
      <w:r>
        <w:rPr>
          <w:b/>
          <w:sz w:val="28"/>
        </w:rPr>
        <w:t>三、磋商项目简介</w:t>
      </w:r>
    </w:p>
    <w:p>
      <w:pPr>
        <w:pStyle w:val="null3"/>
        <w:ind w:firstLine="480"/>
      </w:pPr>
      <w:r>
        <w:rPr/>
        <w:t>结合高新区现状，统筹考虑高新区短期应用和中长期布局，满足风险普查任务自身数据的汇、存、管、查、判、用，做好数据全量落地管控，实现自然灾害数据集成与治理、自然灾害监测预警、分析研判，与应急指挥调度环节紧密融合，在自然灾害突发事件下能快速关联并运用普查成果数据，为防灾减灾救灾常态化工作提供信息化管理和科学决策分析支撑。</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1、身份证明 ： 法定代表人授权书（法定代表人直接参加磋商，须提供法定代表人身份证明）；</w:t>
      </w:r>
    </w:p>
    <w:p>
      <w:pPr>
        <w:pStyle w:val="null3"/>
      </w:pPr>
      <w:r>
        <w:rPr/>
        <w:t>2、非联合体声明 ：本项目不接受联合体投标；</w:t>
      </w:r>
    </w:p>
    <w:p>
      <w:pPr>
        <w:pStyle w:val="null3"/>
      </w:pPr>
      <w:r>
        <w:rPr/>
        <w:t>3、信用记录 ：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西安高新技术产业开发区应急管理局</w:t>
      </w:r>
    </w:p>
    <w:p>
      <w:pPr>
        <w:pStyle w:val="null3"/>
      </w:pPr>
      <w:r>
        <w:rPr/>
        <w:t xml:space="preserve"> 地址： </w:t>
      </w:r>
      <w:r>
        <w:rPr/>
        <w:t>都市之门A座</w:t>
      </w:r>
    </w:p>
    <w:p>
      <w:pPr>
        <w:pStyle w:val="null3"/>
      </w:pPr>
      <w:r>
        <w:rPr/>
        <w:t xml:space="preserve"> 邮编： </w:t>
      </w:r>
      <w:r>
        <w:rPr/>
        <w:t>710075</w:t>
      </w:r>
    </w:p>
    <w:p>
      <w:pPr>
        <w:pStyle w:val="null3"/>
      </w:pPr>
      <w:r>
        <w:rPr/>
        <w:t xml:space="preserve"> 联系人： </w:t>
      </w:r>
      <w:r>
        <w:rPr/>
        <w:t>郭老师</w:t>
      </w:r>
    </w:p>
    <w:p>
      <w:pPr>
        <w:pStyle w:val="null3"/>
      </w:pPr>
      <w:r>
        <w:rPr/>
        <w:t xml:space="preserve"> 联系电话： </w:t>
      </w:r>
      <w:r>
        <w:rPr/>
        <w:t>029-88824220</w:t>
      </w:r>
    </w:p>
    <w:p>
      <w:pPr>
        <w:pStyle w:val="null3"/>
        <w:outlineLvl w:val="3"/>
      </w:pPr>
      <w:r>
        <w:rPr>
          <w:b/>
          <w:sz w:val="24"/>
        </w:rPr>
        <w:t>代理机构：</w:t>
      </w:r>
      <w:r>
        <w:rPr>
          <w:b/>
          <w:sz w:val="24"/>
        </w:rPr>
        <w:t>陕西鼎成项目管理咨询有限公司</w:t>
      </w:r>
    </w:p>
    <w:p>
      <w:pPr>
        <w:pStyle w:val="null3"/>
      </w:pPr>
      <w:r>
        <w:rPr/>
        <w:t xml:space="preserve"> 地址： </w:t>
      </w:r>
      <w:r>
        <w:rPr/>
        <w:t>陕西省西安市高新区高新路88号尚品国际B座7层703室</w:t>
      </w:r>
    </w:p>
    <w:p>
      <w:pPr>
        <w:pStyle w:val="null3"/>
      </w:pPr>
      <w:r>
        <w:rPr/>
        <w:t xml:space="preserve"> 邮编： </w:t>
      </w:r>
      <w:r>
        <w:rPr/>
        <w:t>710075</w:t>
      </w:r>
    </w:p>
    <w:p>
      <w:pPr>
        <w:pStyle w:val="null3"/>
      </w:pPr>
      <w:r>
        <w:rPr/>
        <w:t xml:space="preserve"> 联系人： </w:t>
      </w:r>
      <w:r>
        <w:rPr/>
        <w:t>彭宏飞</w:t>
      </w:r>
    </w:p>
    <w:p>
      <w:pPr>
        <w:pStyle w:val="null3"/>
      </w:pPr>
      <w:r>
        <w:rPr/>
        <w:t xml:space="preserve"> 联系电话： </w:t>
      </w:r>
      <w:r>
        <w:rPr/>
        <w:t>029-81773523</w:t>
      </w:r>
    </w:p>
    <w:p>
      <w:pPr>
        <w:pStyle w:val="null3"/>
        <w:outlineLvl w:val="3"/>
      </w:pPr>
      <w:r>
        <w:rPr>
          <w:b/>
          <w:sz w:val="24"/>
        </w:rPr>
        <w:t>采购监督机构：</w:t>
      </w:r>
      <w:r>
        <w:rPr>
          <w:b/>
          <w:sz w:val="24"/>
        </w:rPr>
        <w:t>西安市高新技术开发区财政金融局</w:t>
      </w:r>
    </w:p>
    <w:p>
      <w:pPr>
        <w:pStyle w:val="null3"/>
        <w:ind w:firstLine="480"/>
      </w:pPr>
      <w:r>
        <w:rPr/>
        <w:t>联系人：</w:t>
      </w:r>
      <w:r>
        <w:rPr/>
        <w:t>胥老师</w:t>
      </w:r>
    </w:p>
    <w:p>
      <w:pPr>
        <w:pStyle w:val="null3"/>
        <w:ind w:firstLine="480"/>
      </w:pPr>
      <w:r>
        <w:rPr/>
        <w:t>联系电话：</w:t>
      </w:r>
      <w:r>
        <w:rPr/>
        <w:t>029-88333950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采购包1：1,605,000.00元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数据服务器、应用服务器</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按国家计委颁发的《招标代理服务收费管理暂行办法》（计价格[2002]1980号）和国家发展改革委员会办公厅颁发的《关于招标代理服务收费有关问题的通知》(发改办价格[2003]857号）的有关规定执行。 2、成交供应商在领取成交通知书前，需向采购代理机构提交加盖公章的纸质版投标文件一套，成交供应商应保持投标文件纸质版内容与系统上传内容完全一致，否则将承担一切法律责任。 3、成交单位在领取成交通知书前，须向采购代理机构一次性支付采购代理服务费。 代理费缴存账户： 开户名称：陕西鼎成项目管理咨询有限公司 开户银行：中国民生银行西安枫林绿洲支行 账号：171277297 （备注：项目名称+代理服务费）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西安高新技术产业开发区应急管理局</w:t>
      </w:r>
      <w:r>
        <w:rPr/>
        <w:t>和</w:t>
      </w:r>
      <w:r>
        <w:rPr/>
        <w:t>陕西鼎成项目管理咨询有限公司</w:t>
      </w:r>
      <w:r>
        <w:rPr/>
        <w:t>享有。对磋商文件中供应商参加本次政府采购活动应当具备的条件，磋商项目技术、服务、商务及其他要求，评审细则及标准由</w:t>
      </w:r>
      <w:r>
        <w:rPr/>
        <w:t>西安高新技术产业开发区应急管理局</w:t>
      </w:r>
      <w:r>
        <w:rPr/>
        <w:t>负责解释。除上述磋商文件内容，其他内容由</w:t>
      </w:r>
      <w:r>
        <w:rPr/>
        <w:t>陕西鼎成项目管理咨询有限公司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西安高新技术产业开发区应急管理局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陕西鼎成项目管理咨询有限公司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详见采购合同</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陕西鼎成项目管理咨询有限公司</w:t>
      </w:r>
      <w:r>
        <w:rPr/>
        <w:t xml:space="preserve"> 负责答复；供应商对除采购需求外的采购文件的询问、质疑由</w:t>
      </w:r>
      <w:r>
        <w:rPr/>
        <w:t>陕西鼎成项目管理咨询有限公司</w:t>
      </w:r>
      <w:r>
        <w:rPr/>
        <w:t xml:space="preserve"> 负责答复；供应商对采购过程、采购结果的询问、质疑由 </w:t>
      </w:r>
      <w:r>
        <w:rPr/>
        <w:t>陕西鼎成项目管理咨询有限公司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联系人：彭宏飞</w:t>
      </w:r>
    </w:p>
    <w:p>
      <w:pPr>
        <w:pStyle w:val="null3"/>
      </w:pPr>
      <w:r>
        <w:rPr/>
        <w:t>联系电话：029-81773523</w:t>
      </w:r>
    </w:p>
    <w:p>
      <w:pPr>
        <w:pStyle w:val="null3"/>
      </w:pPr>
      <w:r>
        <w:rPr/>
        <w:t>地址：陕西省西安市高新区高新路88号尚品国际B座7层703室</w:t>
      </w:r>
    </w:p>
    <w:p>
      <w:pPr>
        <w:pStyle w:val="null3"/>
      </w:pPr>
      <w:r>
        <w:rPr/>
        <w:t>邮编：710075</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结合高新区现状，统筹考虑高新区短期应用和中长期布局，满足风险普查任务自身数据的汇、存、管、查、判、用，做好数据全量落地管控，实现自然灾害数据集成与治理、自然灾害监测预警、分析研判，与应急指挥调度环节紧密融合，在自然灾害突发事件下能快速关联并运用普查成果数据，为防灾减灾救灾常态化工作提供信息化管理和科学决策分析支撑。</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1,605,000.00</w:t>
      </w:r>
    </w:p>
    <w:p>
      <w:pPr>
        <w:pStyle w:val="null3"/>
      </w:pPr>
      <w:r>
        <w:rPr/>
        <w:t>采购包最高限价（元）: 1,605,000.00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自然灾害综合风险普查成果应用试点建设</w:t>
            </w:r>
          </w:p>
        </w:tc>
        <w:tc>
          <w:tcPr>
            <w:tcW w:type="dxa" w:w="831"/>
          </w:tcPr>
          <w:p>
            <w:pPr>
              <w:pStyle w:val="null3"/>
              <w:jc w:val="right"/>
            </w:pPr>
            <w:r>
              <w:rPr/>
              <w:t>1.00</w:t>
            </w:r>
          </w:p>
        </w:tc>
        <w:tc>
          <w:tcPr>
            <w:tcW w:type="dxa" w:w="831"/>
          </w:tcPr>
          <w:p>
            <w:pPr>
              <w:pStyle w:val="null3"/>
              <w:jc w:val="right"/>
            </w:pPr>
            <w:r>
              <w:rPr/>
              <w:t>1,605,000.00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标的名称：自然灾害综合风险普查成果应用试点建设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微软雅黑" w:hAnsi="微软雅黑" w:cs="微软雅黑" w:eastAsia="微软雅黑"/>
                      <w:color w:val="000000"/>
                      <w:sz w:val="21"/>
                    </w:rPr>
                    <w:t>一、项目背景</w:t>
                  </w:r>
                </w:p>
                <w:p>
                  <w:pPr>
                    <w:pStyle w:val="null3"/>
                    <w:jc w:val="left"/>
                  </w:pPr>
                  <w:r>
                    <w:rPr>
                      <w:rFonts w:ascii="微软雅黑" w:hAnsi="微软雅黑" w:cs="微软雅黑" w:eastAsia="微软雅黑"/>
                      <w:color w:val="000000"/>
                      <w:sz w:val="21"/>
                    </w:rPr>
                    <w:t>2018年10月10日，总书记主持召开中央财经委第三次会议并作重要讲话，强调要建立高效科学的自然灾害防治体系，提高全社会自然灾害防治能力，为保护人民群众生命财产安全和国家安全提供有力保障。会议要求针对关键领域和薄弱环节，推动建设“九项”重点工程。</w:t>
                  </w:r>
                </w:p>
                <w:p>
                  <w:pPr>
                    <w:pStyle w:val="null3"/>
                    <w:jc w:val="left"/>
                  </w:pPr>
                  <w:r>
                    <w:rPr>
                      <w:rFonts w:ascii="微软雅黑" w:hAnsi="微软雅黑" w:cs="微软雅黑" w:eastAsia="微软雅黑"/>
                      <w:color w:val="000000"/>
                      <w:sz w:val="21"/>
                    </w:rPr>
                    <w:t>为贯彻落实中央财经委关于提高自然灾害防治能力的部署要求，加快推进灾害风险调查和重点隐患排查工程的实施</w:t>
                  </w:r>
                  <w:r>
                    <w:rPr>
                      <w:rFonts w:ascii="微软雅黑" w:hAnsi="微软雅黑" w:cs="微软雅黑" w:eastAsia="微软雅黑"/>
                      <w:color w:val="000000"/>
                      <w:sz w:val="21"/>
                    </w:rPr>
                    <w:t>，应急管理部、自然资源部、住房和城乡建设部、生态环境部、水利部、中国气象局、中国地震局、国家林业和草原局等部门协同开展第一次全国自然灾害综合风险普查工作，为摸清全国灾害风险隐患底数，查明重点区域抗灾能力，客观认识全国和各地区灾害综合风险水平，有效开展自然灾害防治和应急管理工作、切实保障社会经济可持续发展提供权威的灾害风险信息和科学决策依据。</w:t>
                  </w:r>
                </w:p>
                <w:p>
                  <w:pPr>
                    <w:pStyle w:val="null3"/>
                    <w:jc w:val="left"/>
                  </w:pPr>
                  <w:r>
                    <w:rPr>
                      <w:rFonts w:ascii="微软雅黑" w:hAnsi="微软雅黑" w:cs="微软雅黑" w:eastAsia="微软雅黑"/>
                      <w:color w:val="000000"/>
                      <w:sz w:val="21"/>
                    </w:rPr>
                    <w:t>高新区通过强班子、建队伍、创机制、抓推进，高质量完成了各项普查工作，为全市其它区县和开发区协同推进普查工作发挥了模范带头作用，为国家完善自然灾害防治责任体系创出了新做法、提供了典型经验。</w:t>
                  </w:r>
                  <w:r>
                    <w:rPr>
                      <w:rFonts w:ascii="微软雅黑" w:hAnsi="微软雅黑" w:cs="微软雅黑" w:eastAsia="微软雅黑"/>
                      <w:color w:val="000000"/>
                      <w:sz w:val="21"/>
                    </w:rPr>
                    <w:t>2022年5月，高新区被市普查办确定为西安市第一次全国自然灾害综合风险普查成果应用试点区。2022年7月，西安高新区被省普查办确定为全省普查成果应用试点区。</w:t>
                  </w:r>
                </w:p>
                <w:p>
                  <w:pPr>
                    <w:pStyle w:val="null3"/>
                    <w:jc w:val="left"/>
                  </w:pPr>
                  <w:r>
                    <w:rPr>
                      <w:rFonts w:ascii="微软雅黑" w:hAnsi="微软雅黑" w:cs="微软雅黑" w:eastAsia="微软雅黑"/>
                      <w:color w:val="000000"/>
                      <w:sz w:val="21"/>
                    </w:rPr>
                    <w:t>高新区严格按照市普查办关于印发《西安市第一次全国自然灾害综合风险普查全市灾害风险评估与区划工作方案》《西安市第一次全国自然灾害综合风险普查成果应用工作方案》的通知（市灾险普办发〔</w:t>
                  </w:r>
                  <w:r>
                    <w:rPr>
                      <w:rFonts w:ascii="微软雅黑" w:hAnsi="微软雅黑" w:cs="微软雅黑" w:eastAsia="微软雅黑"/>
                      <w:color w:val="000000"/>
                      <w:sz w:val="21"/>
                    </w:rPr>
                    <w:t>2022〕11号）和《关于加快推进高新区第一次全国自然灾害综合风险普查成果应用试点工作的通知》（市灾险普办发〔2022〕12号）的要求，积极落实防灾减灾救灾“两个坚持”、“三个转变”重要理念，依据高新区普查成果数据并结合本地化防灾减灾救灾业务场景开展普查成果价值提升应用。在普查成果应用方面坚持边普查、边应用、边见效原则，满足常态下对灾害风险隐患底数、重点区域抗灾能力及地区灾害综合风险水平的本地化管理与直观可视、可查、可判需求，实现与应急指挥调度环节的紧密融合需求。</w:t>
                  </w:r>
                </w:p>
                <w:p>
                  <w:pPr>
                    <w:pStyle w:val="null3"/>
                    <w:jc w:val="left"/>
                  </w:pPr>
                  <w:r>
                    <w:rPr>
                      <w:rFonts w:ascii="微软雅黑" w:hAnsi="微软雅黑" w:cs="微软雅黑" w:eastAsia="微软雅黑"/>
                      <w:color w:val="000000"/>
                      <w:sz w:val="21"/>
                    </w:rPr>
                    <w:t>综上，基于普查成果的存储管理、汇集、可视化展示，改变应急管理从灾中处置到灾前预警的格局，围绕高效处置目标事件，基于风险隐患底数支撑，实现由</w:t>
                  </w:r>
                  <w:r>
                    <w:rPr>
                      <w:rFonts w:ascii="微软雅黑" w:hAnsi="微软雅黑" w:cs="微软雅黑" w:eastAsia="微软雅黑"/>
                      <w:color w:val="000000"/>
                      <w:sz w:val="21"/>
                    </w:rPr>
                    <w:t>“挂图作战”到“带图作战”的应用提升。</w:t>
                  </w:r>
                </w:p>
                <w:p>
                  <w:pPr>
                    <w:pStyle w:val="null3"/>
                    <w:jc w:val="left"/>
                  </w:pPr>
                  <w:r>
                    <w:rPr>
                      <w:rFonts w:ascii="微软雅黑" w:hAnsi="微软雅黑" w:cs="微软雅黑" w:eastAsia="微软雅黑"/>
                      <w:color w:val="000000"/>
                      <w:sz w:val="21"/>
                    </w:rPr>
                    <w:t>二、建设内容</w:t>
                  </w:r>
                </w:p>
                <w:p>
                  <w:pPr>
                    <w:pStyle w:val="null3"/>
                    <w:jc w:val="left"/>
                  </w:pPr>
                  <w:r>
                    <w:rPr>
                      <w:rFonts w:ascii="微软雅黑" w:hAnsi="微软雅黑" w:cs="微软雅黑" w:eastAsia="微软雅黑"/>
                      <w:color w:val="000000"/>
                      <w:sz w:val="21"/>
                    </w:rPr>
                    <w:t>1、数据集成与数据治理</w:t>
                  </w:r>
                </w:p>
                <w:p>
                  <w:pPr>
                    <w:pStyle w:val="null3"/>
                    <w:jc w:val="left"/>
                  </w:pPr>
                  <w:r>
                    <w:rPr>
                      <w:rFonts w:ascii="微软雅黑" w:hAnsi="微软雅黑" w:cs="微软雅黑" w:eastAsia="微软雅黑"/>
                      <w:color w:val="000000"/>
                      <w:sz w:val="21"/>
                    </w:rPr>
                    <w:t>基于高新区普查成果数据库管理系统实现应急数据资源汇聚，实现横向部门应急类数据共享，通过数据库设计和数据治理服务（数据接入、清洗、加工服务、数据质量提升等），建设应急数据标准规范体系，为上层业务系统提供标准化数据支撑。为应急管理相关的数据接入、数据存储、数据处理、数据发布、数据交换、数据应用提供强制性的技术约束，确保应急管理的数据治理工作规范、统一、有据。</w:t>
                  </w:r>
                </w:p>
                <w:p>
                  <w:pPr>
                    <w:pStyle w:val="null3"/>
                    <w:jc w:val="left"/>
                  </w:pPr>
                  <w:r>
                    <w:rPr>
                      <w:rFonts w:ascii="微软雅黑" w:hAnsi="微软雅黑" w:cs="微软雅黑" w:eastAsia="微软雅黑"/>
                      <w:color w:val="000000"/>
                      <w:sz w:val="21"/>
                    </w:rPr>
                    <w:t>2、自然灾害监测预警</w:t>
                  </w:r>
                </w:p>
                <w:p>
                  <w:pPr>
                    <w:pStyle w:val="null3"/>
                    <w:jc w:val="left"/>
                  </w:pPr>
                  <w:r>
                    <w:rPr>
                      <w:rFonts w:ascii="微软雅黑" w:hAnsi="微软雅黑" w:cs="微软雅黑" w:eastAsia="微软雅黑"/>
                      <w:color w:val="000000"/>
                      <w:sz w:val="21"/>
                    </w:rPr>
                    <w:t>自然灾害综合监测预警实现对洪涝灾害、地震灾害、气象灾害的实时数据监</w:t>
                  </w:r>
                  <w:r>
                    <w:rPr>
                      <w:rFonts w:ascii="微软雅黑" w:hAnsi="微软雅黑" w:cs="微软雅黑" w:eastAsia="微软雅黑"/>
                      <w:color w:val="000000"/>
                      <w:sz w:val="21"/>
                    </w:rPr>
                    <w:t>测和预警。实时数据监测采用对接市应急管理局系统对接成果，并对高新区各单位相关数据采用相同技术手段进行对接。</w:t>
                  </w:r>
                </w:p>
                <w:p>
                  <w:pPr>
                    <w:pStyle w:val="null3"/>
                    <w:jc w:val="left"/>
                  </w:pPr>
                  <w:r>
                    <w:rPr>
                      <w:rFonts w:ascii="微软雅黑" w:hAnsi="微软雅黑" w:cs="微软雅黑" w:eastAsia="微软雅黑"/>
                      <w:color w:val="000000"/>
                      <w:sz w:val="21"/>
                    </w:rPr>
                    <w:t>3、自然灾害风险分析研判。利用一张图综合展现洪涝、地震、气象等自然灾害风险的单灾种、多灾种的综合分析研判的各项能力，实现专题研判和联动处置，为自然灾害的防灾减灾救灾的决策提供支撑</w:t>
                  </w:r>
                  <w:r>
                    <w:rPr>
                      <w:rFonts w:ascii="宋体" w:hAnsi="宋体" w:cs="宋体" w:eastAsia="宋体"/>
                      <w:color w:val="000000"/>
                      <w:sz w:val="24"/>
                    </w:rPr>
                    <w:t>。</w:t>
                  </w:r>
                </w:p>
                <w:p>
                  <w:pPr>
                    <w:pStyle w:val="null3"/>
                  </w:pPr>
                  <w:r>
                    <w:rPr/>
                    <w:t xml:space="preserve"> </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b/>
                      <w:color w:val="000000"/>
                      <w:sz w:val="24"/>
                    </w:rPr>
                    <w:t>硬件环境需求表（性能相当于）</w:t>
                  </w:r>
                </w:p>
                <w:tbl>
                  <w:tblPr>
                    <w:tblInd w:type="dxa" w:w="135"/>
                    <w:tblBorders>
                      <w:top w:val="none" w:color="000000" w:sz="4"/>
                      <w:left w:val="none" w:color="000000" w:sz="4"/>
                      <w:bottom w:val="none" w:color="000000" w:sz="4"/>
                      <w:right w:val="none" w:color="000000" w:sz="4"/>
                      <w:insideH w:val="none"/>
                      <w:insideV w:val="none"/>
                    </w:tblBorders>
                  </w:tblPr>
                  <w:tblGrid>
                    <w:gridCol w:w="226"/>
                    <w:gridCol w:w="430"/>
                    <w:gridCol w:w="226"/>
                    <w:gridCol w:w="226"/>
                    <w:gridCol w:w="122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序号</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名称</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数量</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单位</w:t>
                        </w:r>
                      </w:p>
                    </w:tc>
                    <w:tc>
                      <w:tcPr>
                        <w:tcW w:type="dxa" w:w="1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4"/>
                          </w:rPr>
                          <w:t>技术规格</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数据服务器</w:t>
                        </w:r>
                        <w:r>
                          <w:br/>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台</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w:t>
                        </w:r>
                        <w:r>
                          <w:rPr>
                            <w:rFonts w:ascii="宋体" w:hAnsi="宋体" w:cs="宋体" w:eastAsia="宋体"/>
                            <w:color w:val="000000"/>
                            <w:sz w:val="24"/>
                          </w:rPr>
                          <w:t>1）国产化服务器</w:t>
                        </w:r>
                        <w:r>
                          <w:br/>
                        </w:r>
                        <w:r>
                          <w:rPr>
                            <w:rFonts w:ascii="宋体" w:hAnsi="宋体" w:cs="宋体" w:eastAsia="宋体"/>
                            <w:color w:val="000000"/>
                            <w:sz w:val="24"/>
                          </w:rPr>
                          <w:t>（</w:t>
                        </w:r>
                        <w:r>
                          <w:rPr>
                            <w:rFonts w:ascii="宋体" w:hAnsi="宋体" w:cs="宋体" w:eastAsia="宋体"/>
                            <w:color w:val="000000"/>
                            <w:sz w:val="24"/>
                          </w:rPr>
                          <w:t>2）基础参数: CPU:≥32核，主频</w:t>
                        </w:r>
                        <w:r>
                          <w:rPr>
                            <w:rFonts w:ascii="宋体" w:hAnsi="宋体" w:cs="宋体" w:eastAsia="宋体"/>
                            <w:color w:val="000000"/>
                            <w:sz w:val="24"/>
                          </w:rPr>
                          <w:t>≥</w:t>
                        </w:r>
                        <w:r>
                          <w:rPr>
                            <w:rFonts w:ascii="宋体" w:hAnsi="宋体" w:cs="宋体" w:eastAsia="宋体"/>
                            <w:color w:val="000000"/>
                            <w:sz w:val="24"/>
                          </w:rPr>
                          <w:t>2.3GHz，缓存</w:t>
                        </w:r>
                        <w:r>
                          <w:rPr>
                            <w:rFonts w:ascii="宋体" w:hAnsi="宋体" w:cs="宋体" w:eastAsia="宋体"/>
                            <w:color w:val="000000"/>
                            <w:sz w:val="24"/>
                          </w:rPr>
                          <w:t>≥</w:t>
                        </w:r>
                        <w:r>
                          <w:rPr>
                            <w:rFonts w:ascii="宋体" w:hAnsi="宋体" w:cs="宋体" w:eastAsia="宋体"/>
                            <w:color w:val="000000"/>
                            <w:sz w:val="24"/>
                          </w:rPr>
                          <w:t>22M,内存256G+，硬盘4TB+</w:t>
                        </w:r>
                        <w:r>
                          <w:br/>
                        </w:r>
                        <w:r>
                          <w:rPr>
                            <w:rFonts w:ascii="宋体" w:hAnsi="宋体" w:cs="宋体" w:eastAsia="宋体"/>
                            <w:color w:val="000000"/>
                            <w:sz w:val="24"/>
                          </w:rPr>
                          <w:t>（</w:t>
                        </w:r>
                        <w:r>
                          <w:rPr>
                            <w:rFonts w:ascii="宋体" w:hAnsi="宋体" w:cs="宋体" w:eastAsia="宋体"/>
                            <w:color w:val="000000"/>
                            <w:sz w:val="24"/>
                          </w:rPr>
                          <w:t>3）网络：</w:t>
                        </w:r>
                        <w:r>
                          <w:rPr>
                            <w:rFonts w:ascii="宋体" w:hAnsi="宋体" w:cs="宋体" w:eastAsia="宋体"/>
                            <w:color w:val="000000"/>
                            <w:sz w:val="24"/>
                          </w:rPr>
                          <w:t>≥</w:t>
                        </w:r>
                        <w:r>
                          <w:rPr>
                            <w:rFonts w:ascii="宋体" w:hAnsi="宋体" w:cs="宋体" w:eastAsia="宋体"/>
                            <w:color w:val="000000"/>
                            <w:sz w:val="24"/>
                          </w:rPr>
                          <w:t>2个10/100/1000Mbps 接口</w:t>
                        </w:r>
                        <w:r>
                          <w:br/>
                        </w:r>
                        <w:r>
                          <w:rPr>
                            <w:rFonts w:ascii="宋体" w:hAnsi="宋体" w:cs="宋体" w:eastAsia="宋体"/>
                            <w:color w:val="000000"/>
                            <w:sz w:val="24"/>
                          </w:rPr>
                          <w:t>（</w:t>
                        </w:r>
                        <w:r>
                          <w:rPr>
                            <w:rFonts w:ascii="宋体" w:hAnsi="宋体" w:cs="宋体" w:eastAsia="宋体"/>
                            <w:color w:val="000000"/>
                            <w:sz w:val="24"/>
                          </w:rPr>
                          <w:t>4）接口：</w:t>
                        </w:r>
                        <w:r>
                          <w:rPr>
                            <w:rFonts w:ascii="宋体" w:hAnsi="宋体" w:cs="宋体" w:eastAsia="宋体"/>
                            <w:color w:val="000000"/>
                            <w:sz w:val="24"/>
                          </w:rPr>
                          <w:t>≥</w:t>
                        </w:r>
                        <w:r>
                          <w:rPr>
                            <w:rFonts w:ascii="宋体" w:hAnsi="宋体" w:cs="宋体" w:eastAsia="宋体"/>
                            <w:color w:val="000000"/>
                            <w:sz w:val="24"/>
                          </w:rPr>
                          <w:t>5*USB3.0接口；4*千兆自适应网口,1*系统管理网口；1*VGA 接口；6*SATA</w:t>
                        </w:r>
                        <w:r>
                          <w:rPr>
                            <w:rFonts w:ascii="宋体" w:hAnsi="宋体" w:cs="宋体" w:eastAsia="宋体"/>
                            <w:color w:val="000000"/>
                            <w:sz w:val="24"/>
                          </w:rPr>
                          <w:t>接口；2*PCIEX16插槽、2*PCIEX8插槽</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应用服务器</w:t>
                        </w:r>
                        <w:r>
                          <w:br/>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台</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w:t>
                        </w:r>
                        <w:r>
                          <w:rPr>
                            <w:rFonts w:ascii="宋体" w:hAnsi="宋体" w:cs="宋体" w:eastAsia="宋体"/>
                            <w:color w:val="000000"/>
                            <w:sz w:val="24"/>
                          </w:rPr>
                          <w:t>1）国产化服务器</w:t>
                        </w:r>
                        <w:r>
                          <w:br/>
                        </w:r>
                        <w:r>
                          <w:rPr>
                            <w:rFonts w:ascii="宋体" w:hAnsi="宋体" w:cs="宋体" w:eastAsia="宋体"/>
                            <w:color w:val="000000"/>
                            <w:sz w:val="24"/>
                          </w:rPr>
                          <w:t>（</w:t>
                        </w:r>
                        <w:r>
                          <w:rPr>
                            <w:rFonts w:ascii="宋体" w:hAnsi="宋体" w:cs="宋体" w:eastAsia="宋体"/>
                            <w:color w:val="000000"/>
                            <w:sz w:val="24"/>
                          </w:rPr>
                          <w:t>2）基础参数: CPU:</w:t>
                        </w:r>
                        <w:r>
                          <w:rPr>
                            <w:rFonts w:ascii="宋体" w:hAnsi="宋体" w:cs="宋体" w:eastAsia="宋体"/>
                            <w:color w:val="000000"/>
                            <w:sz w:val="24"/>
                          </w:rPr>
                          <w:t>≥</w:t>
                        </w:r>
                        <w:r>
                          <w:rPr>
                            <w:rFonts w:ascii="宋体" w:hAnsi="宋体" w:cs="宋体" w:eastAsia="宋体"/>
                            <w:color w:val="000000"/>
                            <w:sz w:val="24"/>
                          </w:rPr>
                          <w:t>32核，主频</w:t>
                        </w:r>
                        <w:r>
                          <w:rPr>
                            <w:rFonts w:ascii="宋体" w:hAnsi="宋体" w:cs="宋体" w:eastAsia="宋体"/>
                            <w:color w:val="000000"/>
                            <w:sz w:val="24"/>
                          </w:rPr>
                          <w:t>≥</w:t>
                        </w:r>
                        <w:r>
                          <w:rPr>
                            <w:rFonts w:ascii="宋体" w:hAnsi="宋体" w:cs="宋体" w:eastAsia="宋体"/>
                            <w:color w:val="000000"/>
                            <w:sz w:val="24"/>
                          </w:rPr>
                          <w:t>2.3GHz，缓存</w:t>
                        </w:r>
                        <w:r>
                          <w:rPr>
                            <w:rFonts w:ascii="宋体" w:hAnsi="宋体" w:cs="宋体" w:eastAsia="宋体"/>
                            <w:color w:val="000000"/>
                            <w:sz w:val="24"/>
                          </w:rPr>
                          <w:t>≥</w:t>
                        </w:r>
                        <w:r>
                          <w:rPr>
                            <w:rFonts w:ascii="宋体" w:hAnsi="宋体" w:cs="宋体" w:eastAsia="宋体"/>
                            <w:color w:val="000000"/>
                            <w:sz w:val="24"/>
                          </w:rPr>
                          <w:t>22MM,内存128G+，硬盘2TB+</w:t>
                        </w:r>
                        <w:r>
                          <w:br/>
                        </w:r>
                        <w:r>
                          <w:rPr>
                            <w:rFonts w:ascii="宋体" w:hAnsi="宋体" w:cs="宋体" w:eastAsia="宋体"/>
                            <w:color w:val="000000"/>
                            <w:sz w:val="24"/>
                          </w:rPr>
                          <w:t>（</w:t>
                        </w:r>
                        <w:r>
                          <w:rPr>
                            <w:rFonts w:ascii="宋体" w:hAnsi="宋体" w:cs="宋体" w:eastAsia="宋体"/>
                            <w:color w:val="000000"/>
                            <w:sz w:val="24"/>
                          </w:rPr>
                          <w:t>3）网络：</w:t>
                        </w:r>
                        <w:r>
                          <w:rPr>
                            <w:rFonts w:ascii="宋体" w:hAnsi="宋体" w:cs="宋体" w:eastAsia="宋体"/>
                            <w:color w:val="000000"/>
                            <w:sz w:val="24"/>
                          </w:rPr>
                          <w:t>≥</w:t>
                        </w:r>
                        <w:r>
                          <w:rPr>
                            <w:rFonts w:ascii="宋体" w:hAnsi="宋体" w:cs="宋体" w:eastAsia="宋体"/>
                            <w:color w:val="000000"/>
                            <w:sz w:val="24"/>
                          </w:rPr>
                          <w:t>2个10/100/1000Mbps 接口</w:t>
                        </w:r>
                        <w:r>
                          <w:br/>
                        </w:r>
                        <w:r>
                          <w:rPr>
                            <w:rFonts w:ascii="宋体" w:hAnsi="宋体" w:cs="宋体" w:eastAsia="宋体"/>
                            <w:color w:val="000000"/>
                            <w:sz w:val="24"/>
                          </w:rPr>
                          <w:t>（</w:t>
                        </w:r>
                        <w:r>
                          <w:rPr>
                            <w:rFonts w:ascii="宋体" w:hAnsi="宋体" w:cs="宋体" w:eastAsia="宋体"/>
                            <w:color w:val="000000"/>
                            <w:sz w:val="24"/>
                          </w:rPr>
                          <w:t>4）接口：</w:t>
                        </w:r>
                        <w:r>
                          <w:rPr>
                            <w:rFonts w:ascii="宋体" w:hAnsi="宋体" w:cs="宋体" w:eastAsia="宋体"/>
                            <w:color w:val="000000"/>
                            <w:sz w:val="24"/>
                          </w:rPr>
                          <w:t>≥</w:t>
                        </w:r>
                        <w:r>
                          <w:rPr>
                            <w:rFonts w:ascii="宋体" w:hAnsi="宋体" w:cs="宋体" w:eastAsia="宋体"/>
                            <w:color w:val="000000"/>
                            <w:sz w:val="24"/>
                          </w:rPr>
                          <w:t>5*USB3.0接口；4*千兆自适应网口,1*系统管理网口；1*VGA接口；6*SATA接口；2*PCIEX16插槽、2*PCIEX8插槽</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3</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交换机</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台</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≥48个10/100/1000Base-T 以太网端口，4个万兆SFP+，单子卡槽位，含1个150W交流电源。</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4</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宋体" w:hAnsi="宋体" w:cs="宋体" w:eastAsia="宋体"/>
                            <w:color w:val="000000"/>
                            <w:sz w:val="24"/>
                          </w:rPr>
                          <w:t>防火墙</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个</w:t>
                        </w: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网络处理能力</w:t>
                        </w:r>
                        <w:r>
                          <w:rPr>
                            <w:rFonts w:ascii="宋体" w:hAnsi="宋体" w:cs="宋体" w:eastAsia="宋体"/>
                            <w:color w:val="000000"/>
                            <w:sz w:val="24"/>
                          </w:rPr>
                          <w:t>≥</w:t>
                        </w:r>
                        <w:r>
                          <w:rPr>
                            <w:rFonts w:ascii="宋体" w:hAnsi="宋体" w:cs="宋体" w:eastAsia="宋体"/>
                            <w:color w:val="000000"/>
                            <w:sz w:val="24"/>
                          </w:rPr>
                          <w:t>1.5Gbps，并发连接≥90万，每秒新建连接1.8万/秒，1U机箱，单电源，标准配置板载8个10/100/1000M自适应电、2个SFP插槽，1个Console口。</w:t>
                        </w:r>
                      </w:p>
                    </w:tc>
                  </w:tr>
                </w:tbl>
                <w:p>
                  <w:pPr>
                    <w:pStyle w:val="null3"/>
                    <w:jc w:val="left"/>
                  </w:pPr>
                </w:p>
              </w:tc>
            </w:tr>
          </w:tbl>
          <w:p/>
        </w:tc>
      </w:tr>
    </w:tbl>
    <w:p>
      <w:pPr>
        <w:pStyle w:val="null3"/>
        <w:outlineLvl w:val="2"/>
      </w:pPr>
      <w:r>
        <w:rPr>
          <w:b/>
          <w:sz w:val="28"/>
        </w:rPr>
        <w:t>3.2.3人员配置要求</w:t>
      </w:r>
    </w:p>
    <w:p>
      <w:pPr>
        <w:pStyle w:val="null3"/>
      </w:pPr>
      <w:r>
        <w:rPr/>
        <w:t>采购包1：</w:t>
      </w:r>
    </w:p>
    <w:p>
      <w:pPr>
        <w:pStyle w:val="null3"/>
      </w:pPr>
      <w:r>
        <w:rPr/>
        <w:t>详见服务要求</w:t>
      </w:r>
    </w:p>
    <w:p>
      <w:pPr>
        <w:pStyle w:val="null3"/>
        <w:outlineLvl w:val="2"/>
      </w:pPr>
      <w:r>
        <w:rPr>
          <w:b/>
          <w:sz w:val="28"/>
        </w:rPr>
        <w:t>3.2.4设施设备要求</w:t>
      </w:r>
    </w:p>
    <w:p>
      <w:pPr>
        <w:pStyle w:val="null3"/>
      </w:pPr>
      <w:r>
        <w:rPr/>
        <w:t>采购包1：</w:t>
      </w:r>
    </w:p>
    <w:p>
      <w:pPr>
        <w:pStyle w:val="null3"/>
      </w:pPr>
      <w:r>
        <w:rPr/>
        <w:t>详见服务要求</w:t>
      </w:r>
    </w:p>
    <w:p>
      <w:pPr>
        <w:pStyle w:val="null3"/>
        <w:outlineLvl w:val="2"/>
      </w:pPr>
      <w:r>
        <w:rPr>
          <w:b/>
          <w:sz w:val="28"/>
        </w:rPr>
        <w:t>3.2.5其他要求</w:t>
      </w:r>
    </w:p>
    <w:p>
      <w:pPr>
        <w:pStyle w:val="null3"/>
      </w:pPr>
      <w:r>
        <w:rPr/>
        <w:t>采购包1：</w:t>
      </w:r>
    </w:p>
    <w:p>
      <w:pPr>
        <w:pStyle w:val="null3"/>
      </w:pPr>
      <w:r>
        <w:rPr/>
        <w:t>详见服务要求</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自合同签订之日起210日历天。</w:t>
      </w:r>
    </w:p>
    <w:p>
      <w:pPr>
        <w:pStyle w:val="null3"/>
        <w:outlineLvl w:val="3"/>
      </w:pPr>
      <w:r>
        <w:rPr>
          <w:b/>
          <w:sz w:val="24"/>
        </w:rPr>
        <w:t>3.3.2服务地点</w:t>
      </w:r>
    </w:p>
    <w:p>
      <w:pPr>
        <w:pStyle w:val="null3"/>
      </w:pPr>
      <w:r>
        <w:rPr/>
        <w:t>采购包1：</w:t>
      </w:r>
    </w:p>
    <w:p>
      <w:pPr>
        <w:pStyle w:val="null3"/>
      </w:pPr>
      <w:r>
        <w:rPr/>
        <w:t>甲方指定地点</w:t>
      </w:r>
    </w:p>
    <w:p>
      <w:pPr>
        <w:pStyle w:val="null3"/>
        <w:outlineLvl w:val="3"/>
      </w:pPr>
      <w:r>
        <w:rPr>
          <w:b/>
          <w:sz w:val="24"/>
        </w:rPr>
        <w:t>3.3.3考核（验收）标准和方法</w:t>
      </w:r>
    </w:p>
    <w:p>
      <w:pPr>
        <w:pStyle w:val="null3"/>
      </w:pPr>
      <w:r>
        <w:rPr/>
        <w:t>采购包1：</w:t>
      </w:r>
    </w:p>
    <w:p>
      <w:pPr>
        <w:pStyle w:val="null3"/>
      </w:pPr>
      <w:r>
        <w:rPr/>
        <w:t>详见采购合同</w:t>
      </w:r>
    </w:p>
    <w:p>
      <w:pPr>
        <w:pStyle w:val="null3"/>
        <w:outlineLvl w:val="3"/>
      </w:pPr>
      <w:r>
        <w:rPr>
          <w:b/>
          <w:sz w:val="24"/>
        </w:rPr>
        <w:t>3.3.4支付方式</w:t>
      </w:r>
    </w:p>
    <w:p>
      <w:pPr>
        <w:pStyle w:val="null3"/>
      </w:pPr>
      <w:r>
        <w:rPr/>
        <w:t>采购包1：</w:t>
      </w:r>
    </w:p>
    <w:p>
      <w:pPr>
        <w:pStyle w:val="null3"/>
      </w:pPr>
      <w:r>
        <w:rPr/>
        <w:t>分期付款</w:t>
      </w:r>
    </w:p>
    <w:p>
      <w:pPr>
        <w:pStyle w:val="null3"/>
        <w:outlineLvl w:val="3"/>
      </w:pPr>
      <w:r>
        <w:rPr>
          <w:b/>
          <w:sz w:val="24"/>
        </w:rPr>
        <w:t>3.3.5支付约定</w:t>
      </w:r>
    </w:p>
    <w:p>
      <w:pPr>
        <w:pStyle w:val="null3"/>
      </w:pPr>
      <w:r>
        <w:rPr/>
        <w:t>采购包1：</w:t>
      </w:r>
      <w:r>
        <w:rPr/>
        <w:t xml:space="preserve"> 付款条件说明： </w:t>
      </w:r>
      <w:r>
        <w:rPr/>
        <w:t>合同签订后</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项目完成后</w:t>
      </w:r>
      <w:r>
        <w:rPr/>
        <w:t xml:space="preserve"> ，达到付款条件起 </w:t>
      </w:r>
      <w:r>
        <w:rPr/>
        <w:t>30</w:t>
      </w:r>
      <w:r>
        <w:rPr/>
        <w:t xml:space="preserve"> 日内，支付合同总金额的 </w:t>
      </w:r>
      <w:r>
        <w:rPr/>
        <w:t>70.00</w:t>
      </w:r>
      <w:r>
        <w:rPr/>
        <w:t>%。</w:t>
      </w:r>
    </w:p>
    <w:p>
      <w:pPr>
        <w:pStyle w:val="null3"/>
        <w:outlineLvl w:val="3"/>
      </w:pPr>
      <w:r>
        <w:rPr>
          <w:b/>
          <w:sz w:val="24"/>
        </w:rPr>
        <w:t>3.3.6违约责任及解决争议的方法</w:t>
      </w:r>
    </w:p>
    <w:p>
      <w:pPr>
        <w:pStyle w:val="null3"/>
      </w:pPr>
      <w:r>
        <w:rPr/>
        <w:t>采购包1：</w:t>
      </w:r>
    </w:p>
    <w:p>
      <w:pPr>
        <w:pStyle w:val="null3"/>
      </w:pPr>
      <w:r>
        <w:rPr/>
        <w:t>详见采购合同</w:t>
      </w:r>
    </w:p>
    <w:p>
      <w:pPr>
        <w:pStyle w:val="null3"/>
        <w:outlineLvl w:val="2"/>
      </w:pPr>
      <w:r>
        <w:rPr>
          <w:b/>
          <w:sz w:val="28"/>
        </w:rPr>
        <w:t>3.4其他要求</w:t>
      </w:r>
    </w:p>
    <w:p>
      <w:pPr>
        <w:pStyle w:val="null3"/>
      </w:pPr>
      <w:r>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2、质量要求：软硬件需要满足采购人要求。</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（2）提供2022或2023年度经审计的财务报告（成立时间至提交磋商响应文件截止时间不足一年的可提供成立后任意时段的资产负债表），或磋商响应文件递交截止日前六个月内银行出具的资信证明； (3)提供磋商响应文件递交截止日前一年内已缴存的至少一个月的社会保障资金缴存单据或社保机构开具的社会保险参保缴费情况证明，依法不需要缴纳社会保障资金的单位应提供相关证明材料； (4)提供磋商响应文件递交截止日前一年内已缴纳的至少一个月的纳税证明或完税证明，依法免税的单位应提供相关证明材料；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提供2022或2023年度经审计的财务报告（成立时间至提交磋商响应文件截止时间不足一年的可提供成立后任意时段的资产负债表），或磋商响应文件递交截止日前六个月内银行出具的资信证明。</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身份证明</w:t>
            </w:r>
          </w:p>
        </w:tc>
        <w:tc>
          <w:tcPr>
            <w:tcW w:type="dxa" w:w="3322"/>
          </w:tcPr>
          <w:p>
            <w:pPr>
              <w:pStyle w:val="null3"/>
            </w:pPr>
            <w:r>
              <w:rPr/>
              <w:t xml:space="preserve"> 法定代表人授权书（法定代表人直接参加磋商，须提供法定代表人身份证明）；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非联合体声明</w:t>
            </w:r>
          </w:p>
        </w:tc>
        <w:tc>
          <w:tcPr>
            <w:tcW w:type="dxa" w:w="3322"/>
          </w:tcPr>
          <w:p>
            <w:pPr>
              <w:pStyle w:val="null3"/>
            </w:pPr>
            <w:r>
              <w:rPr/>
              <w:t>本项目不接受联合体投标；</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将在开标当日打印查询记录作为证据留存，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t>资格证明文件</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响应文件内容</w:t>
            </w:r>
          </w:p>
        </w:tc>
        <w:tc>
          <w:tcPr>
            <w:tcW w:type="dxa" w:w="3322"/>
          </w:tcPr>
          <w:p>
            <w:pPr>
              <w:pStyle w:val="null3"/>
            </w:pPr>
            <w:r>
              <w:rPr/>
              <w:t>磋商响应文件内容齐全、无遗漏</w:t>
            </w:r>
          </w:p>
        </w:tc>
        <w:tc>
          <w:tcPr>
            <w:tcW w:type="dxa" w:w="1661"/>
          </w:tcPr>
          <w:p>
            <w:pPr>
              <w:pStyle w:val="null3"/>
            </w:pPr>
            <w:r>
              <w:rPr/>
              <w:t>分项报价表 中小企业声明函 技术方案 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3</w:t>
            </w:r>
          </w:p>
        </w:tc>
        <w:tc>
          <w:tcPr>
            <w:tcW w:type="dxa" w:w="2492"/>
          </w:tcPr>
          <w:p>
            <w:pPr>
              <w:pStyle w:val="null3"/>
            </w:pPr>
            <w:r>
              <w:rPr/>
              <w:t>对磋商文件响应程度</w:t>
            </w:r>
          </w:p>
        </w:tc>
        <w:tc>
          <w:tcPr>
            <w:tcW w:type="dxa" w:w="3322"/>
          </w:tcPr>
          <w:p>
            <w:pPr>
              <w:pStyle w:val="null3"/>
            </w:pPr>
            <w:r>
              <w:rPr/>
              <w:t>要求全面响应，不能有任何采购人不能接受的附加条件</w:t>
            </w:r>
          </w:p>
        </w:tc>
        <w:tc>
          <w:tcPr>
            <w:tcW w:type="dxa" w:w="1661"/>
          </w:tcPr>
          <w:p>
            <w:pPr>
              <w:pStyle w:val="null3"/>
            </w:pPr>
            <w:r>
              <w:rPr/>
              <w:t>分项报价表 中小企业声明函 技术方案 报价表 商务条款偏离表 业绩一览表 响应文件封面 资格证明文件 残疾人福利性单位声明函 标的清单 陕西省政府采购供应商拒绝政府采购领域商业贿赂承诺书 响应函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商务条款偏离表</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 xml:space="preserve"> 应符合磋商文件的要求</w:t>
            </w:r>
          </w:p>
        </w:tc>
        <w:tc>
          <w:tcPr>
            <w:tcW w:type="dxa" w:w="1661"/>
          </w:tcPr>
          <w:p>
            <w:pPr>
              <w:pStyle w:val="null3"/>
            </w:pPr>
            <w:r>
              <w:rPr/>
              <w:t>商务条款偏离表</w:t>
            </w:r>
          </w:p>
        </w:tc>
      </w:tr>
      <w:tr>
        <w:tc>
          <w:tcPr>
            <w:tcW w:type="dxa" w:w="831"/>
          </w:tcPr>
          <w:p>
            <w:pPr>
              <w:pStyle w:val="null3"/>
            </w:pPr>
            <w:r>
              <w:rPr/>
              <w:t>6</w:t>
            </w:r>
          </w:p>
        </w:tc>
        <w:tc>
          <w:tcPr>
            <w:tcW w:type="dxa" w:w="2492"/>
          </w:tcPr>
          <w:p>
            <w:pPr>
              <w:pStyle w:val="null3"/>
            </w:pPr>
            <w:r>
              <w:rPr/>
              <w:t>质量</w:t>
            </w:r>
          </w:p>
        </w:tc>
        <w:tc>
          <w:tcPr>
            <w:tcW w:type="dxa" w:w="3322"/>
          </w:tcPr>
          <w:p>
            <w:pPr>
              <w:pStyle w:val="null3"/>
            </w:pPr>
            <w:r>
              <w:rPr/>
              <w:t>应符合磋商文件的要求</w:t>
            </w:r>
          </w:p>
        </w:tc>
        <w:tc>
          <w:tcPr>
            <w:tcW w:type="dxa" w:w="1661"/>
          </w:tcPr>
          <w:p>
            <w:pPr>
              <w:pStyle w:val="null3"/>
            </w:pPr>
            <w:r>
              <w:rPr/>
              <w:t>商务条款偏离表</w:t>
            </w:r>
          </w:p>
        </w:tc>
      </w:tr>
      <w:tr>
        <w:tc>
          <w:tcPr>
            <w:tcW w:type="dxa" w:w="831"/>
          </w:tcPr>
          <w:p>
            <w:pPr>
              <w:pStyle w:val="null3"/>
            </w:pPr>
            <w:r>
              <w:rPr/>
              <w:t>7</w:t>
            </w:r>
          </w:p>
        </w:tc>
        <w:tc>
          <w:tcPr>
            <w:tcW w:type="dxa" w:w="2492"/>
          </w:tcPr>
          <w:p>
            <w:pPr>
              <w:pStyle w:val="null3"/>
            </w:pPr>
            <w:r>
              <w:rPr/>
              <w:t>磋商有效期</w:t>
            </w:r>
          </w:p>
        </w:tc>
        <w:tc>
          <w:tcPr>
            <w:tcW w:type="dxa" w:w="3322"/>
          </w:tcPr>
          <w:p>
            <w:pPr>
              <w:pStyle w:val="null3"/>
            </w:pPr>
            <w:r>
              <w:rPr/>
              <w:t>应符合磋商文件的要求</w:t>
            </w:r>
          </w:p>
        </w:tc>
        <w:tc>
          <w:tcPr>
            <w:tcW w:type="dxa" w:w="1661"/>
          </w:tcPr>
          <w:p>
            <w:pPr>
              <w:pStyle w:val="null3"/>
            </w:pPr>
            <w:r>
              <w:rPr/>
              <w:t>商务条款偏离表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对项目背景与工作目标的解读与理解</w:t>
            </w:r>
          </w:p>
        </w:tc>
        <w:tc>
          <w:tcPr>
            <w:tcW w:type="dxa" w:w="2492"/>
          </w:tcPr>
          <w:p>
            <w:pPr>
              <w:pStyle w:val="null3"/>
            </w:pPr>
            <w:r>
              <w:rPr/>
              <w:t>（对自然灾害特征与防治能力的现状及本次项目建设背景、建设内容、建设目标，建设思路的理解程度） 具有相关项目经验，且对本项目背景和工作目标熟悉、了解到位得6-10分； 了解和熟悉情况较好3-6分； 了解、熟悉情况一般得0-3分。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总体架构</w:t>
            </w:r>
          </w:p>
        </w:tc>
        <w:tc>
          <w:tcPr>
            <w:tcW w:type="dxa" w:w="2492"/>
          </w:tcPr>
          <w:p>
            <w:pPr>
              <w:pStyle w:val="null3"/>
            </w:pPr>
            <w:r>
              <w:rPr/>
              <w:t>（系统架构、数据架构、技术路线、关键技术、部署架构、安全设计等方面） 思路清晰、合理、可行，对项目实施具有较强的指导作用得6-10分； 思路基本清晰、具有一定的合理性和可行性，对项目实施有一定指导作用的得 3-6分； 服务方案思路不清晰、合理性和可行性较差，影响项目实施的得0-3分。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功能设计</w:t>
            </w:r>
          </w:p>
        </w:tc>
        <w:tc>
          <w:tcPr>
            <w:tcW w:type="dxa" w:w="2492"/>
          </w:tcPr>
          <w:p>
            <w:pPr>
              <w:pStyle w:val="null3"/>
            </w:pPr>
            <w:r>
              <w:rPr/>
              <w:t xml:space="preserve"> 系统设计方案完整，且系统功能设计详细、合理可行，得6-10分； 系统设计方案较完整，系统功能设计粗略笼统、缺乏可实施性，得3-6分； 系统设计方案差、或设计不合理的，得0-3分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质量控制方案</w:t>
            </w:r>
          </w:p>
        </w:tc>
        <w:tc>
          <w:tcPr>
            <w:tcW w:type="dxa" w:w="2492"/>
          </w:tcPr>
          <w:p>
            <w:pPr>
              <w:pStyle w:val="null3"/>
            </w:pPr>
            <w:r>
              <w:rPr/>
              <w:t xml:space="preserve"> 内容完整、详实可行，有针对性和可操作性得 6-10分； 内容较完整详细、基本符合采购需求得 3-6分； 方案欠佳、可行性差得 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进度控制方案</w:t>
            </w:r>
          </w:p>
        </w:tc>
        <w:tc>
          <w:tcPr>
            <w:tcW w:type="dxa" w:w="2492"/>
          </w:tcPr>
          <w:p>
            <w:pPr>
              <w:pStyle w:val="null3"/>
            </w:pPr>
            <w:r>
              <w:rPr/>
              <w:t xml:space="preserve"> 方案完整，合理可行，得6-10分； 方案较完整，合理性及针对性一般，得3-6分； 方案不完整，合理性及可行性差，得 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培训方案</w:t>
            </w:r>
          </w:p>
        </w:tc>
        <w:tc>
          <w:tcPr>
            <w:tcW w:type="dxa" w:w="2492"/>
          </w:tcPr>
          <w:p>
            <w:pPr>
              <w:pStyle w:val="null3"/>
            </w:pPr>
            <w:r>
              <w:rPr/>
              <w:t>（包括培训对象分析、培训方式设计、培训内容设计、培训计划制定、培训质量保证措施等） 方案完整，合理可行，得6-10分； 方案较完整，合理性及针对性一般，得3-6分； 方案不完整，合理性及可行性差，得 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售后服务方案</w:t>
            </w:r>
          </w:p>
        </w:tc>
        <w:tc>
          <w:tcPr>
            <w:tcW w:type="dxa" w:w="2492"/>
          </w:tcPr>
          <w:p>
            <w:pPr>
              <w:pStyle w:val="null3"/>
            </w:pPr>
            <w:r>
              <w:rPr/>
              <w:t xml:space="preserve"> 方案完整，合理可行，得3-5分； 方案较完整，合理性及针对性一般，得1-3分； 方案不完整，合理性及可行性差，得 0-1分。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企业综合实力</w:t>
            </w:r>
          </w:p>
        </w:tc>
        <w:tc>
          <w:tcPr>
            <w:tcW w:type="dxa" w:w="2492"/>
          </w:tcPr>
          <w:p>
            <w:pPr>
              <w:pStyle w:val="null3"/>
            </w:pPr>
            <w:r>
              <w:rPr/>
              <w:t>投标供应商每具备下列证书一项得1分、满分4分： ISO20000信息技术服务管理体系认证证书； ISO27001信息安全管理体系认证证书； ISO9001质量管理体系认证证书； ISO14001环境管理体系认证证书； (提供有效的证书复印件或扫描件并加盖投标供应商公章)</w:t>
            </w:r>
          </w:p>
        </w:tc>
        <w:tc>
          <w:tcPr>
            <w:tcW w:type="dxa" w:w="831"/>
          </w:tcPr>
          <w:p>
            <w:pPr>
              <w:pStyle w:val="null3"/>
              <w:jc w:val="right"/>
            </w:pPr>
            <w:r>
              <w:rPr/>
              <w:t>4.00</w:t>
            </w:r>
          </w:p>
        </w:tc>
        <w:tc>
          <w:tcPr>
            <w:tcW w:type="dxa" w:w="831"/>
          </w:tcPr>
          <w:p>
            <w:pPr>
              <w:pStyle w:val="null3"/>
            </w:pPr>
            <w:r>
              <w:rPr/>
              <w:t>客观</w:t>
            </w:r>
          </w:p>
        </w:tc>
        <w:tc>
          <w:tcPr>
            <w:tcW w:type="dxa" w:w="1661"/>
          </w:tcPr>
          <w:p>
            <w:pPr>
              <w:pStyle w:val="null3"/>
            </w:pPr>
            <w:r>
              <w:rPr/>
              <w:t>技术方案</w:t>
            </w:r>
          </w:p>
        </w:tc>
      </w:tr>
      <w:tr>
        <w:tc>
          <w:tcPr>
            <w:tcW w:type="dxa" w:w="831"/>
            <w:vMerge/>
          </w:tcPr>
          <w:p/>
        </w:tc>
        <w:tc>
          <w:tcPr>
            <w:tcW w:type="dxa" w:w="1661"/>
          </w:tcPr>
          <w:p>
            <w:pPr>
              <w:pStyle w:val="null3"/>
            </w:pPr>
            <w:r>
              <w:rPr/>
              <w:t>项目经理</w:t>
            </w:r>
          </w:p>
        </w:tc>
        <w:tc>
          <w:tcPr>
            <w:tcW w:type="dxa" w:w="2492"/>
          </w:tcPr>
          <w:p>
            <w:pPr>
              <w:pStyle w:val="null3"/>
            </w:pPr>
            <w:r>
              <w:rPr/>
              <w:t>投标供应商拟派项目经理具有应急、地理信息、测绘等专业高级职称证书的得3分，具有中级职称证书的得1分，其他不得分。（以上人员须提供磋商响应文件递交截止时间前一年内任意连续三个月的社保缴纳证明及相关证书复印件或聘书复印件，否则不作为评审依据）</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技术方案</w:t>
            </w:r>
          </w:p>
        </w:tc>
      </w:tr>
      <w:tr>
        <w:tc>
          <w:tcPr>
            <w:tcW w:type="dxa" w:w="831"/>
            <w:vMerge/>
          </w:tcPr>
          <w:p/>
        </w:tc>
        <w:tc>
          <w:tcPr>
            <w:tcW w:type="dxa" w:w="1661"/>
          </w:tcPr>
          <w:p>
            <w:pPr>
              <w:pStyle w:val="null3"/>
            </w:pPr>
            <w:r>
              <w:rPr/>
              <w:t>技术负责人</w:t>
            </w:r>
          </w:p>
        </w:tc>
        <w:tc>
          <w:tcPr>
            <w:tcW w:type="dxa" w:w="2492"/>
          </w:tcPr>
          <w:p>
            <w:pPr>
              <w:pStyle w:val="null3"/>
            </w:pPr>
            <w:r>
              <w:rPr/>
              <w:t>投标供应商拟派技术负责人具有应急、地理信息、测绘等专业高级职称证书的得3分，具有中级职称证书的得1分，其他不得分。（以上人员须提供磋商响应文件递交截止时间前一年内任意连续三个月的社保缴纳证明及相关证书复印件或聘书复印件，否则不作为评审依据）</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技术方案</w:t>
            </w:r>
          </w:p>
        </w:tc>
      </w:tr>
      <w:tr>
        <w:tc>
          <w:tcPr>
            <w:tcW w:type="dxa" w:w="831"/>
            <w:vMerge/>
          </w:tcPr>
          <w:p/>
        </w:tc>
        <w:tc>
          <w:tcPr>
            <w:tcW w:type="dxa" w:w="1661"/>
          </w:tcPr>
          <w:p>
            <w:pPr>
              <w:pStyle w:val="null3"/>
            </w:pPr>
            <w:r>
              <w:rPr/>
              <w:t>项目组人员组成</w:t>
            </w:r>
          </w:p>
        </w:tc>
        <w:tc>
          <w:tcPr>
            <w:tcW w:type="dxa" w:w="2492"/>
          </w:tcPr>
          <w:p>
            <w:pPr>
              <w:pStyle w:val="null3"/>
            </w:pPr>
            <w:r>
              <w:rPr/>
              <w:t>项目组人员专业技术搭配合理、人员配备方案详实可行，分工合理，职责清晰明确，针对性强得7-9分； 项目组人员搭配较合理、人员配备方案较清晰，职责分工较明确得4-7分 项目组人员搭配不合理、人员配备方案差，针对性差得0-4分； （以上人员须提供磋商响应文件递交截止时间前一年内任意连续三个月的社保缴纳证明及相关证书复印件或聘书复印件，否则不作为评审依据）</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技术方案</w:t>
            </w:r>
          </w:p>
        </w:tc>
      </w:tr>
      <w:tr>
        <w:tc>
          <w:tcPr>
            <w:tcW w:type="dxa" w:w="831"/>
            <w:vMerge/>
          </w:tcPr>
          <w:p/>
        </w:tc>
        <w:tc>
          <w:tcPr>
            <w:tcW w:type="dxa" w:w="1661"/>
          </w:tcPr>
          <w:p>
            <w:pPr>
              <w:pStyle w:val="null3"/>
            </w:pPr>
            <w:r>
              <w:rPr/>
              <w:t>业绩</w:t>
            </w:r>
          </w:p>
        </w:tc>
        <w:tc>
          <w:tcPr>
            <w:tcW w:type="dxa" w:w="2492"/>
          </w:tcPr>
          <w:p>
            <w:pPr>
              <w:pStyle w:val="null3"/>
            </w:pPr>
            <w:r>
              <w:rPr/>
              <w:t>具有2021年03月01日至今（以合同签订日期为准）类似项目业绩，每个有效业绩得1分，满分6分；（须提供合同首页、签字盖章页等关键、非敏感页复印件，并加盖投标供应商公章）</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1.经初审合格的磋商响应文件，其磋商报价为有效磋商报价，对符合政策性扣减的供应商的有效磋商价格进行政策性扣减，并依据扣减后的价格（评审价格）进行价格评审。 2.满足磋商文件实质性要求且最终报价最低的供应商的价格为磋商基准价，其价格分为满分10分。 3.磋商总报价得分=(磋商基准价／最终磋商总报价)×10 注：1、计算分数时四舍五入取小数点后两位；</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详见附件：技术方案</w:t>
      </w:r>
    </w:p>
    <w:p>
      <w:pPr>
        <w:pStyle w:val="null3"/>
        <w:ind w:firstLine="960"/>
      </w:pPr>
      <w:r>
        <w:rPr/>
        <w:t>详见附件：陕西省政府采购供应商拒绝政府采购领域商业贿赂承诺书</w:t>
      </w:r>
    </w:p>
    <w:p>
      <w:pPr>
        <w:pStyle w:val="null3"/>
        <w:ind w:firstLine="960"/>
      </w:pPr>
      <w:r>
        <w:rPr/>
        <w:t>详见附件：业绩一览表</w:t>
      </w:r>
    </w:p>
    <w:p>
      <w:pPr>
        <w:pStyle w:val="null3"/>
        <w:ind w:firstLine="960"/>
      </w:pPr>
      <w:r>
        <w:rPr/>
        <w:t>详见附件：分项报价表</w:t>
      </w:r>
    </w:p>
    <w:p>
      <w:pPr>
        <w:pStyle w:val="null3"/>
        <w:ind w:firstLine="960"/>
      </w:pPr>
      <w:r>
        <w:rPr/>
        <w:t>详见附件：商务条款偏离表</w:t>
      </w:r>
    </w:p>
    <w:p>
      <w:pPr>
        <w:pStyle w:val="null3"/>
        <w:ind w:firstLine="960"/>
      </w:pPr>
      <w:r>
        <w:rPr/>
        <w:t>详见附件：资格证明文件</w:t>
      </w:r>
    </w:p>
    <w:p>
      <w:pPr>
        <w:pStyle w:val="null3"/>
      </w:pPr>
      <w:r>
        <w:rPr/>
        <w:t xml:space="preserve"> </w:t>
      </w:r>
    </w:p>
    <w:p>
      <w:pPr>
        <w:pStyle w:val="null3"/>
        <w:jc w:val="center"/>
        <w:outlineLvl w:val="1"/>
      </w:pPr>
      <w:r>
        <w:rPr>
          <w:b/>
          <w:sz w:val="36"/>
        </w:rPr>
        <w:t>第八章 拟签订采购合同文本</w:t>
      </w:r>
    </w:p>
    <w:p>
      <w:pPr>
        <w:pStyle w:val="null3"/>
      </w:pPr>
      <w:r>
        <w:rPr/>
        <w:t>详见附件：合同条款及格式.docx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