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spacing w:before="240" w:beforeLines="100" w:after="240" w:afterLines="100"/>
        <w:jc w:val="center"/>
        <w:rPr>
          <w:rFonts w:hint="eastAsia" w:ascii="宋体" w:hAnsi="宋体" w:eastAsia="宋体" w:cs="宋体"/>
          <w:bCs/>
          <w:sz w:val="36"/>
          <w:szCs w:val="36"/>
          <w:highlight w:val="none"/>
        </w:rPr>
      </w:pPr>
      <w:bookmarkStart w:id="0" w:name="_Toc18545"/>
      <w:bookmarkStart w:id="1" w:name="_Toc31673"/>
      <w:r>
        <w:rPr>
          <w:rFonts w:hint="eastAsia" w:ascii="宋体" w:hAnsi="宋体" w:eastAsia="宋体" w:cs="宋体"/>
          <w:bCs/>
          <w:sz w:val="36"/>
          <w:szCs w:val="36"/>
          <w:highlight w:val="none"/>
        </w:rPr>
        <w:t>合同条款及格式</w:t>
      </w:r>
      <w:bookmarkEnd w:id="0"/>
      <w:bookmarkEnd w:id="1"/>
    </w:p>
    <w:p>
      <w:pPr>
        <w:spacing w:line="360" w:lineRule="auto"/>
        <w:jc w:val="left"/>
        <w:rPr>
          <w:rFonts w:hint="eastAsia" w:ascii="宋体" w:hAnsi="宋体" w:eastAsia="宋体" w:cs="宋体"/>
          <w:b/>
          <w:szCs w:val="24"/>
          <w:highlight w:val="none"/>
        </w:rPr>
      </w:pPr>
    </w:p>
    <w:p>
      <w:pPr>
        <w:jc w:val="center"/>
        <w:rPr>
          <w:rFonts w:hint="eastAsia" w:ascii="宋体" w:hAnsi="宋体" w:eastAsia="宋体" w:cs="宋体"/>
          <w:b/>
          <w:bCs/>
          <w:sz w:val="44"/>
          <w:szCs w:val="44"/>
          <w:highlight w:val="none"/>
          <w:lang w:val="en-US" w:eastAsia="zh-CN"/>
        </w:rPr>
      </w:pPr>
    </w:p>
    <w:p>
      <w:pPr>
        <w:jc w:val="center"/>
        <w:rPr>
          <w:rFonts w:hint="eastAsia" w:ascii="宋体" w:hAnsi="宋体" w:eastAsia="宋体" w:cs="宋体"/>
          <w:b/>
          <w:bCs/>
          <w:sz w:val="44"/>
          <w:szCs w:val="44"/>
          <w:highlight w:val="none"/>
          <w:lang w:val="en-US" w:eastAsia="zh-CN"/>
        </w:rPr>
      </w:pPr>
    </w:p>
    <w:p>
      <w:pPr>
        <w:jc w:val="center"/>
        <w:rPr>
          <w:rFonts w:hint="eastAsia" w:ascii="宋体" w:hAnsi="宋体" w:eastAsia="宋体" w:cs="宋体"/>
          <w:b/>
          <w:bCs/>
          <w:sz w:val="44"/>
          <w:szCs w:val="44"/>
          <w:highlight w:val="none"/>
          <w:lang w:val="en-US" w:eastAsia="zh-CN"/>
        </w:rPr>
      </w:pPr>
    </w:p>
    <w:p>
      <w:pPr>
        <w:jc w:val="center"/>
        <w:rPr>
          <w:rFonts w:hint="eastAsia" w:ascii="宋体" w:hAnsi="宋体" w:eastAsia="宋体" w:cs="宋体"/>
          <w:b/>
          <w:bCs/>
          <w:sz w:val="44"/>
          <w:szCs w:val="44"/>
          <w:highlight w:val="none"/>
          <w:lang w:eastAsia="zh-CN"/>
        </w:rPr>
      </w:pPr>
      <w:r>
        <w:rPr>
          <w:rFonts w:hint="eastAsia" w:ascii="宋体" w:hAnsi="宋体" w:eastAsia="宋体" w:cs="宋体"/>
          <w:b/>
          <w:bCs/>
          <w:sz w:val="44"/>
          <w:szCs w:val="44"/>
          <w:highlight w:val="none"/>
          <w:lang w:val="en-US" w:eastAsia="zh-CN"/>
        </w:rPr>
        <w:t>西安高新区第一次全国自然灾害综合风险普查成果应用试点建设项目</w:t>
      </w:r>
    </w:p>
    <w:p>
      <w:pPr>
        <w:jc w:val="center"/>
        <w:rPr>
          <w:rFonts w:hint="eastAsia" w:ascii="宋体" w:hAnsi="宋体" w:eastAsia="宋体" w:cs="宋体"/>
          <w:b/>
          <w:bCs/>
          <w:sz w:val="44"/>
          <w:szCs w:val="44"/>
          <w:highlight w:val="none"/>
          <w:lang w:eastAsia="zh-CN"/>
        </w:rPr>
      </w:pPr>
    </w:p>
    <w:p>
      <w:pPr>
        <w:rPr>
          <w:rFonts w:hint="eastAsia" w:ascii="宋体" w:hAnsi="宋体" w:eastAsia="宋体" w:cs="宋体"/>
          <w:highlight w:val="none"/>
        </w:rPr>
      </w:pPr>
    </w:p>
    <w:p>
      <w:pPr>
        <w:bidi w:val="0"/>
        <w:jc w:val="both"/>
        <w:rPr>
          <w:rFonts w:hint="eastAsia" w:ascii="宋体" w:hAnsi="宋体" w:eastAsia="宋体" w:cs="宋体"/>
          <w:b/>
          <w:bCs/>
          <w:sz w:val="40"/>
          <w:szCs w:val="40"/>
          <w:highlight w:val="none"/>
          <w:lang w:val="en-US" w:eastAsia="zh-CN"/>
        </w:rPr>
      </w:pPr>
    </w:p>
    <w:p>
      <w:pPr>
        <w:rPr>
          <w:rFonts w:hint="eastAsia" w:ascii="宋体" w:hAnsi="宋体" w:eastAsia="宋体" w:cs="宋体"/>
          <w:highlight w:val="none"/>
        </w:rPr>
      </w:pPr>
    </w:p>
    <w:p>
      <w:pPr>
        <w:pStyle w:val="6"/>
        <w:rPr>
          <w:rFonts w:hint="eastAsia" w:ascii="宋体" w:hAnsi="宋体" w:eastAsia="宋体" w:cs="宋体"/>
          <w:highlight w:val="none"/>
        </w:rPr>
      </w:pPr>
    </w:p>
    <w:p>
      <w:pPr>
        <w:pStyle w:val="6"/>
        <w:rPr>
          <w:rFonts w:hint="eastAsia" w:ascii="宋体" w:hAnsi="宋体" w:eastAsia="宋体" w:cs="宋体"/>
          <w:b/>
          <w:bCs/>
          <w:sz w:val="24"/>
          <w:szCs w:val="24"/>
          <w:highlight w:val="none"/>
          <w:lang w:val="en-US" w:eastAsia="zh-CN"/>
        </w:rPr>
      </w:pPr>
    </w:p>
    <w:p>
      <w:pPr>
        <w:pStyle w:val="6"/>
        <w:rPr>
          <w:rFonts w:hint="eastAsia" w:ascii="宋体" w:hAnsi="宋体" w:eastAsia="宋体" w:cs="宋体"/>
          <w:b/>
          <w:bCs/>
          <w:sz w:val="24"/>
          <w:szCs w:val="24"/>
          <w:highlight w:val="none"/>
          <w:lang w:val="en-US" w:eastAsia="zh-CN"/>
        </w:rPr>
      </w:pPr>
    </w:p>
    <w:p>
      <w:pPr>
        <w:pStyle w:val="6"/>
        <w:rPr>
          <w:rFonts w:hint="eastAsia" w:ascii="宋体" w:hAnsi="宋体" w:eastAsia="宋体" w:cs="宋体"/>
          <w:b/>
          <w:bCs/>
          <w:sz w:val="24"/>
          <w:szCs w:val="24"/>
          <w:highlight w:val="none"/>
          <w:lang w:val="en-US" w:eastAsia="zh-CN"/>
        </w:rPr>
      </w:pPr>
    </w:p>
    <w:p>
      <w:pPr>
        <w:pStyle w:val="6"/>
        <w:rPr>
          <w:rFonts w:hint="eastAsia" w:ascii="宋体" w:hAnsi="宋体" w:eastAsia="宋体" w:cs="宋体"/>
          <w:b/>
          <w:bCs/>
          <w:sz w:val="24"/>
          <w:szCs w:val="24"/>
          <w:highlight w:val="none"/>
          <w:lang w:val="en-US" w:eastAsia="zh-CN"/>
        </w:rPr>
      </w:pPr>
    </w:p>
    <w:p>
      <w:pPr>
        <w:pStyle w:val="6"/>
        <w:rPr>
          <w:rFonts w:hint="eastAsia" w:ascii="宋体" w:hAnsi="宋体" w:eastAsia="宋体" w:cs="宋体"/>
          <w:b/>
          <w:bCs/>
          <w:sz w:val="24"/>
          <w:szCs w:val="24"/>
          <w:highlight w:val="none"/>
          <w:lang w:val="en-US" w:eastAsia="zh-CN"/>
        </w:rPr>
      </w:pPr>
    </w:p>
    <w:p>
      <w:pPr>
        <w:pStyle w:val="6"/>
        <w:rPr>
          <w:rFonts w:hint="eastAsia" w:ascii="宋体" w:hAnsi="宋体" w:eastAsia="宋体" w:cs="宋体"/>
          <w:b/>
          <w:bCs/>
          <w:sz w:val="24"/>
          <w:szCs w:val="24"/>
          <w:highlight w:val="none"/>
          <w:lang w:val="en-US" w:eastAsia="zh-CN"/>
        </w:rPr>
      </w:pPr>
    </w:p>
    <w:p>
      <w:pPr>
        <w:pStyle w:val="6"/>
        <w:rPr>
          <w:rFonts w:hint="eastAsia" w:ascii="宋体" w:hAnsi="宋体" w:eastAsia="宋体" w:cs="宋体"/>
          <w:highlight w:val="none"/>
        </w:rPr>
      </w:pPr>
    </w:p>
    <w:p>
      <w:pPr>
        <w:snapToGrid w:val="0"/>
        <w:spacing w:line="360" w:lineRule="auto"/>
        <w:rPr>
          <w:rFonts w:hint="eastAsia" w:ascii="宋体" w:hAnsi="宋体" w:eastAsia="宋体" w:cs="宋体"/>
          <w:sz w:val="24"/>
          <w:highlight w:val="none"/>
        </w:rPr>
      </w:pPr>
    </w:p>
    <w:p>
      <w:pPr>
        <w:snapToGrid w:val="0"/>
        <w:spacing w:line="480" w:lineRule="auto"/>
        <w:ind w:firstLine="2530" w:firstLineChars="900"/>
        <w:jc w:val="both"/>
        <w:rPr>
          <w:rFonts w:hint="eastAsia" w:ascii="宋体" w:hAnsi="宋体" w:eastAsia="宋体" w:cs="宋体"/>
          <w:b/>
          <w:bCs/>
          <w:sz w:val="28"/>
          <w:szCs w:val="22"/>
          <w:highlight w:val="none"/>
        </w:rPr>
      </w:pPr>
    </w:p>
    <w:p>
      <w:pPr>
        <w:snapToGrid w:val="0"/>
        <w:spacing w:line="480" w:lineRule="auto"/>
        <w:jc w:val="center"/>
        <w:rPr>
          <w:rFonts w:hint="eastAsia" w:ascii="宋体" w:hAnsi="宋体" w:eastAsia="宋体" w:cs="宋体"/>
          <w:b/>
          <w:bCs/>
          <w:sz w:val="32"/>
          <w:szCs w:val="24"/>
          <w:highlight w:val="none"/>
          <w:lang w:val="en-US" w:eastAsia="zh-CN"/>
        </w:rPr>
      </w:pPr>
      <w:r>
        <w:rPr>
          <w:rFonts w:hint="eastAsia" w:hAnsi="宋体" w:cs="宋体"/>
          <w:b/>
          <w:bCs/>
          <w:sz w:val="32"/>
          <w:szCs w:val="24"/>
          <w:highlight w:val="none"/>
          <w:lang w:val="en-US" w:eastAsia="zh-CN"/>
        </w:rPr>
        <w:t xml:space="preserve"> </w:t>
      </w:r>
      <w:r>
        <w:rPr>
          <w:rFonts w:hint="eastAsia" w:ascii="宋体" w:hAnsi="宋体" w:eastAsia="宋体" w:cs="宋体"/>
          <w:b/>
          <w:bCs/>
          <w:sz w:val="32"/>
          <w:szCs w:val="24"/>
          <w:highlight w:val="none"/>
        </w:rPr>
        <w:t>甲方：</w:t>
      </w:r>
      <w:r>
        <w:rPr>
          <w:rFonts w:hint="eastAsia" w:hAnsi="宋体" w:cs="宋体"/>
          <w:b/>
          <w:bCs/>
          <w:sz w:val="32"/>
          <w:szCs w:val="24"/>
          <w:highlight w:val="none"/>
          <w:u w:val="single"/>
          <w:lang w:eastAsia="zh-CN"/>
        </w:rPr>
        <w:t>西安高新技术产业开发区应急管理局</w:t>
      </w:r>
    </w:p>
    <w:p>
      <w:pPr>
        <w:snapToGrid w:val="0"/>
        <w:spacing w:line="480" w:lineRule="auto"/>
        <w:ind w:firstLine="1606" w:firstLineChars="500"/>
        <w:jc w:val="both"/>
        <w:rPr>
          <w:rFonts w:hint="eastAsia" w:ascii="宋体" w:hAnsi="宋体" w:eastAsia="宋体" w:cs="宋体"/>
          <w:b/>
          <w:bCs/>
          <w:sz w:val="32"/>
          <w:szCs w:val="24"/>
          <w:highlight w:val="none"/>
          <w:u w:val="single"/>
          <w:lang w:val="en-US" w:eastAsia="zh-CN"/>
        </w:rPr>
      </w:pPr>
      <w:r>
        <w:rPr>
          <w:rFonts w:hint="eastAsia" w:ascii="宋体" w:hAnsi="宋体" w:eastAsia="宋体" w:cs="宋体"/>
          <w:b/>
          <w:bCs/>
          <w:sz w:val="32"/>
          <w:szCs w:val="24"/>
          <w:highlight w:val="none"/>
        </w:rPr>
        <w:t>乙方：</w:t>
      </w:r>
      <w:r>
        <w:rPr>
          <w:rFonts w:hint="eastAsia" w:ascii="宋体" w:hAnsi="宋体" w:eastAsia="宋体" w:cs="宋体"/>
          <w:b/>
          <w:bCs/>
          <w:sz w:val="32"/>
          <w:szCs w:val="24"/>
          <w:highlight w:val="none"/>
          <w:u w:val="single"/>
          <w:lang w:val="en-US" w:eastAsia="zh-CN"/>
        </w:rPr>
        <w:t xml:space="preserve">         </w:t>
      </w:r>
      <w:r>
        <w:rPr>
          <w:rFonts w:hint="eastAsia" w:hAnsi="宋体" w:cs="宋体"/>
          <w:b/>
          <w:bCs/>
          <w:sz w:val="32"/>
          <w:szCs w:val="24"/>
          <w:highlight w:val="none"/>
          <w:u w:val="single"/>
          <w:lang w:val="en-US" w:eastAsia="zh-CN"/>
        </w:rPr>
        <w:t xml:space="preserve">          </w:t>
      </w:r>
      <w:r>
        <w:rPr>
          <w:rFonts w:hint="eastAsia" w:ascii="宋体" w:hAnsi="宋体" w:eastAsia="宋体" w:cs="宋体"/>
          <w:b/>
          <w:bCs/>
          <w:sz w:val="32"/>
          <w:szCs w:val="24"/>
          <w:highlight w:val="none"/>
          <w:u w:val="single"/>
          <w:lang w:val="en-US" w:eastAsia="zh-CN"/>
        </w:rPr>
        <w:t xml:space="preserve">             </w:t>
      </w:r>
    </w:p>
    <w:p>
      <w:pPr>
        <w:pStyle w:val="6"/>
        <w:spacing w:line="480" w:lineRule="auto"/>
        <w:ind w:left="0" w:leftChars="0" w:firstLine="0" w:firstLineChars="0"/>
        <w:jc w:val="center"/>
        <w:rPr>
          <w:rFonts w:hint="eastAsia" w:ascii="宋体" w:hAnsi="宋体" w:eastAsia="宋体" w:cs="宋体"/>
          <w:b/>
          <w:bCs/>
          <w:i w:val="0"/>
          <w:iCs w:val="0"/>
          <w:kern w:val="2"/>
          <w:sz w:val="32"/>
          <w:szCs w:val="24"/>
          <w:highlight w:val="none"/>
          <w:u w:val="none"/>
          <w:lang w:val="en-US" w:eastAsia="zh-CN" w:bidi="ar-SA"/>
        </w:rPr>
        <w:sectPr>
          <w:pgSz w:w="11906" w:h="16838"/>
          <w:pgMar w:top="1417" w:right="1417" w:bottom="1417" w:left="1417" w:header="851" w:footer="992" w:gutter="0"/>
          <w:cols w:space="720" w:num="1"/>
          <w:docGrid w:type="lines" w:linePitch="312" w:charSpace="0"/>
        </w:sectPr>
      </w:pPr>
      <w:r>
        <w:rPr>
          <w:rFonts w:hint="eastAsia" w:ascii="宋体" w:hAnsi="宋体" w:eastAsia="宋体" w:cs="宋体"/>
          <w:b/>
          <w:bCs/>
          <w:i w:val="0"/>
          <w:iCs w:val="0"/>
          <w:kern w:val="2"/>
          <w:sz w:val="32"/>
          <w:szCs w:val="24"/>
          <w:highlight w:val="none"/>
          <w:u w:val="none"/>
          <w:lang w:val="en-US" w:eastAsia="zh-CN" w:bidi="ar-SA"/>
        </w:rPr>
        <w:t>202</w:t>
      </w:r>
      <w:r>
        <w:rPr>
          <w:rFonts w:hint="eastAsia" w:ascii="宋体" w:hAnsi="宋体" w:cs="宋体"/>
          <w:b/>
          <w:bCs/>
          <w:i w:val="0"/>
          <w:iCs w:val="0"/>
          <w:kern w:val="2"/>
          <w:sz w:val="32"/>
          <w:szCs w:val="24"/>
          <w:highlight w:val="none"/>
          <w:u w:val="none"/>
          <w:lang w:val="en-US" w:eastAsia="zh-CN" w:bidi="ar-SA"/>
        </w:rPr>
        <w:t>4</w:t>
      </w:r>
      <w:bookmarkStart w:id="15" w:name="_GoBack"/>
      <w:bookmarkEnd w:id="15"/>
      <w:r>
        <w:rPr>
          <w:rFonts w:hint="eastAsia" w:ascii="宋体" w:hAnsi="宋体" w:eastAsia="宋体" w:cs="宋体"/>
          <w:b/>
          <w:bCs/>
          <w:i w:val="0"/>
          <w:iCs w:val="0"/>
          <w:kern w:val="2"/>
          <w:sz w:val="32"/>
          <w:szCs w:val="24"/>
          <w:highlight w:val="none"/>
          <w:u w:val="none"/>
          <w:lang w:val="en-US" w:eastAsia="zh-CN" w:bidi="ar-SA"/>
        </w:rPr>
        <w:t>年</w:t>
      </w:r>
      <w:r>
        <w:rPr>
          <w:rFonts w:hint="eastAsia" w:ascii="宋体" w:hAnsi="宋体" w:eastAsia="宋体" w:cs="宋体"/>
          <w:b/>
          <w:bCs/>
          <w:i w:val="0"/>
          <w:iCs w:val="0"/>
          <w:kern w:val="2"/>
          <w:sz w:val="32"/>
          <w:szCs w:val="24"/>
          <w:highlight w:val="none"/>
          <w:u w:val="single"/>
          <w:lang w:val="en-US" w:eastAsia="zh-CN" w:bidi="ar-SA"/>
        </w:rPr>
        <w:t xml:space="preserve">   </w:t>
      </w:r>
      <w:r>
        <w:rPr>
          <w:rFonts w:hint="eastAsia" w:ascii="宋体" w:hAnsi="宋体" w:eastAsia="宋体" w:cs="宋体"/>
          <w:b/>
          <w:bCs/>
          <w:i w:val="0"/>
          <w:iCs w:val="0"/>
          <w:kern w:val="2"/>
          <w:sz w:val="32"/>
          <w:szCs w:val="24"/>
          <w:highlight w:val="none"/>
          <w:u w:val="none"/>
          <w:lang w:val="en-US" w:eastAsia="zh-CN" w:bidi="ar-SA"/>
        </w:rPr>
        <w:t>月</w:t>
      </w:r>
      <w:r>
        <w:rPr>
          <w:rFonts w:hint="eastAsia" w:ascii="宋体" w:hAnsi="宋体" w:eastAsia="宋体" w:cs="宋体"/>
          <w:b/>
          <w:bCs/>
          <w:i w:val="0"/>
          <w:iCs w:val="0"/>
          <w:kern w:val="2"/>
          <w:sz w:val="32"/>
          <w:szCs w:val="24"/>
          <w:highlight w:val="none"/>
          <w:u w:val="single"/>
          <w:lang w:val="en-US" w:eastAsia="zh-CN" w:bidi="ar-SA"/>
        </w:rPr>
        <w:t xml:space="preserve">   </w:t>
      </w:r>
      <w:r>
        <w:rPr>
          <w:rFonts w:hint="eastAsia" w:ascii="宋体" w:hAnsi="宋体" w:eastAsia="宋体" w:cs="宋体"/>
          <w:b/>
          <w:bCs/>
          <w:i w:val="0"/>
          <w:iCs w:val="0"/>
          <w:kern w:val="2"/>
          <w:sz w:val="32"/>
          <w:szCs w:val="24"/>
          <w:highlight w:val="none"/>
          <w:u w:val="none"/>
          <w:lang w:val="en-US" w:eastAsia="zh-CN" w:bidi="ar-SA"/>
        </w:rPr>
        <w:t>日</w:t>
      </w:r>
    </w:p>
    <w:p>
      <w:pPr>
        <w:spacing w:line="360" w:lineRule="auto"/>
        <w:jc w:val="left"/>
        <w:rPr>
          <w:rFonts w:hint="eastAsia" w:ascii="宋体" w:hAnsi="宋体" w:eastAsia="宋体" w:cs="宋体"/>
          <w:b/>
          <w:szCs w:val="24"/>
          <w:highlight w:val="none"/>
        </w:rPr>
      </w:pPr>
    </w:p>
    <w:p>
      <w:pPr>
        <w:spacing w:line="360" w:lineRule="auto"/>
        <w:jc w:val="left"/>
        <w:rPr>
          <w:rFonts w:hint="eastAsia" w:ascii="宋体" w:hAnsi="宋体" w:eastAsia="宋体" w:cs="宋体"/>
          <w:b/>
          <w:szCs w:val="24"/>
          <w:highlight w:val="none"/>
        </w:rPr>
      </w:pPr>
      <w:r>
        <w:rPr>
          <w:rFonts w:hint="eastAsia" w:ascii="宋体" w:hAnsi="宋体" w:eastAsia="宋体" w:cs="宋体"/>
          <w:b/>
          <w:szCs w:val="24"/>
          <w:highlight w:val="none"/>
        </w:rPr>
        <w:t>委托方（以下简称甲方）：</w:t>
      </w:r>
      <w:r>
        <w:rPr>
          <w:rFonts w:hint="eastAsia" w:hAnsi="宋体" w:cs="宋体"/>
          <w:b/>
          <w:szCs w:val="24"/>
          <w:highlight w:val="none"/>
          <w:u w:val="single"/>
          <w:lang w:eastAsia="zh-CN"/>
        </w:rPr>
        <w:t>西安高新技术产业开发区应急管理局</w:t>
      </w:r>
      <w:r>
        <w:rPr>
          <w:rFonts w:hint="eastAsia" w:ascii="宋体" w:hAnsi="宋体" w:eastAsia="宋体" w:cs="宋体"/>
          <w:b/>
          <w:szCs w:val="24"/>
          <w:highlight w:val="none"/>
          <w:u w:val="single"/>
        </w:rPr>
        <w:t xml:space="preserve"> </w:t>
      </w:r>
    </w:p>
    <w:p>
      <w:pPr>
        <w:spacing w:line="360" w:lineRule="auto"/>
        <w:jc w:val="left"/>
        <w:rPr>
          <w:rFonts w:hint="eastAsia" w:ascii="宋体" w:hAnsi="宋体" w:eastAsia="宋体" w:cs="宋体"/>
          <w:b/>
          <w:szCs w:val="24"/>
          <w:highlight w:val="none"/>
        </w:rPr>
      </w:pPr>
      <w:r>
        <w:rPr>
          <w:rFonts w:hint="eastAsia" w:ascii="宋体" w:hAnsi="宋体" w:eastAsia="宋体" w:cs="宋体"/>
          <w:b/>
          <w:szCs w:val="24"/>
          <w:highlight w:val="none"/>
        </w:rPr>
        <w:t>承接方（以下简称乙方）：</w:t>
      </w:r>
      <w:r>
        <w:rPr>
          <w:rFonts w:hint="eastAsia" w:ascii="宋体" w:hAnsi="宋体" w:eastAsia="宋体" w:cs="宋体"/>
          <w:b/>
          <w:szCs w:val="24"/>
          <w:highlight w:val="none"/>
          <w:u w:val="single"/>
        </w:rPr>
        <w:t xml:space="preserve">                    </w:t>
      </w:r>
      <w:r>
        <w:rPr>
          <w:rFonts w:hint="eastAsia" w:hAnsi="宋体" w:cs="宋体"/>
          <w:b/>
          <w:szCs w:val="24"/>
          <w:highlight w:val="none"/>
          <w:u w:val="single"/>
          <w:lang w:val="en-US" w:eastAsia="zh-CN"/>
        </w:rPr>
        <w:t xml:space="preserve">          </w:t>
      </w:r>
      <w:r>
        <w:rPr>
          <w:rFonts w:hint="eastAsia" w:ascii="宋体" w:hAnsi="宋体" w:eastAsia="宋体" w:cs="宋体"/>
          <w:b/>
          <w:szCs w:val="24"/>
          <w:highlight w:val="none"/>
          <w:u w:val="single"/>
        </w:rPr>
        <w:t xml:space="preserve">   </w:t>
      </w:r>
      <w:r>
        <w:rPr>
          <w:rFonts w:hint="eastAsia" w:ascii="宋体" w:hAnsi="宋体" w:eastAsia="宋体" w:cs="宋体"/>
          <w:b/>
          <w:szCs w:val="24"/>
          <w:highlight w:val="none"/>
        </w:rPr>
        <w:t xml:space="preserve"> </w:t>
      </w:r>
    </w:p>
    <w:p>
      <w:pPr>
        <w:spacing w:line="360" w:lineRule="auto"/>
        <w:rPr>
          <w:rFonts w:hint="eastAsia" w:ascii="宋体" w:hAnsi="宋体" w:eastAsia="宋体" w:cs="宋体"/>
          <w:b/>
          <w:szCs w:val="24"/>
          <w:highlight w:val="none"/>
        </w:rPr>
      </w:pPr>
      <w:r>
        <w:rPr>
          <w:rFonts w:hint="eastAsia" w:ascii="宋体" w:hAnsi="宋体" w:eastAsia="宋体" w:cs="宋体"/>
          <w:szCs w:val="24"/>
          <w:highlight w:val="none"/>
        </w:rPr>
        <w:t xml:space="preserve">    根据《中华人民共和国民法典》《中华人民共和国政府采购法》等先关法律法规的要求，经双方友好协商，订立本合同。</w:t>
      </w:r>
    </w:p>
    <w:p>
      <w:pPr>
        <w:pStyle w:val="4"/>
        <w:spacing w:before="0" w:after="0"/>
        <w:ind w:left="0"/>
        <w:rPr>
          <w:rFonts w:hint="eastAsia" w:ascii="宋体" w:hAnsi="宋体" w:eastAsia="宋体" w:cs="宋体"/>
          <w:sz w:val="24"/>
          <w:szCs w:val="24"/>
          <w:highlight w:val="none"/>
          <w:lang w:val="en-US" w:eastAsia="zh-CN"/>
        </w:rPr>
      </w:pPr>
      <w:bookmarkStart w:id="2" w:name="_Toc6919"/>
      <w:r>
        <w:rPr>
          <w:rFonts w:hint="eastAsia" w:ascii="宋体" w:hAnsi="宋体" w:eastAsia="宋体" w:cs="宋体"/>
          <w:sz w:val="24"/>
          <w:szCs w:val="24"/>
          <w:highlight w:val="none"/>
        </w:rPr>
        <w:t>一、</w:t>
      </w:r>
      <w:bookmarkEnd w:id="2"/>
      <w:r>
        <w:rPr>
          <w:rFonts w:hint="eastAsia" w:ascii="宋体" w:hAnsi="宋体" w:eastAsia="宋体" w:cs="宋体"/>
          <w:sz w:val="24"/>
          <w:szCs w:val="24"/>
          <w:highlight w:val="none"/>
          <w:lang w:val="en-US" w:eastAsia="zh-CN"/>
        </w:rPr>
        <w:t>项目概况</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lang w:val="en-US" w:eastAsia="zh-CN"/>
        </w:rPr>
        <w:t>结合高新区现状，统筹考虑高新区短期应用和中长期布局，满足风险普查任务自身数据的汇、存、管、查、判、用，做好数据全量落地管控，实现自然灾害数据集成与治理、自然灾害监测预警、分析研判、信息发布、资源配置与预案联动功能，与应急指挥调度环节紧密融合，在自然灾害突发事件下能快速关联并运用普查成果数据，为防灾减灾救灾常态化工作提供信息化管理和科学决策分析支撑</w:t>
      </w:r>
      <w:r>
        <w:rPr>
          <w:rFonts w:hint="eastAsia" w:ascii="宋体" w:hAnsi="宋体" w:eastAsia="宋体" w:cs="宋体"/>
          <w:szCs w:val="24"/>
          <w:highlight w:val="none"/>
        </w:rPr>
        <w:t>。</w:t>
      </w:r>
    </w:p>
    <w:p>
      <w:pPr>
        <w:pStyle w:val="4"/>
        <w:spacing w:before="0" w:after="0"/>
        <w:ind w:left="0" w:firstLine="241" w:firstLineChars="100"/>
        <w:rPr>
          <w:rFonts w:hint="eastAsia" w:ascii="宋体" w:hAnsi="宋体" w:eastAsia="宋体" w:cs="宋体"/>
          <w:sz w:val="24"/>
          <w:szCs w:val="24"/>
          <w:highlight w:val="none"/>
        </w:rPr>
      </w:pPr>
      <w:bookmarkStart w:id="3" w:name="_Toc32062"/>
      <w:r>
        <w:rPr>
          <w:rFonts w:hint="eastAsia" w:ascii="宋体" w:hAnsi="宋体" w:eastAsia="宋体" w:cs="宋体"/>
          <w:sz w:val="24"/>
          <w:szCs w:val="24"/>
          <w:highlight w:val="none"/>
        </w:rPr>
        <w:t>二、服务期限</w:t>
      </w:r>
      <w:bookmarkEnd w:id="3"/>
    </w:p>
    <w:p>
      <w:pPr>
        <w:shd w:val="clear" w:color="auto" w:fill="FFFFFF"/>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服务期限为：</w:t>
      </w:r>
      <w:r>
        <w:rPr>
          <w:rFonts w:hint="eastAsia" w:ascii="宋体" w:hAnsi="宋体" w:eastAsia="宋体" w:cs="宋体"/>
          <w:highlight w:val="none"/>
          <w:lang w:val="en-US" w:eastAsia="zh-CN"/>
        </w:rPr>
        <w:t>自合同签订之日起</w:t>
      </w:r>
      <w:r>
        <w:rPr>
          <w:rFonts w:hint="eastAsia" w:hAnsi="宋体" w:cs="宋体"/>
          <w:highlight w:val="none"/>
          <w:u w:val="single"/>
          <w:lang w:val="en-US" w:eastAsia="zh-CN"/>
        </w:rPr>
        <w:t xml:space="preserve">     </w:t>
      </w:r>
      <w:r>
        <w:rPr>
          <w:rFonts w:hint="eastAsia" w:hAnsi="宋体" w:cs="宋体"/>
          <w:highlight w:val="none"/>
          <w:u w:val="none"/>
          <w:lang w:val="en-US" w:eastAsia="zh-CN"/>
        </w:rPr>
        <w:t>日历天</w:t>
      </w:r>
      <w:r>
        <w:rPr>
          <w:rFonts w:hint="eastAsia" w:ascii="宋体" w:hAnsi="宋体" w:eastAsia="宋体" w:cs="宋体"/>
          <w:highlight w:val="none"/>
        </w:rPr>
        <w:t>。</w:t>
      </w:r>
    </w:p>
    <w:p>
      <w:pPr>
        <w:pStyle w:val="4"/>
        <w:spacing w:before="0" w:after="0"/>
        <w:ind w:left="0"/>
        <w:rPr>
          <w:rFonts w:hint="eastAsia" w:ascii="宋体" w:hAnsi="宋体" w:eastAsia="宋体" w:cs="宋体"/>
          <w:sz w:val="24"/>
          <w:szCs w:val="24"/>
          <w:highlight w:val="none"/>
        </w:rPr>
      </w:pPr>
      <w:bookmarkStart w:id="4" w:name="_Toc6373"/>
      <w:r>
        <w:rPr>
          <w:rFonts w:hint="eastAsia" w:ascii="宋体" w:hAnsi="宋体" w:eastAsia="宋体" w:cs="宋体"/>
          <w:sz w:val="24"/>
          <w:szCs w:val="24"/>
          <w:highlight w:val="none"/>
        </w:rPr>
        <w:t>三、合同文件及解释</w:t>
      </w:r>
      <w:bookmarkEnd w:id="4"/>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合同协议书</w:t>
      </w:r>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成交通知书</w:t>
      </w:r>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竞争性磋商文件及澄清补遗文件</w:t>
      </w:r>
    </w:p>
    <w:p>
      <w:pPr>
        <w:shd w:val="clear" w:color="auto" w:fill="FFFFFF"/>
        <w:snapToGrid w:val="0"/>
        <w:spacing w:line="360" w:lineRule="auto"/>
        <w:ind w:firstLine="480" w:firstLineChars="200"/>
        <w:rPr>
          <w:rFonts w:hint="eastAsia" w:ascii="宋体" w:hAnsi="宋体" w:eastAsia="宋体" w:cs="宋体"/>
          <w:color w:val="auto"/>
          <w:kern w:val="28"/>
          <w:highlight w:val="none"/>
        </w:rPr>
      </w:pPr>
      <w:r>
        <w:rPr>
          <w:rFonts w:hint="eastAsia" w:ascii="宋体" w:hAnsi="宋体" w:eastAsia="宋体" w:cs="宋体"/>
          <w:color w:val="auto"/>
          <w:kern w:val="28"/>
          <w:highlight w:val="none"/>
        </w:rPr>
        <w:t>成交单位磋商响应文件</w:t>
      </w:r>
    </w:p>
    <w:p>
      <w:pPr>
        <w:shd w:val="clear" w:color="auto" w:fill="FFFFFF"/>
        <w:snapToGrid w:val="0"/>
        <w:spacing w:line="360" w:lineRule="auto"/>
        <w:ind w:firstLine="480" w:firstLineChars="200"/>
        <w:rPr>
          <w:rFonts w:hint="eastAsia" w:ascii="宋体" w:hAnsi="宋体" w:eastAsia="宋体" w:cs="宋体"/>
          <w:color w:val="auto"/>
          <w:kern w:val="28"/>
          <w:highlight w:val="none"/>
        </w:rPr>
      </w:pPr>
      <w:r>
        <w:rPr>
          <w:rFonts w:hint="eastAsia" w:ascii="宋体" w:hAnsi="宋体" w:eastAsia="宋体" w:cs="宋体"/>
          <w:color w:val="auto"/>
          <w:kern w:val="28"/>
          <w:highlight w:val="none"/>
        </w:rPr>
        <w:t>技术标准、规范</w:t>
      </w:r>
    </w:p>
    <w:p>
      <w:pPr>
        <w:shd w:val="clear" w:color="auto" w:fill="FFFFFF"/>
        <w:snapToGrid w:val="0"/>
        <w:spacing w:line="360" w:lineRule="auto"/>
        <w:ind w:firstLine="480" w:firstLineChars="200"/>
        <w:rPr>
          <w:rFonts w:hint="eastAsia" w:ascii="宋体" w:hAnsi="宋体" w:eastAsia="宋体" w:cs="宋体"/>
          <w:color w:val="auto"/>
          <w:kern w:val="28"/>
          <w:highlight w:val="none"/>
        </w:rPr>
      </w:pPr>
      <w:r>
        <w:rPr>
          <w:rFonts w:hint="eastAsia" w:ascii="宋体" w:hAnsi="宋体" w:eastAsia="宋体" w:cs="宋体"/>
          <w:color w:val="auto"/>
          <w:kern w:val="28"/>
          <w:highlight w:val="none"/>
        </w:rPr>
        <w:t>其他合同文件</w:t>
      </w:r>
    </w:p>
    <w:p>
      <w:pPr>
        <w:pStyle w:val="4"/>
        <w:spacing w:before="0" w:after="0"/>
        <w:ind w:left="0"/>
        <w:rPr>
          <w:rFonts w:hint="eastAsia" w:ascii="宋体" w:hAnsi="宋体" w:eastAsia="宋体" w:cs="宋体"/>
          <w:color w:val="auto"/>
          <w:sz w:val="24"/>
          <w:szCs w:val="24"/>
          <w:highlight w:val="none"/>
        </w:rPr>
      </w:pPr>
      <w:bookmarkStart w:id="5" w:name="_Toc14072"/>
      <w:r>
        <w:rPr>
          <w:rFonts w:hint="eastAsia" w:ascii="宋体" w:hAnsi="宋体" w:eastAsia="宋体" w:cs="宋体"/>
          <w:color w:val="auto"/>
          <w:sz w:val="24"/>
          <w:szCs w:val="24"/>
          <w:highlight w:val="none"/>
        </w:rPr>
        <w:t>四、合同价款、结算与支付</w:t>
      </w:r>
      <w:bookmarkEnd w:id="5"/>
    </w:p>
    <w:p>
      <w:pPr>
        <w:shd w:val="clear" w:color="auto" w:fill="FFFFFF"/>
        <w:snapToGrid w:val="0"/>
        <w:spacing w:line="360" w:lineRule="auto"/>
        <w:rPr>
          <w:rFonts w:hint="eastAsia" w:ascii="宋体" w:hAnsi="宋体" w:eastAsia="宋体" w:cs="宋体"/>
          <w:color w:val="auto"/>
          <w:kern w:val="28"/>
          <w:highlight w:val="none"/>
        </w:rPr>
      </w:pPr>
      <w:r>
        <w:rPr>
          <w:rFonts w:hint="eastAsia" w:ascii="宋体" w:hAnsi="宋体" w:eastAsia="宋体" w:cs="宋体"/>
          <w:color w:val="auto"/>
          <w:kern w:val="28"/>
          <w:highlight w:val="none"/>
        </w:rPr>
        <w:t>1、本合同总价款</w:t>
      </w:r>
    </w:p>
    <w:p>
      <w:pPr>
        <w:spacing w:line="360" w:lineRule="auto"/>
        <w:ind w:left="1" w:firstLine="480" w:firstLineChars="200"/>
        <w:rPr>
          <w:rFonts w:hint="eastAsia" w:ascii="宋体" w:hAnsi="宋体" w:eastAsia="宋体" w:cs="宋体"/>
          <w:color w:val="auto"/>
          <w:highlight w:val="none"/>
        </w:rPr>
      </w:pPr>
      <w:r>
        <w:rPr>
          <w:rFonts w:hint="eastAsia" w:ascii="宋体" w:hAnsi="宋体" w:eastAsia="宋体" w:cs="宋体"/>
          <w:color w:val="auto"/>
          <w:kern w:val="28"/>
          <w:highlight w:val="none"/>
        </w:rPr>
        <w:t>本合同总价款为</w:t>
      </w:r>
      <w:r>
        <w:rPr>
          <w:rFonts w:hint="eastAsia" w:ascii="宋体" w:hAnsi="宋体" w:eastAsia="宋体" w:cs="宋体"/>
          <w:b/>
          <w:color w:val="auto"/>
          <w:kern w:val="28"/>
          <w:highlight w:val="none"/>
          <w:u w:val="single"/>
        </w:rPr>
        <w:t>RMB            （人民币大写：         )</w:t>
      </w:r>
      <w:r>
        <w:rPr>
          <w:rFonts w:hint="eastAsia" w:ascii="宋体" w:hAnsi="宋体" w:eastAsia="宋体" w:cs="宋体"/>
          <w:color w:val="auto"/>
          <w:kern w:val="28"/>
          <w:highlight w:val="none"/>
        </w:rPr>
        <w:t>该合同总价包括承接甲方项目所承担的全过程的一切费用</w:t>
      </w:r>
      <w:r>
        <w:rPr>
          <w:rFonts w:hint="eastAsia" w:ascii="宋体" w:hAnsi="宋体" w:eastAsia="宋体" w:cs="宋体"/>
          <w:color w:val="auto"/>
          <w:highlight w:val="none"/>
        </w:rPr>
        <w:t>。</w:t>
      </w:r>
    </w:p>
    <w:p>
      <w:pPr>
        <w:numPr>
          <w:ilvl w:val="0"/>
          <w:numId w:val="1"/>
        </w:numPr>
        <w:shd w:val="clear" w:color="auto" w:fill="FFFFFF"/>
        <w:snapToGrid w:val="0"/>
        <w:spacing w:line="360" w:lineRule="auto"/>
        <w:rPr>
          <w:rFonts w:hint="eastAsia" w:ascii="宋体" w:hAnsi="宋体" w:eastAsia="宋体" w:cs="宋体"/>
          <w:color w:val="auto"/>
          <w:kern w:val="28"/>
          <w:highlight w:val="none"/>
        </w:rPr>
      </w:pPr>
      <w:r>
        <w:rPr>
          <w:rFonts w:hint="eastAsia" w:ascii="宋体" w:hAnsi="宋体" w:eastAsia="宋体" w:cs="宋体"/>
          <w:color w:val="auto"/>
          <w:kern w:val="28"/>
          <w:highlight w:val="none"/>
        </w:rPr>
        <w:t>付款方式</w:t>
      </w:r>
    </w:p>
    <w:p>
      <w:pPr>
        <w:pStyle w:val="7"/>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pacing w:val="-11"/>
          <w:sz w:val="24"/>
          <w:szCs w:val="24"/>
          <w:highlight w:val="none"/>
        </w:rPr>
        <w:t>。</w:t>
      </w:r>
    </w:p>
    <w:p>
      <w:pPr>
        <w:pStyle w:val="4"/>
        <w:spacing w:before="0" w:after="0"/>
        <w:ind w:left="0"/>
        <w:rPr>
          <w:rFonts w:hint="eastAsia" w:ascii="宋体" w:hAnsi="宋体" w:eastAsia="宋体" w:cs="宋体"/>
          <w:color w:val="auto"/>
          <w:sz w:val="24"/>
          <w:szCs w:val="24"/>
          <w:highlight w:val="none"/>
        </w:rPr>
      </w:pPr>
      <w:bookmarkStart w:id="6" w:name="_Toc8663"/>
      <w:r>
        <w:rPr>
          <w:rFonts w:hint="eastAsia" w:ascii="宋体" w:hAnsi="宋体" w:eastAsia="宋体" w:cs="宋体"/>
          <w:color w:val="auto"/>
          <w:sz w:val="24"/>
          <w:szCs w:val="24"/>
          <w:highlight w:val="none"/>
        </w:rPr>
        <w:t>五、甲方职责</w:t>
      </w:r>
      <w:bookmarkEnd w:id="6"/>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1、甲方按本合同规定的内容，在规定的时间内向乙方提交基础资料及文件，并对其完整性、正确性、及时性负责。</w:t>
      </w:r>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2、甲方派专人协助乙方开展调查、调研、座谈会等工作。</w:t>
      </w:r>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3、需负责与相关部门的对接工作；</w:t>
      </w:r>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4、乙方的工作费用按合同约定及时支付。</w:t>
      </w:r>
    </w:p>
    <w:p>
      <w:pPr>
        <w:pStyle w:val="4"/>
        <w:ind w:left="0"/>
        <w:rPr>
          <w:rFonts w:hint="eastAsia" w:ascii="宋体" w:hAnsi="宋体" w:eastAsia="宋体" w:cs="宋体"/>
          <w:color w:val="auto"/>
          <w:sz w:val="24"/>
          <w:szCs w:val="24"/>
          <w:highlight w:val="none"/>
        </w:rPr>
      </w:pPr>
      <w:bookmarkStart w:id="7" w:name="_Toc2405"/>
      <w:r>
        <w:rPr>
          <w:rFonts w:hint="eastAsia" w:ascii="宋体" w:hAnsi="宋体" w:eastAsia="宋体" w:cs="宋体"/>
          <w:color w:val="auto"/>
          <w:sz w:val="24"/>
          <w:szCs w:val="24"/>
          <w:highlight w:val="none"/>
        </w:rPr>
        <w:t>六、乙方职责</w:t>
      </w:r>
      <w:bookmarkEnd w:id="7"/>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1、乙方应按国家相应技术规范、标准、规程及合同约定的各项要求，进行相关工作，按合同规定的进度要求提交质量合格的成果文件，并对其负责。</w:t>
      </w:r>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2、乙方按本合同规定的内容、进度及份数向甲方提交成果文件，并根据审查结论对不超出原定范围的内容做必要调整补充。</w:t>
      </w:r>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3、乙方应做好质量与技术管理工作，加强全过程的质量控制，保证项目内容的合理性。</w:t>
      </w:r>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4、对甲方的各种技术资料做好保密工作，未经甲方许可不得向任何单位和个人泄露。</w:t>
      </w:r>
    </w:p>
    <w:p>
      <w:pPr>
        <w:pStyle w:val="4"/>
        <w:spacing w:line="360" w:lineRule="auto"/>
        <w:ind w:left="0"/>
        <w:rPr>
          <w:rFonts w:hint="eastAsia" w:ascii="宋体" w:hAnsi="宋体" w:eastAsia="宋体" w:cs="宋体"/>
          <w:color w:val="auto"/>
          <w:sz w:val="24"/>
          <w:szCs w:val="24"/>
          <w:highlight w:val="none"/>
        </w:rPr>
      </w:pPr>
      <w:bookmarkStart w:id="8" w:name="_Toc13290"/>
      <w:r>
        <w:rPr>
          <w:rFonts w:hint="eastAsia" w:ascii="宋体" w:hAnsi="宋体" w:eastAsia="宋体" w:cs="宋体"/>
          <w:color w:val="auto"/>
          <w:sz w:val="24"/>
          <w:szCs w:val="24"/>
          <w:highlight w:val="none"/>
        </w:rPr>
        <w:t>七、成果提交</w:t>
      </w:r>
      <w:bookmarkEnd w:id="8"/>
    </w:p>
    <w:p>
      <w:pPr>
        <w:spacing w:line="360" w:lineRule="auto"/>
        <w:ind w:firstLine="480" w:firstLineChars="200"/>
        <w:jc w:val="left"/>
        <w:rPr>
          <w:rFonts w:hint="default" w:ascii="宋体" w:hAnsi="宋体" w:eastAsia="宋体" w:cs="宋体"/>
          <w:color w:val="auto"/>
          <w:szCs w:val="24"/>
          <w:highlight w:val="none"/>
          <w:lang w:val="en-US" w:eastAsia="zh-CN"/>
        </w:rPr>
      </w:pPr>
      <w:bookmarkStart w:id="9" w:name="_Toc17338"/>
      <w:r>
        <w:rPr>
          <w:rFonts w:hint="eastAsia" w:ascii="宋体" w:hAnsi="宋体" w:eastAsia="宋体" w:cs="宋体"/>
          <w:color w:val="auto"/>
          <w:szCs w:val="24"/>
          <w:highlight w:val="none"/>
          <w:lang w:val="en-US" w:eastAsia="zh-CN"/>
        </w:rPr>
        <w:t>成果交付要求</w:t>
      </w:r>
    </w:p>
    <w:p>
      <w:pPr>
        <w:spacing w:line="360" w:lineRule="auto"/>
        <w:ind w:firstLine="480" w:firstLineChars="200"/>
        <w:jc w:val="left"/>
        <w:rPr>
          <w:rFonts w:hint="default"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结合高新区现状，统筹考虑高新区短期应用和中长期布局，满足风险普查任务自身数据的汇、存、管、查、判、用，做好数据全量落地管控，实现自然灾害数据集成与治理、自然灾害监测预警、分析研判、信息发布、资源配置与预案联动功能，与应急指挥调度环节紧密融合，在自然灾害突发事件下能快速关联并运用普查成果数据，为防灾减灾救灾常态化工作提供信息化管理和科学决策分析支撑。</w:t>
      </w:r>
    </w:p>
    <w:p>
      <w:pPr>
        <w:pStyle w:val="4"/>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rPr>
        <w:t>八、双方权利及义务</w:t>
      </w:r>
      <w:bookmarkEnd w:id="9"/>
    </w:p>
    <w:p>
      <w:pPr>
        <w:spacing w:line="360" w:lineRule="auto"/>
        <w:ind w:firstLine="482" w:firstLineChars="200"/>
        <w:jc w:val="left"/>
        <w:rPr>
          <w:rFonts w:hint="eastAsia" w:ascii="宋体" w:hAnsi="宋体" w:eastAsia="宋体" w:cs="宋体"/>
          <w:b/>
          <w:szCs w:val="24"/>
          <w:highlight w:val="none"/>
        </w:rPr>
      </w:pPr>
      <w:r>
        <w:rPr>
          <w:rFonts w:hint="eastAsia" w:ascii="宋体" w:hAnsi="宋体" w:eastAsia="宋体" w:cs="宋体"/>
          <w:b/>
          <w:szCs w:val="24"/>
          <w:highlight w:val="none"/>
        </w:rPr>
        <w:t>甲方：</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1、甲方有权对合同规定范围内乙方的服务行为进行监督和检查，拥有监管权。甲方认为不合理的部分有权下达整改通知书，并要求乙方限期整改。</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2、负责检查监督乙方管理工作的实施及制度的执行情况。</w:t>
      </w:r>
    </w:p>
    <w:p>
      <w:pPr>
        <w:spacing w:line="360" w:lineRule="auto"/>
        <w:ind w:firstLine="482" w:firstLineChars="200"/>
        <w:jc w:val="left"/>
        <w:rPr>
          <w:rFonts w:hint="eastAsia" w:ascii="宋体" w:hAnsi="宋体" w:eastAsia="宋体" w:cs="宋体"/>
          <w:b/>
          <w:szCs w:val="24"/>
          <w:highlight w:val="none"/>
        </w:rPr>
      </w:pPr>
      <w:r>
        <w:rPr>
          <w:rFonts w:hint="eastAsia" w:ascii="宋体" w:hAnsi="宋体" w:eastAsia="宋体" w:cs="宋体"/>
          <w:b/>
          <w:szCs w:val="24"/>
          <w:highlight w:val="none"/>
        </w:rPr>
        <w:t>乙方：</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1、对本合同规定的委托服务范围内的项目享有管理权及服务义务。</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2、根据本合同的规定向甲方收取相关服务费用，并有权在本项目管理范围内管理及合理使用。</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3、按照合同规定的期限完成工作任务向甲方提交成果资料。</w:t>
      </w:r>
    </w:p>
    <w:p>
      <w:pPr>
        <w:pStyle w:val="4"/>
        <w:spacing w:line="360" w:lineRule="auto"/>
        <w:ind w:left="0"/>
        <w:rPr>
          <w:rFonts w:hint="eastAsia" w:ascii="宋体" w:hAnsi="宋体" w:eastAsia="宋体" w:cs="宋体"/>
          <w:sz w:val="24"/>
          <w:szCs w:val="24"/>
          <w:highlight w:val="none"/>
        </w:rPr>
      </w:pPr>
      <w:bookmarkStart w:id="10" w:name="_Toc3419"/>
      <w:r>
        <w:rPr>
          <w:rFonts w:hint="eastAsia" w:ascii="宋体" w:hAnsi="宋体" w:eastAsia="宋体" w:cs="宋体"/>
          <w:sz w:val="24"/>
          <w:szCs w:val="24"/>
          <w:highlight w:val="none"/>
        </w:rPr>
        <w:t>九、违约责任</w:t>
      </w:r>
      <w:bookmarkEnd w:id="10"/>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若乙方非因不可抗力等事由导致延期的，乙方逾期30日以上的，每日承担总合同金额千分之二的违约金，逾期60日以上的，甲方有权解除合同，并要求乙方支付总合同金额20%的违约金。若因此给甲方造成损失的，还应赔偿甲方的全部损失。</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2.乙方未按合同要求提供服务、服务质量不能满足合同要求或在审核期内未通过甲方验收的，甲方有权解除合同，并要求乙方支付总合同金额20%的违约金。若因此给甲方造成损失的，还应赔偿甲方的全部损失。</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highlight w:val="none"/>
        </w:rPr>
      </w:pPr>
      <w:r>
        <w:rPr>
          <w:rFonts w:hint="eastAsia" w:ascii="宋体" w:hAnsi="宋体" w:eastAsia="宋体" w:cs="宋体"/>
          <w:color w:val="auto"/>
          <w:sz w:val="24"/>
          <w:szCs w:val="24"/>
          <w:highlight w:val="none"/>
          <w:lang w:val="en-US" w:eastAsia="zh-CN"/>
        </w:rPr>
        <w:t>3.甲方应按照本合同的约定按时足额支付合同款项，甲方逾期30日以上的，每日承担总合同金额千分之二的违约金，逾期60日以上的，甲方应向乙方支付总合同金额20%的违约金，若因此给乙方造成损失的，还应赔偿乙方的全部损失。</w:t>
      </w:r>
    </w:p>
    <w:p>
      <w:pPr>
        <w:pStyle w:val="4"/>
        <w:ind w:left="0"/>
        <w:rPr>
          <w:rFonts w:hint="eastAsia" w:ascii="宋体" w:hAnsi="宋体" w:eastAsia="宋体" w:cs="宋体"/>
          <w:sz w:val="24"/>
          <w:szCs w:val="24"/>
          <w:highlight w:val="none"/>
        </w:rPr>
      </w:pPr>
      <w:bookmarkStart w:id="11" w:name="_Toc4027"/>
      <w:r>
        <w:rPr>
          <w:rFonts w:hint="eastAsia" w:ascii="宋体" w:hAnsi="宋体" w:eastAsia="宋体" w:cs="宋体"/>
          <w:sz w:val="24"/>
          <w:szCs w:val="24"/>
          <w:highlight w:val="none"/>
        </w:rPr>
        <w:t>十、合同生效、变更、解除的条件</w:t>
      </w:r>
      <w:bookmarkEnd w:id="11"/>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1、本合同自双方法定代表人签字并加盖公章后生效，合同履行完毕自行终止。</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2、本合同的变更必须经过甲乙双方共同协商并签订补充协议，补签协议与本合同具有同等法律效力。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3、成果所有权归甲方所有，未经甲方同意不得提供他人使用。</w:t>
      </w:r>
    </w:p>
    <w:p>
      <w:pPr>
        <w:pStyle w:val="4"/>
        <w:ind w:left="0"/>
        <w:rPr>
          <w:rFonts w:hint="eastAsia" w:ascii="宋体" w:hAnsi="宋体" w:eastAsia="宋体" w:cs="宋体"/>
          <w:sz w:val="24"/>
          <w:szCs w:val="24"/>
          <w:highlight w:val="none"/>
        </w:rPr>
      </w:pPr>
      <w:bookmarkStart w:id="12" w:name="_Toc19337"/>
      <w:r>
        <w:rPr>
          <w:rFonts w:hint="eastAsia" w:ascii="宋体" w:hAnsi="宋体" w:eastAsia="宋体" w:cs="宋体"/>
          <w:sz w:val="24"/>
          <w:szCs w:val="24"/>
          <w:highlight w:val="none"/>
        </w:rPr>
        <w:t>十一、解决争议的方法</w:t>
      </w:r>
      <w:bookmarkEnd w:id="12"/>
    </w:p>
    <w:p>
      <w:pPr>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本合同在执行过程中，如发生任何争议、纠纷或因违反、终止本合同引起的对损失、损害的任何赔偿，应事先协商，在乙方和甲方之间达成一致意见。如未能达成一致可以采取诉讼,诉讼机构为项目所在地人民法院。</w:t>
      </w:r>
    </w:p>
    <w:p>
      <w:pPr>
        <w:pStyle w:val="4"/>
        <w:ind w:left="0"/>
        <w:rPr>
          <w:rFonts w:hint="eastAsia" w:ascii="宋体" w:hAnsi="宋体" w:eastAsia="宋体" w:cs="宋体"/>
          <w:sz w:val="24"/>
          <w:szCs w:val="24"/>
          <w:highlight w:val="none"/>
        </w:rPr>
      </w:pPr>
      <w:bookmarkStart w:id="13" w:name="_Toc27969"/>
      <w:r>
        <w:rPr>
          <w:rFonts w:hint="eastAsia" w:ascii="宋体" w:hAnsi="宋体" w:eastAsia="宋体" w:cs="宋体"/>
          <w:sz w:val="24"/>
          <w:szCs w:val="24"/>
          <w:highlight w:val="none"/>
        </w:rPr>
        <w:t>十二、不可抗力</w:t>
      </w:r>
      <w:bookmarkEnd w:id="13"/>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1、本合同项下的“不可抗力”是指不能预见，不能避免且不能克服的客观情况，使得本合同一方当事人无法履行合同义务，如战争、严重火灾、水灾、风灾和地震以及其他经三方同意属于不可抗力的事故。</w:t>
      </w:r>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3、如不可抗力时间延续90天以上的，各方通过协商达成在合理的时间内继续履行合同，或部分履行合同，或终止合同的履行。</w:t>
      </w:r>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4、一方迟延履行后发生不可抗力的，不能免除责任。</w:t>
      </w:r>
    </w:p>
    <w:p>
      <w:pPr>
        <w:pStyle w:val="4"/>
        <w:ind w:left="0"/>
        <w:rPr>
          <w:rFonts w:hint="eastAsia" w:ascii="宋体" w:hAnsi="宋体" w:eastAsia="宋体" w:cs="宋体"/>
          <w:sz w:val="24"/>
          <w:szCs w:val="24"/>
          <w:highlight w:val="none"/>
        </w:rPr>
      </w:pPr>
      <w:bookmarkStart w:id="14" w:name="_Toc28381"/>
      <w:r>
        <w:rPr>
          <w:rFonts w:hint="eastAsia" w:ascii="宋体" w:hAnsi="宋体" w:eastAsia="宋体" w:cs="宋体"/>
          <w:sz w:val="24"/>
          <w:szCs w:val="24"/>
          <w:highlight w:val="none"/>
        </w:rPr>
        <w:t>十三、保密条款</w:t>
      </w:r>
      <w:bookmarkEnd w:id="14"/>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双方承诺，除非法律另有规定或双方一致同意，任何一方不得将本协议的内容向第三方透露，否则，应向对方承担相应的违约责任。</w:t>
      </w:r>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pPr>
        <w:shd w:val="clear" w:color="auto" w:fill="FFFFFF"/>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kern w:val="28"/>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pPr>
        <w:numPr>
          <w:ilvl w:val="0"/>
          <w:numId w:val="2"/>
        </w:numPr>
        <w:spacing w:line="360" w:lineRule="auto"/>
        <w:jc w:val="left"/>
        <w:rPr>
          <w:rFonts w:hint="eastAsia" w:ascii="宋体" w:hAnsi="宋体" w:eastAsia="宋体" w:cs="宋体"/>
          <w:b/>
          <w:bCs/>
          <w:szCs w:val="24"/>
          <w:highlight w:val="none"/>
        </w:rPr>
      </w:pPr>
      <w:r>
        <w:rPr>
          <w:rFonts w:hint="eastAsia" w:ascii="宋体" w:hAnsi="宋体" w:eastAsia="宋体" w:cs="宋体"/>
          <w:b/>
          <w:bCs/>
          <w:szCs w:val="24"/>
          <w:highlight w:val="none"/>
        </w:rPr>
        <w:t>本合同壹式</w:t>
      </w:r>
      <w:r>
        <w:rPr>
          <w:rFonts w:hint="eastAsia" w:ascii="宋体" w:hAnsi="宋体" w:eastAsia="宋体" w:cs="宋体"/>
          <w:b/>
          <w:bCs/>
          <w:i/>
          <w:iCs/>
          <w:szCs w:val="24"/>
          <w:highlight w:val="none"/>
          <w:u w:val="single"/>
        </w:rPr>
        <w:t xml:space="preserve">    </w:t>
      </w:r>
      <w:r>
        <w:rPr>
          <w:rFonts w:hint="eastAsia" w:ascii="宋体" w:hAnsi="宋体" w:eastAsia="宋体" w:cs="宋体"/>
          <w:b/>
          <w:bCs/>
          <w:szCs w:val="24"/>
          <w:highlight w:val="none"/>
        </w:rPr>
        <w:t>份，甲乙双方各执</w:t>
      </w:r>
      <w:r>
        <w:rPr>
          <w:rFonts w:hint="eastAsia" w:ascii="宋体" w:hAnsi="宋体" w:eastAsia="宋体" w:cs="宋体"/>
          <w:b/>
          <w:bCs/>
          <w:szCs w:val="24"/>
          <w:highlight w:val="none"/>
          <w:u w:val="single"/>
        </w:rPr>
        <w:t xml:space="preserve">     </w:t>
      </w:r>
      <w:r>
        <w:rPr>
          <w:rFonts w:hint="eastAsia" w:ascii="宋体" w:hAnsi="宋体" w:eastAsia="宋体" w:cs="宋体"/>
          <w:b/>
          <w:bCs/>
          <w:szCs w:val="24"/>
          <w:highlight w:val="none"/>
        </w:rPr>
        <w:t>份，具有同等法律效力。</w:t>
      </w:r>
    </w:p>
    <w:p>
      <w:pPr>
        <w:pStyle w:val="6"/>
        <w:numPr>
          <w:ilvl w:val="0"/>
          <w:numId w:val="0"/>
        </w:numPr>
        <w:rPr>
          <w:rFonts w:hint="eastAsia" w:ascii="宋体" w:hAnsi="宋体" w:eastAsia="宋体" w:cs="宋体"/>
          <w:highlight w:val="none"/>
        </w:rPr>
      </w:pPr>
    </w:p>
    <w:p>
      <w:pPr>
        <w:spacing w:line="360" w:lineRule="auto"/>
        <w:ind w:left="4320" w:hanging="4320" w:hangingChars="1793"/>
        <w:rPr>
          <w:rFonts w:hint="eastAsia" w:ascii="宋体" w:hAnsi="宋体" w:eastAsia="宋体" w:cs="宋体"/>
          <w:szCs w:val="24"/>
          <w:highlight w:val="none"/>
        </w:rPr>
      </w:pPr>
      <w:r>
        <w:rPr>
          <w:rFonts w:hint="eastAsia" w:ascii="宋体" w:hAnsi="宋体" w:eastAsia="宋体" w:cs="宋体"/>
          <w:b/>
          <w:szCs w:val="24"/>
          <w:highlight w:val="none"/>
        </w:rPr>
        <w:t>（以下无正文）</w:t>
      </w:r>
    </w:p>
    <w:p>
      <w:pPr>
        <w:tabs>
          <w:tab w:val="left" w:pos="2100"/>
          <w:tab w:val="left" w:pos="4200"/>
        </w:tabs>
        <w:spacing w:line="480" w:lineRule="auto"/>
        <w:ind w:left="-99" w:leftChars="-135" w:right="-578" w:rightChars="-241" w:hanging="225" w:hangingChars="94"/>
        <w:rPr>
          <w:rFonts w:hint="eastAsia" w:ascii="宋体" w:hAnsi="宋体" w:eastAsia="宋体" w:cs="宋体"/>
          <w:szCs w:val="24"/>
          <w:highlight w:val="none"/>
        </w:rPr>
      </w:pPr>
      <w:r>
        <w:rPr>
          <w:rFonts w:hint="eastAsia" w:ascii="宋体" w:hAnsi="宋体" w:eastAsia="宋体" w:cs="宋体"/>
          <w:szCs w:val="24"/>
          <w:highlight w:val="none"/>
        </w:rPr>
        <w:t xml:space="preserve">   甲方：</w:t>
      </w:r>
      <w:r>
        <w:rPr>
          <w:rFonts w:hint="eastAsia" w:hAnsi="宋体" w:cs="宋体"/>
          <w:szCs w:val="24"/>
          <w:highlight w:val="none"/>
          <w:lang w:eastAsia="zh-CN"/>
        </w:rPr>
        <w:t>西安高新技术产业开发区应急管理局</w:t>
      </w:r>
      <w:r>
        <w:rPr>
          <w:rFonts w:hint="eastAsia" w:ascii="宋体" w:hAnsi="宋体" w:eastAsia="宋体" w:cs="宋体"/>
          <w:spacing w:val="-20"/>
          <w:szCs w:val="24"/>
          <w:highlight w:val="none"/>
        </w:rPr>
        <w:t xml:space="preserve">       </w:t>
      </w:r>
      <w:r>
        <w:rPr>
          <w:rFonts w:hint="eastAsia" w:ascii="宋体" w:hAnsi="宋体" w:eastAsia="宋体" w:cs="宋体"/>
          <w:szCs w:val="24"/>
          <w:highlight w:val="none"/>
        </w:rPr>
        <w:t>乙方：</w:t>
      </w:r>
      <w:r>
        <w:rPr>
          <w:rFonts w:hint="eastAsia" w:hAnsi="宋体" w:cs="宋体"/>
          <w:szCs w:val="24"/>
          <w:highlight w:val="none"/>
          <w:u w:val="single"/>
          <w:lang w:val="en-US" w:eastAsia="zh-CN"/>
        </w:rPr>
        <w:t xml:space="preserve">                        </w:t>
      </w:r>
      <w:r>
        <w:rPr>
          <w:rFonts w:hint="eastAsia" w:ascii="宋体" w:hAnsi="宋体" w:eastAsia="宋体" w:cs="宋体"/>
          <w:szCs w:val="24"/>
          <w:highlight w:val="none"/>
          <w:u w:val="single"/>
        </w:rPr>
        <w:t xml:space="preserve"> </w:t>
      </w:r>
    </w:p>
    <w:p>
      <w:pPr>
        <w:tabs>
          <w:tab w:val="left" w:pos="2100"/>
          <w:tab w:val="left" w:pos="4200"/>
        </w:tabs>
        <w:spacing w:line="480" w:lineRule="auto"/>
        <w:ind w:left="4320" w:right="-578" w:rightChars="-241" w:hanging="4320" w:hangingChars="1800"/>
        <w:rPr>
          <w:rFonts w:hint="eastAsia" w:ascii="宋体" w:hAnsi="宋体" w:eastAsia="宋体" w:cs="宋体"/>
          <w:szCs w:val="24"/>
          <w:highlight w:val="none"/>
        </w:rPr>
      </w:pPr>
      <w:r>
        <w:rPr>
          <w:rFonts w:hint="eastAsia" w:ascii="宋体" w:hAnsi="宋体" w:eastAsia="宋体" w:cs="宋体"/>
          <w:szCs w:val="24"/>
          <w:highlight w:val="none"/>
        </w:rPr>
        <w:t xml:space="preserve">                   </w:t>
      </w:r>
      <w:r>
        <w:rPr>
          <w:rFonts w:hint="eastAsia" w:hAnsi="宋体" w:cs="宋体"/>
          <w:szCs w:val="24"/>
          <w:highlight w:val="none"/>
          <w:lang w:val="en-US" w:eastAsia="zh-CN"/>
        </w:rPr>
        <w:t xml:space="preserve">          </w:t>
      </w:r>
      <w:r>
        <w:rPr>
          <w:rFonts w:hint="eastAsia" w:ascii="宋体" w:hAnsi="宋体" w:eastAsia="宋体" w:cs="宋体"/>
          <w:szCs w:val="24"/>
          <w:highlight w:val="none"/>
        </w:rPr>
        <w:t xml:space="preserve"> （盖章）                        （盖章）</w:t>
      </w:r>
    </w:p>
    <w:p>
      <w:pPr>
        <w:tabs>
          <w:tab w:val="left" w:pos="2100"/>
          <w:tab w:val="left" w:pos="4200"/>
        </w:tabs>
        <w:spacing w:line="480" w:lineRule="auto"/>
        <w:ind w:right="-578" w:rightChars="-241"/>
        <w:rPr>
          <w:rFonts w:hint="eastAsia" w:ascii="宋体" w:hAnsi="宋体" w:eastAsia="宋体" w:cs="宋体"/>
          <w:szCs w:val="24"/>
          <w:highlight w:val="none"/>
        </w:rPr>
      </w:pPr>
      <w:r>
        <w:rPr>
          <w:rFonts w:hint="eastAsia" w:ascii="宋体" w:hAnsi="宋体" w:eastAsia="宋体" w:cs="宋体"/>
          <w:szCs w:val="24"/>
          <w:highlight w:val="none"/>
        </w:rPr>
        <w:t>法定代表人或委托代理人：                   法定代表人或委托代理人：</w:t>
      </w:r>
    </w:p>
    <w:p>
      <w:pPr>
        <w:tabs>
          <w:tab w:val="left" w:pos="2100"/>
          <w:tab w:val="left" w:pos="4200"/>
        </w:tabs>
        <w:spacing w:line="480" w:lineRule="auto"/>
        <w:ind w:left="-103" w:leftChars="-171" w:right="-578" w:rightChars="-241" w:hanging="307" w:hangingChars="128"/>
        <w:rPr>
          <w:rFonts w:hint="eastAsia" w:ascii="宋体" w:hAnsi="宋体" w:eastAsia="宋体" w:cs="宋体"/>
          <w:szCs w:val="24"/>
          <w:highlight w:val="none"/>
        </w:rPr>
      </w:pPr>
      <w:r>
        <w:rPr>
          <w:rFonts w:hint="eastAsia" w:ascii="宋体" w:hAnsi="宋体" w:eastAsia="宋体" w:cs="宋体"/>
          <w:szCs w:val="24"/>
          <w:highlight w:val="none"/>
        </w:rPr>
        <w:t xml:space="preserve">              （签字或盖章）                            （签字或盖章）                      </w:t>
      </w:r>
    </w:p>
    <w:p>
      <w:pPr>
        <w:tabs>
          <w:tab w:val="left" w:pos="2100"/>
          <w:tab w:val="left" w:pos="4200"/>
        </w:tabs>
        <w:spacing w:line="480" w:lineRule="auto"/>
        <w:rPr>
          <w:rFonts w:hint="eastAsia" w:ascii="宋体" w:hAnsi="宋体" w:eastAsia="宋体" w:cs="宋体"/>
          <w:szCs w:val="24"/>
          <w:highlight w:val="none"/>
        </w:rPr>
      </w:pPr>
      <w:r>
        <w:rPr>
          <w:rFonts w:hint="eastAsia" w:ascii="宋体" w:hAnsi="宋体" w:eastAsia="宋体" w:cs="宋体"/>
          <w:szCs w:val="24"/>
          <w:highlight w:val="none"/>
        </w:rPr>
        <w:t xml:space="preserve">地    址:陕西省西安市蓝田县蓝新路7号       地    址： </w:t>
      </w:r>
    </w:p>
    <w:p>
      <w:pPr>
        <w:tabs>
          <w:tab w:val="left" w:pos="2100"/>
          <w:tab w:val="left" w:pos="4200"/>
        </w:tabs>
        <w:spacing w:line="480" w:lineRule="auto"/>
        <w:rPr>
          <w:rFonts w:hint="eastAsia" w:ascii="宋体" w:hAnsi="宋体" w:eastAsia="宋体" w:cs="宋体"/>
          <w:szCs w:val="24"/>
          <w:highlight w:val="none"/>
        </w:rPr>
      </w:pPr>
      <w:r>
        <w:rPr>
          <w:rFonts w:hint="eastAsia" w:ascii="宋体" w:hAnsi="宋体" w:eastAsia="宋体" w:cs="宋体"/>
          <w:szCs w:val="24"/>
          <w:highlight w:val="none"/>
        </w:rPr>
        <w:t>邮政编码：710</w:t>
      </w:r>
      <w:r>
        <w:rPr>
          <w:rFonts w:hint="eastAsia" w:hAnsi="宋体" w:cs="宋体"/>
          <w:szCs w:val="24"/>
          <w:highlight w:val="none"/>
          <w:lang w:val="en-US" w:eastAsia="zh-CN"/>
        </w:rPr>
        <w:t>075</w:t>
      </w:r>
      <w:r>
        <w:rPr>
          <w:rFonts w:hint="eastAsia" w:ascii="宋体" w:hAnsi="宋体" w:eastAsia="宋体" w:cs="宋体"/>
          <w:szCs w:val="24"/>
          <w:highlight w:val="none"/>
        </w:rPr>
        <w:t xml:space="preserve">                            邮政编码：</w:t>
      </w:r>
    </w:p>
    <w:p>
      <w:pPr>
        <w:tabs>
          <w:tab w:val="left" w:pos="2100"/>
          <w:tab w:val="left" w:pos="4200"/>
        </w:tabs>
        <w:spacing w:line="480" w:lineRule="auto"/>
        <w:rPr>
          <w:rFonts w:hint="eastAsia" w:ascii="宋体" w:hAnsi="宋体" w:eastAsia="宋体" w:cs="宋体"/>
          <w:szCs w:val="24"/>
          <w:highlight w:val="none"/>
        </w:rPr>
      </w:pPr>
      <w:r>
        <w:rPr>
          <w:rFonts w:hint="eastAsia" w:ascii="宋体" w:hAnsi="宋体" w:eastAsia="宋体" w:cs="宋体"/>
          <w:szCs w:val="24"/>
          <w:highlight w:val="none"/>
        </w:rPr>
        <w:t xml:space="preserve">电    话：                                  电    话： </w:t>
      </w:r>
    </w:p>
    <w:p>
      <w:pPr>
        <w:tabs>
          <w:tab w:val="left" w:pos="2100"/>
          <w:tab w:val="left" w:pos="4200"/>
        </w:tabs>
        <w:spacing w:line="480" w:lineRule="auto"/>
        <w:rPr>
          <w:rFonts w:hint="eastAsia" w:ascii="宋体" w:hAnsi="宋体" w:eastAsia="宋体" w:cs="宋体"/>
          <w:szCs w:val="24"/>
          <w:highlight w:val="none"/>
        </w:rPr>
      </w:pPr>
      <w:r>
        <w:rPr>
          <w:rFonts w:hint="eastAsia" w:ascii="宋体" w:hAnsi="宋体" w:eastAsia="宋体" w:cs="宋体"/>
          <w:szCs w:val="24"/>
          <w:highlight w:val="none"/>
        </w:rPr>
        <w:t xml:space="preserve">传    真：                                  传    真： </w:t>
      </w:r>
    </w:p>
    <w:p>
      <w:pPr>
        <w:tabs>
          <w:tab w:val="left" w:pos="2100"/>
          <w:tab w:val="left" w:pos="4200"/>
        </w:tabs>
        <w:spacing w:line="480" w:lineRule="auto"/>
        <w:ind w:right="-578" w:rightChars="-241"/>
        <w:rPr>
          <w:rFonts w:hint="eastAsia" w:ascii="宋体" w:hAnsi="宋体" w:eastAsia="宋体" w:cs="宋体"/>
          <w:szCs w:val="24"/>
          <w:highlight w:val="none"/>
        </w:rPr>
      </w:pPr>
      <w:r>
        <w:rPr>
          <w:rFonts w:hint="eastAsia" w:ascii="宋体" w:hAnsi="宋体" w:eastAsia="宋体" w:cs="宋体"/>
          <w:szCs w:val="24"/>
          <w:highlight w:val="none"/>
        </w:rPr>
        <w:t xml:space="preserve">开户开户银行：  </w:t>
      </w:r>
      <w:r>
        <w:rPr>
          <w:rFonts w:hint="eastAsia" w:ascii="宋体" w:hAnsi="宋体" w:eastAsia="宋体" w:cs="宋体"/>
          <w:szCs w:val="24"/>
          <w:highlight w:val="none"/>
        </w:rPr>
        <w:tab/>
      </w:r>
      <w:r>
        <w:rPr>
          <w:rFonts w:hint="eastAsia" w:ascii="宋体" w:hAnsi="宋体" w:eastAsia="宋体" w:cs="宋体"/>
          <w:szCs w:val="24"/>
          <w:highlight w:val="none"/>
        </w:rPr>
        <w:t xml:space="preserve">                           开户单位：</w:t>
      </w:r>
      <w:r>
        <w:rPr>
          <w:rFonts w:hint="eastAsia" w:ascii="宋体" w:hAnsi="宋体" w:eastAsia="宋体" w:cs="宋体"/>
          <w:spacing w:val="-20"/>
          <w:szCs w:val="24"/>
          <w:highlight w:val="none"/>
        </w:rPr>
        <w:t xml:space="preserve"> </w:t>
      </w:r>
    </w:p>
    <w:p>
      <w:pPr>
        <w:tabs>
          <w:tab w:val="left" w:pos="2100"/>
          <w:tab w:val="left" w:pos="4200"/>
        </w:tabs>
        <w:spacing w:line="480" w:lineRule="auto"/>
        <w:ind w:right="-578" w:rightChars="-241"/>
        <w:rPr>
          <w:rFonts w:hint="eastAsia" w:ascii="宋体" w:hAnsi="宋体" w:eastAsia="宋体" w:cs="宋体"/>
          <w:szCs w:val="24"/>
          <w:highlight w:val="none"/>
        </w:rPr>
      </w:pPr>
      <w:r>
        <w:rPr>
          <w:rFonts w:hint="eastAsia" w:ascii="宋体" w:hAnsi="宋体" w:eastAsia="宋体" w:cs="宋体"/>
          <w:szCs w:val="24"/>
          <w:highlight w:val="none"/>
        </w:rPr>
        <w:t>银行银行帐号：                              银行帐号：</w:t>
      </w:r>
    </w:p>
    <w:p>
      <w:pPr>
        <w:tabs>
          <w:tab w:val="left" w:pos="2100"/>
          <w:tab w:val="left" w:pos="4200"/>
        </w:tabs>
        <w:spacing w:line="480" w:lineRule="auto"/>
        <w:ind w:right="-578" w:rightChars="-241"/>
        <w:rPr>
          <w:rFonts w:hint="eastAsia" w:ascii="宋体" w:hAnsi="宋体" w:eastAsia="宋体" w:cs="宋体"/>
          <w:szCs w:val="24"/>
          <w:highlight w:val="none"/>
        </w:rPr>
      </w:pPr>
      <w:r>
        <w:rPr>
          <w:rFonts w:hint="eastAsia" w:ascii="宋体" w:hAnsi="宋体" w:eastAsia="宋体" w:cs="宋体"/>
          <w:szCs w:val="24"/>
          <w:highlight w:val="none"/>
        </w:rPr>
        <w:t>签约地点：                                  签约地点：</w:t>
      </w:r>
    </w:p>
    <w:p>
      <w:pPr>
        <w:tabs>
          <w:tab w:val="left" w:pos="2100"/>
          <w:tab w:val="left" w:pos="4200"/>
        </w:tabs>
        <w:spacing w:line="480" w:lineRule="auto"/>
        <w:ind w:right="-578" w:rightChars="-241"/>
        <w:rPr>
          <w:rFonts w:hint="eastAsia" w:ascii="宋体" w:hAnsi="宋体" w:eastAsia="宋体" w:cs="宋体"/>
          <w:szCs w:val="24"/>
          <w:highlight w:val="none"/>
        </w:rPr>
      </w:pPr>
      <w:r>
        <w:rPr>
          <w:rFonts w:hint="eastAsia" w:ascii="宋体" w:hAnsi="宋体" w:eastAsia="宋体" w:cs="宋体"/>
          <w:szCs w:val="24"/>
          <w:highlight w:val="none"/>
        </w:rPr>
        <w:t>签约时间：202</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年  月  日                    签约时间：202</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年  月  日</w:t>
      </w:r>
    </w:p>
    <w:p>
      <w:pPr>
        <w:rPr>
          <w:rFonts w:hint="eastAsia" w:ascii="宋体" w:hAnsi="宋体" w:eastAsia="宋体" w:cs="宋体"/>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8ED8A"/>
    <w:multiLevelType w:val="singleLevel"/>
    <w:tmpl w:val="80D8ED8A"/>
    <w:lvl w:ilvl="0" w:tentative="0">
      <w:start w:val="14"/>
      <w:numFmt w:val="chineseCounting"/>
      <w:suff w:val="nothing"/>
      <w:lvlText w:val="%1、"/>
      <w:lvlJc w:val="left"/>
      <w:rPr>
        <w:rFonts w:hint="eastAsia"/>
      </w:rPr>
    </w:lvl>
  </w:abstractNum>
  <w:abstractNum w:abstractNumId="1">
    <w:nsid w:val="8622F83D"/>
    <w:multiLevelType w:val="singleLevel"/>
    <w:tmpl w:val="8622F83D"/>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YjJlMzMzZGU3MjJkMThjN2NkYjliNDkwNTA3MzEifQ=="/>
  </w:docVars>
  <w:rsids>
    <w:rsidRoot w:val="7B4E5464"/>
    <w:rsid w:val="05D874A1"/>
    <w:rsid w:val="064630EF"/>
    <w:rsid w:val="06E567CC"/>
    <w:rsid w:val="0BC3220A"/>
    <w:rsid w:val="0C9C45A4"/>
    <w:rsid w:val="1A44262D"/>
    <w:rsid w:val="1B884F5A"/>
    <w:rsid w:val="1BBB6955"/>
    <w:rsid w:val="25A94D83"/>
    <w:rsid w:val="32F347CF"/>
    <w:rsid w:val="35F8389A"/>
    <w:rsid w:val="37E52144"/>
    <w:rsid w:val="390F7EC1"/>
    <w:rsid w:val="3A856D10"/>
    <w:rsid w:val="408C234E"/>
    <w:rsid w:val="4169225E"/>
    <w:rsid w:val="469A5235"/>
    <w:rsid w:val="4B013AD5"/>
    <w:rsid w:val="57DB1539"/>
    <w:rsid w:val="581806B0"/>
    <w:rsid w:val="5D373386"/>
    <w:rsid w:val="5EB15565"/>
    <w:rsid w:val="699F29DF"/>
    <w:rsid w:val="70363BFB"/>
    <w:rsid w:val="71B67182"/>
    <w:rsid w:val="774B7723"/>
    <w:rsid w:val="78170104"/>
    <w:rsid w:val="7B4E5464"/>
    <w:rsid w:val="7D6C4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outlineLvl w:val="0"/>
    </w:pPr>
    <w:rPr>
      <w:rFonts w:ascii="仿宋_GB2312" w:hAnsi="宋体" w:eastAsia="仿宋_GB2312"/>
      <w:b/>
      <w:kern w:val="2"/>
      <w:sz w:val="32"/>
    </w:rPr>
  </w:style>
  <w:style w:type="paragraph" w:styleId="4">
    <w:name w:val="heading 2"/>
    <w:basedOn w:val="1"/>
    <w:next w:val="1"/>
    <w:autoRedefine/>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5">
    <w:name w:val="heading 3"/>
    <w:basedOn w:val="1"/>
    <w:next w:val="1"/>
    <w:link w:val="12"/>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rFonts w:ascii="Times New Roman"/>
      <w:kern w:val="2"/>
      <w:sz w:val="18"/>
      <w:szCs w:val="18"/>
    </w:rPr>
  </w:style>
  <w:style w:type="paragraph" w:styleId="6">
    <w:name w:val="Normal Indent"/>
    <w:basedOn w:val="1"/>
    <w:qFormat/>
    <w:uiPriority w:val="0"/>
    <w:pPr>
      <w:spacing w:line="300" w:lineRule="auto"/>
      <w:ind w:firstLine="420" w:firstLineChars="200"/>
    </w:pPr>
    <w:rPr>
      <w:rFonts w:ascii="Times New Roman"/>
      <w:kern w:val="2"/>
      <w:sz w:val="21"/>
      <w:szCs w:val="24"/>
    </w:rPr>
  </w:style>
  <w:style w:type="paragraph" w:styleId="7">
    <w:name w:val="Body Text"/>
    <w:basedOn w:val="1"/>
    <w:next w:val="1"/>
    <w:autoRedefine/>
    <w:qFormat/>
    <w:uiPriority w:val="0"/>
    <w:pPr>
      <w:spacing w:after="120" w:afterLines="0"/>
    </w:pPr>
    <w:rPr>
      <w:rFonts w:ascii="Times New Roman"/>
      <w:kern w:val="2"/>
      <w:sz w:val="21"/>
    </w:rPr>
  </w:style>
  <w:style w:type="paragraph" w:styleId="8">
    <w:name w:val="index 7"/>
    <w:basedOn w:val="1"/>
    <w:next w:val="1"/>
    <w:autoRedefine/>
    <w:qFormat/>
    <w:uiPriority w:val="99"/>
    <w:pPr>
      <w:ind w:left="2520"/>
    </w:pPr>
    <w:rPr>
      <w:rFonts w:ascii="黑体" w:hAnsi="Calibri" w:eastAsia="黑体"/>
      <w:kern w:val="2"/>
      <w:sz w:val="32"/>
      <w:szCs w:val="32"/>
    </w:rPr>
  </w:style>
  <w:style w:type="paragraph" w:styleId="9">
    <w:name w:val="Normal (Web)"/>
    <w:basedOn w:val="1"/>
    <w:next w:val="8"/>
    <w:qFormat/>
    <w:uiPriority w:val="99"/>
    <w:pPr>
      <w:widowControl/>
      <w:spacing w:before="100" w:beforeAutospacing="1" w:after="100" w:afterAutospacing="1"/>
      <w:jc w:val="left"/>
    </w:pPr>
    <w:rPr>
      <w:rFonts w:ascii="宋体" w:hAnsi="宋体" w:cs="宋体"/>
      <w:sz w:val="24"/>
      <w:szCs w:val="24"/>
    </w:rPr>
  </w:style>
  <w:style w:type="character" w:customStyle="1" w:styleId="12">
    <w:name w:val="标题 3 Char"/>
    <w:link w:val="5"/>
    <w:autoRedefine/>
    <w:qFormat/>
    <w:uiPriority w:val="0"/>
    <w:rPr>
      <w:rFonts w:ascii="Times New Roman" w:hAnsi="Times New Roman" w:eastAsia="仿宋"/>
      <w:b/>
      <w:bCs/>
      <w:kern w:val="2"/>
      <w:sz w:val="24"/>
      <w:szCs w:val="24"/>
    </w:rPr>
  </w:style>
  <w:style w:type="table" w:customStyle="1" w:styleId="13">
    <w:name w:val="Table Normal"/>
    <w:autoRedefine/>
    <w:semiHidden/>
    <w:unhideWhenUsed/>
    <w:qFormat/>
    <w:uiPriority w:val="0"/>
    <w:tblPr>
      <w:tblCellMar>
        <w:top w:w="0" w:type="dxa"/>
        <w:left w:w="0" w:type="dxa"/>
        <w:bottom w:w="0" w:type="dxa"/>
        <w:right w:w="0" w:type="dxa"/>
      </w:tblCellMar>
    </w:tblPr>
  </w:style>
  <w:style w:type="paragraph" w:customStyle="1" w:styleId="14">
    <w:name w:val="Heading4"/>
    <w:basedOn w:val="1"/>
    <w:next w:val="1"/>
    <w:autoRedefine/>
    <w:qFormat/>
    <w:uiPriority w:val="0"/>
    <w:pPr>
      <w:keepNext/>
      <w:keepLines/>
      <w:spacing w:before="280" w:after="290" w:line="376" w:lineRule="atLeast"/>
      <w:jc w:val="both"/>
      <w:textAlignment w:val="baseline"/>
    </w:pPr>
    <w:rPr>
      <w:rFonts w:ascii="Arial" w:hAnsi="Arial"/>
      <w:b/>
      <w:spacing w:val="20"/>
      <w:kern w:val="2"/>
      <w:sz w:val="28"/>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2023-08-18T06:14:00Z</dcterms:created>
  <dc:creator>？</dc:creator>
  <cp:lastModifiedBy>QQQQ</cp:lastModifiedBy>
  <dcterms:modified xsi:type="dcterms:W3CDTF">2024-03-11T09:42:58Z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FC240D69AAD24DA0810042197C34DE24_11</vt:lpwstr>
  </property>
</Properties>
</file>