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152D5">
      <w:pPr>
        <w:pStyle w:val="8"/>
        <w:jc w:val="center"/>
        <w:outlineLvl w:val="1"/>
        <w:rPr>
          <w:color w:val="000000" w:themeColor="text1"/>
          <w:highlight w:val="none"/>
          <w14:textFill>
            <w14:solidFill>
              <w14:schemeClr w14:val="tx1"/>
            </w14:solidFill>
          </w14:textFill>
        </w:rPr>
      </w:pPr>
      <w:bookmarkStart w:id="0" w:name="_GoBack"/>
      <w:r>
        <w:rPr>
          <w:b/>
          <w:color w:val="000000" w:themeColor="text1"/>
          <w:sz w:val="36"/>
          <w:highlight w:val="none"/>
          <w14:textFill>
            <w14:solidFill>
              <w14:schemeClr w14:val="tx1"/>
            </w14:solidFill>
          </w14:textFill>
        </w:rPr>
        <w:t>拟签订采购合同文本</w:t>
      </w:r>
    </w:p>
    <w:bookmarkEnd w:id="0"/>
    <w:p w14:paraId="48132E3A">
      <w:pPr>
        <w:pStyle w:val="9"/>
        <w:spacing w:line="360" w:lineRule="auto"/>
        <w:jc w:val="center"/>
        <w:rPr>
          <w:rFonts w:hint="eastAsia" w:ascii="仿宋" w:hAnsi="仿宋" w:eastAsia="仿宋" w:cs="仿宋"/>
          <w:color w:val="000000" w:themeColor="text1"/>
          <w:sz w:val="20"/>
          <w:szCs w:val="20"/>
          <w:highlight w:val="none"/>
          <w14:textFill>
            <w14:solidFill>
              <w14:schemeClr w14:val="tx1"/>
            </w14:solidFill>
          </w14:textFill>
        </w:rPr>
      </w:pPr>
      <w:r>
        <w:rPr>
          <w:color w:val="000000" w:themeColor="text1"/>
          <w:sz w:val="20"/>
          <w:szCs w:val="20"/>
          <w:highlight w:val="none"/>
          <w14:textFill>
            <w14:solidFill>
              <w14:schemeClr w14:val="tx1"/>
            </w14:solidFill>
          </w14:textFill>
        </w:rPr>
        <w:t xml:space="preserve"> </w:t>
      </w:r>
      <w:r>
        <w:rPr>
          <w:rStyle w:val="10"/>
          <w:rFonts w:hint="eastAsia" w:ascii="宋体" w:hAnsi="宋体" w:eastAsia="宋体" w:cs="宋体"/>
          <w:b/>
          <w:bCs/>
          <w:color w:val="000000" w:themeColor="text1"/>
          <w:kern w:val="2"/>
          <w:sz w:val="20"/>
          <w:szCs w:val="20"/>
          <w:highlight w:val="none"/>
          <w:lang w:val="en-US" w:eastAsia="zh-CN" w:bidi="ar-SA"/>
          <w14:textFill>
            <w14:solidFill>
              <w14:schemeClr w14:val="tx1"/>
            </w14:solidFill>
          </w14:textFill>
        </w:rPr>
        <w:t>购 销 合 同</w:t>
      </w:r>
    </w:p>
    <w:p w14:paraId="3BCF6A49">
      <w:pPr>
        <w:pStyle w:val="9"/>
        <w:spacing w:line="360" w:lineRule="auto"/>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甲方（买方）：</w:t>
      </w:r>
    </w:p>
    <w:p w14:paraId="6ADE4A3B">
      <w:pPr>
        <w:pStyle w:val="9"/>
        <w:spacing w:line="360" w:lineRule="auto"/>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乙方（卖方）：</w:t>
      </w:r>
    </w:p>
    <w:p w14:paraId="58D956F9">
      <w:pPr>
        <w:pStyle w:val="5"/>
        <w:tabs>
          <w:tab w:val="left" w:pos="240"/>
        </w:tabs>
        <w:spacing w:line="360" w:lineRule="auto"/>
        <w:ind w:firstLine="400" w:firstLineChars="200"/>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根据《中华人民共和国民法典》、《中华人民共和国产品质量法》及国家有关法律法规规定。双方经过友好协商，本着诚实信用、平等互利的原则，达成如下合同条款，以资共同遵守：</w:t>
      </w:r>
    </w:p>
    <w:p w14:paraId="456920B8">
      <w:pPr>
        <w:pStyle w:val="5"/>
        <w:tabs>
          <w:tab w:val="left" w:pos="240"/>
        </w:tabs>
        <w:spacing w:line="400" w:lineRule="exact"/>
        <w:ind w:left="0" w:leftChars="0" w:firstLine="400" w:firstLineChars="200"/>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第一条  乙方所提供的产品规格数量清单及费用</w:t>
      </w:r>
    </w:p>
    <w:tbl>
      <w:tblPr>
        <w:tblStyle w:val="6"/>
        <w:tblpPr w:leftFromText="180" w:rightFromText="180" w:vertAnchor="text" w:horzAnchor="page" w:tblpX="1206" w:tblpY="208"/>
        <w:tblOverlap w:val="never"/>
        <w:tblW w:w="9552" w:type="dxa"/>
        <w:tblInd w:w="0" w:type="dxa"/>
        <w:tblLayout w:type="fixed"/>
        <w:tblCellMar>
          <w:top w:w="0" w:type="dxa"/>
          <w:left w:w="108" w:type="dxa"/>
          <w:bottom w:w="0" w:type="dxa"/>
          <w:right w:w="108" w:type="dxa"/>
        </w:tblCellMar>
      </w:tblPr>
      <w:tblGrid>
        <w:gridCol w:w="825"/>
        <w:gridCol w:w="1560"/>
        <w:gridCol w:w="1650"/>
        <w:gridCol w:w="1125"/>
        <w:gridCol w:w="1245"/>
        <w:gridCol w:w="1575"/>
        <w:gridCol w:w="1572"/>
      </w:tblGrid>
      <w:tr w14:paraId="324DC860">
        <w:tblPrEx>
          <w:tblCellMar>
            <w:top w:w="0" w:type="dxa"/>
            <w:left w:w="108" w:type="dxa"/>
            <w:bottom w:w="0" w:type="dxa"/>
            <w:right w:w="108" w:type="dxa"/>
          </w:tblCellMar>
        </w:tblPrEx>
        <w:trPr>
          <w:trHeight w:val="889"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14:paraId="6598D252">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序号</w:t>
            </w:r>
          </w:p>
        </w:tc>
        <w:tc>
          <w:tcPr>
            <w:tcW w:w="1560" w:type="dxa"/>
            <w:tcBorders>
              <w:top w:val="single" w:color="auto" w:sz="4" w:space="0"/>
              <w:left w:val="nil"/>
              <w:bottom w:val="single" w:color="auto" w:sz="4" w:space="0"/>
              <w:right w:val="single" w:color="auto" w:sz="4" w:space="0"/>
            </w:tcBorders>
            <w:noWrap w:val="0"/>
            <w:vAlign w:val="center"/>
          </w:tcPr>
          <w:p w14:paraId="7684D0A5">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产品名称</w:t>
            </w:r>
          </w:p>
        </w:tc>
        <w:tc>
          <w:tcPr>
            <w:tcW w:w="1650" w:type="dxa"/>
            <w:tcBorders>
              <w:top w:val="single" w:color="auto" w:sz="4" w:space="0"/>
              <w:left w:val="nil"/>
              <w:bottom w:val="single" w:color="auto" w:sz="4" w:space="0"/>
              <w:right w:val="single" w:color="auto" w:sz="4" w:space="0"/>
            </w:tcBorders>
            <w:noWrap w:val="0"/>
            <w:vAlign w:val="center"/>
          </w:tcPr>
          <w:p w14:paraId="0293CADC">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规格型号</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322F4B7F">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单位</w:t>
            </w:r>
          </w:p>
        </w:tc>
        <w:tc>
          <w:tcPr>
            <w:tcW w:w="1245" w:type="dxa"/>
            <w:tcBorders>
              <w:top w:val="single" w:color="auto" w:sz="4" w:space="0"/>
              <w:left w:val="nil"/>
              <w:bottom w:val="single" w:color="auto" w:sz="4" w:space="0"/>
              <w:right w:val="single" w:color="auto" w:sz="4" w:space="0"/>
            </w:tcBorders>
            <w:noWrap w:val="0"/>
            <w:vAlign w:val="center"/>
          </w:tcPr>
          <w:p w14:paraId="5FC20444">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数量</w:t>
            </w:r>
          </w:p>
        </w:tc>
        <w:tc>
          <w:tcPr>
            <w:tcW w:w="1575" w:type="dxa"/>
            <w:tcBorders>
              <w:top w:val="single" w:color="auto" w:sz="4" w:space="0"/>
              <w:left w:val="nil"/>
              <w:bottom w:val="single" w:color="auto" w:sz="4" w:space="0"/>
              <w:right w:val="single" w:color="auto" w:sz="4" w:space="0"/>
            </w:tcBorders>
            <w:noWrap w:val="0"/>
            <w:vAlign w:val="center"/>
          </w:tcPr>
          <w:p w14:paraId="2ED062EC">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单价</w:t>
            </w:r>
          </w:p>
        </w:tc>
        <w:tc>
          <w:tcPr>
            <w:tcW w:w="1572" w:type="dxa"/>
            <w:tcBorders>
              <w:top w:val="single" w:color="auto" w:sz="4" w:space="0"/>
              <w:left w:val="nil"/>
              <w:bottom w:val="single" w:color="auto" w:sz="4" w:space="0"/>
              <w:right w:val="single" w:color="auto" w:sz="4" w:space="0"/>
            </w:tcBorders>
            <w:noWrap w:val="0"/>
            <w:vAlign w:val="center"/>
          </w:tcPr>
          <w:p w14:paraId="5966C30B">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总金额（元）</w:t>
            </w:r>
          </w:p>
        </w:tc>
      </w:tr>
      <w:tr w14:paraId="16CC474B">
        <w:tblPrEx>
          <w:tblCellMar>
            <w:top w:w="0" w:type="dxa"/>
            <w:left w:w="108" w:type="dxa"/>
            <w:bottom w:w="0" w:type="dxa"/>
            <w:right w:w="108" w:type="dxa"/>
          </w:tblCellMar>
        </w:tblPrEx>
        <w:trPr>
          <w:trHeight w:val="755"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14:paraId="2C583035">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1</w:t>
            </w:r>
          </w:p>
        </w:tc>
        <w:tc>
          <w:tcPr>
            <w:tcW w:w="1560" w:type="dxa"/>
            <w:tcBorders>
              <w:top w:val="single" w:color="auto" w:sz="4" w:space="0"/>
              <w:left w:val="nil"/>
              <w:bottom w:val="single" w:color="auto" w:sz="4" w:space="0"/>
              <w:right w:val="single" w:color="auto" w:sz="4" w:space="0"/>
            </w:tcBorders>
            <w:noWrap w:val="0"/>
            <w:vAlign w:val="center"/>
          </w:tcPr>
          <w:p w14:paraId="7273C637">
            <w:pPr>
              <w:spacing w:line="36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固体融合剂</w:t>
            </w:r>
          </w:p>
        </w:tc>
        <w:tc>
          <w:tcPr>
            <w:tcW w:w="1650" w:type="dxa"/>
            <w:tcBorders>
              <w:top w:val="single" w:color="auto" w:sz="4" w:space="0"/>
              <w:left w:val="nil"/>
              <w:bottom w:val="single" w:color="auto" w:sz="4" w:space="0"/>
              <w:right w:val="single" w:color="auto" w:sz="4" w:space="0"/>
            </w:tcBorders>
            <w:noWrap w:val="0"/>
            <w:vAlign w:val="center"/>
          </w:tcPr>
          <w:p w14:paraId="761B0974">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 </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21DF5572">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tc>
        <w:tc>
          <w:tcPr>
            <w:tcW w:w="1245" w:type="dxa"/>
            <w:tcBorders>
              <w:top w:val="single" w:color="auto" w:sz="4" w:space="0"/>
              <w:left w:val="nil"/>
              <w:bottom w:val="single" w:color="auto" w:sz="4" w:space="0"/>
              <w:right w:val="single" w:color="auto" w:sz="4" w:space="0"/>
            </w:tcBorders>
            <w:noWrap w:val="0"/>
            <w:vAlign w:val="center"/>
          </w:tcPr>
          <w:p w14:paraId="4881D62F">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tc>
        <w:tc>
          <w:tcPr>
            <w:tcW w:w="1575" w:type="dxa"/>
            <w:tcBorders>
              <w:top w:val="single" w:color="auto" w:sz="4" w:space="0"/>
              <w:left w:val="nil"/>
              <w:bottom w:val="single" w:color="auto" w:sz="4" w:space="0"/>
              <w:right w:val="single" w:color="auto" w:sz="4" w:space="0"/>
            </w:tcBorders>
            <w:noWrap w:val="0"/>
            <w:vAlign w:val="center"/>
          </w:tcPr>
          <w:p w14:paraId="457FEB17">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tc>
        <w:tc>
          <w:tcPr>
            <w:tcW w:w="1572" w:type="dxa"/>
            <w:tcBorders>
              <w:top w:val="single" w:color="auto" w:sz="4" w:space="0"/>
              <w:left w:val="nil"/>
              <w:bottom w:val="single" w:color="auto" w:sz="4" w:space="0"/>
              <w:right w:val="single" w:color="auto" w:sz="4" w:space="0"/>
            </w:tcBorders>
            <w:noWrap w:val="0"/>
            <w:vAlign w:val="center"/>
          </w:tcPr>
          <w:p w14:paraId="46D91107">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tc>
      </w:tr>
      <w:tr w14:paraId="2C351198">
        <w:tblPrEx>
          <w:tblCellMar>
            <w:top w:w="0" w:type="dxa"/>
            <w:left w:w="108" w:type="dxa"/>
            <w:bottom w:w="0" w:type="dxa"/>
            <w:right w:w="108" w:type="dxa"/>
          </w:tblCellMar>
        </w:tblPrEx>
        <w:trPr>
          <w:trHeight w:val="755"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14:paraId="5B85A14E">
            <w:pPr>
              <w:widowControl/>
              <w:spacing w:line="400" w:lineRule="exact"/>
              <w:jc w:val="center"/>
              <w:rPr>
                <w:rFonts w:hint="default"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2</w:t>
            </w:r>
          </w:p>
        </w:tc>
        <w:tc>
          <w:tcPr>
            <w:tcW w:w="1560" w:type="dxa"/>
            <w:tcBorders>
              <w:top w:val="single" w:color="auto" w:sz="4" w:space="0"/>
              <w:left w:val="nil"/>
              <w:bottom w:val="single" w:color="auto" w:sz="4" w:space="0"/>
              <w:right w:val="single" w:color="auto" w:sz="4" w:space="0"/>
            </w:tcBorders>
            <w:noWrap w:val="0"/>
            <w:vAlign w:val="center"/>
          </w:tcPr>
          <w:p w14:paraId="1D21FC96">
            <w:pPr>
              <w:spacing w:line="36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液体融雪剂</w:t>
            </w:r>
          </w:p>
        </w:tc>
        <w:tc>
          <w:tcPr>
            <w:tcW w:w="1650" w:type="dxa"/>
            <w:tcBorders>
              <w:top w:val="single" w:color="auto" w:sz="4" w:space="0"/>
              <w:left w:val="nil"/>
              <w:bottom w:val="single" w:color="auto" w:sz="4" w:space="0"/>
              <w:right w:val="single" w:color="auto" w:sz="4" w:space="0"/>
            </w:tcBorders>
            <w:noWrap w:val="0"/>
            <w:vAlign w:val="center"/>
          </w:tcPr>
          <w:p w14:paraId="1E6BC782">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5778FB16">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tc>
        <w:tc>
          <w:tcPr>
            <w:tcW w:w="1245" w:type="dxa"/>
            <w:tcBorders>
              <w:top w:val="single" w:color="auto" w:sz="4" w:space="0"/>
              <w:left w:val="nil"/>
              <w:bottom w:val="single" w:color="auto" w:sz="4" w:space="0"/>
              <w:right w:val="single" w:color="auto" w:sz="4" w:space="0"/>
            </w:tcBorders>
            <w:noWrap w:val="0"/>
            <w:vAlign w:val="center"/>
          </w:tcPr>
          <w:p w14:paraId="7122FE13">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tc>
        <w:tc>
          <w:tcPr>
            <w:tcW w:w="1575" w:type="dxa"/>
            <w:tcBorders>
              <w:top w:val="single" w:color="auto" w:sz="4" w:space="0"/>
              <w:left w:val="nil"/>
              <w:bottom w:val="single" w:color="auto" w:sz="4" w:space="0"/>
              <w:right w:val="single" w:color="auto" w:sz="4" w:space="0"/>
            </w:tcBorders>
            <w:noWrap w:val="0"/>
            <w:vAlign w:val="center"/>
          </w:tcPr>
          <w:p w14:paraId="24E6922B">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tc>
        <w:tc>
          <w:tcPr>
            <w:tcW w:w="1572" w:type="dxa"/>
            <w:tcBorders>
              <w:top w:val="single" w:color="auto" w:sz="4" w:space="0"/>
              <w:left w:val="nil"/>
              <w:bottom w:val="single" w:color="auto" w:sz="4" w:space="0"/>
              <w:right w:val="single" w:color="auto" w:sz="4" w:space="0"/>
            </w:tcBorders>
            <w:noWrap w:val="0"/>
            <w:vAlign w:val="center"/>
          </w:tcPr>
          <w:p w14:paraId="6BF22644">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tc>
      </w:tr>
      <w:tr w14:paraId="0BFDA973">
        <w:tblPrEx>
          <w:tblCellMar>
            <w:top w:w="0" w:type="dxa"/>
            <w:left w:w="108" w:type="dxa"/>
            <w:bottom w:w="0" w:type="dxa"/>
            <w:right w:w="108" w:type="dxa"/>
          </w:tblCellMar>
        </w:tblPrEx>
        <w:trPr>
          <w:trHeight w:val="755"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14:paraId="28F31324">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tc>
        <w:tc>
          <w:tcPr>
            <w:tcW w:w="1560" w:type="dxa"/>
            <w:tcBorders>
              <w:top w:val="single" w:color="auto" w:sz="4" w:space="0"/>
              <w:left w:val="nil"/>
              <w:bottom w:val="single" w:color="auto" w:sz="4" w:space="0"/>
              <w:right w:val="single" w:color="auto" w:sz="4" w:space="0"/>
            </w:tcBorders>
            <w:noWrap w:val="0"/>
            <w:vAlign w:val="center"/>
          </w:tcPr>
          <w:p w14:paraId="7B737ECC">
            <w:pPr>
              <w:spacing w:line="360" w:lineRule="exact"/>
              <w:jc w:val="center"/>
              <w:rPr>
                <w:rFonts w:hint="default" w:ascii="宋体" w:hAnsi="宋体" w:eastAsia="宋体" w:cs="宋体"/>
                <w:color w:val="000000" w:themeColor="text1"/>
                <w:sz w:val="20"/>
                <w:szCs w:val="20"/>
                <w:highlight w:val="none"/>
                <w:lang w:val="en-US" w:eastAsia="zh-CN"/>
                <w14:textFill>
                  <w14:solidFill>
                    <w14:schemeClr w14:val="tx1"/>
                  </w14:solidFill>
                </w14:textFill>
              </w:rPr>
            </w:pPr>
            <w:r>
              <w:rPr>
                <w:rFonts w:hint="eastAsia" w:ascii="宋体" w:hAnsi="宋体" w:eastAsia="宋体" w:cs="宋体"/>
                <w:color w:val="000000" w:themeColor="text1"/>
                <w:sz w:val="20"/>
                <w:szCs w:val="20"/>
                <w:highlight w:val="none"/>
                <w:lang w:val="en-US" w:eastAsia="zh-CN"/>
                <w14:textFill>
                  <w14:solidFill>
                    <w14:schemeClr w14:val="tx1"/>
                  </w14:solidFill>
                </w14:textFill>
              </w:rPr>
              <w:t>...</w:t>
            </w:r>
          </w:p>
        </w:tc>
        <w:tc>
          <w:tcPr>
            <w:tcW w:w="1650" w:type="dxa"/>
            <w:tcBorders>
              <w:top w:val="single" w:color="auto" w:sz="4" w:space="0"/>
              <w:left w:val="nil"/>
              <w:bottom w:val="single" w:color="auto" w:sz="4" w:space="0"/>
              <w:right w:val="single" w:color="auto" w:sz="4" w:space="0"/>
            </w:tcBorders>
            <w:noWrap w:val="0"/>
            <w:vAlign w:val="center"/>
          </w:tcPr>
          <w:p w14:paraId="1E5112DB">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tc>
        <w:tc>
          <w:tcPr>
            <w:tcW w:w="1125" w:type="dxa"/>
            <w:tcBorders>
              <w:top w:val="single" w:color="auto" w:sz="4" w:space="0"/>
              <w:left w:val="single" w:color="auto" w:sz="4" w:space="0"/>
              <w:bottom w:val="single" w:color="auto" w:sz="4" w:space="0"/>
              <w:right w:val="single" w:color="auto" w:sz="4" w:space="0"/>
            </w:tcBorders>
            <w:noWrap w:val="0"/>
            <w:vAlign w:val="center"/>
          </w:tcPr>
          <w:p w14:paraId="08B1D133">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tc>
        <w:tc>
          <w:tcPr>
            <w:tcW w:w="1245" w:type="dxa"/>
            <w:tcBorders>
              <w:top w:val="single" w:color="auto" w:sz="4" w:space="0"/>
              <w:left w:val="nil"/>
              <w:bottom w:val="single" w:color="auto" w:sz="4" w:space="0"/>
              <w:right w:val="single" w:color="auto" w:sz="4" w:space="0"/>
            </w:tcBorders>
            <w:noWrap w:val="0"/>
            <w:vAlign w:val="center"/>
          </w:tcPr>
          <w:p w14:paraId="1E18D713">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tc>
        <w:tc>
          <w:tcPr>
            <w:tcW w:w="1575" w:type="dxa"/>
            <w:tcBorders>
              <w:top w:val="single" w:color="auto" w:sz="4" w:space="0"/>
              <w:left w:val="nil"/>
              <w:bottom w:val="single" w:color="auto" w:sz="4" w:space="0"/>
              <w:right w:val="single" w:color="auto" w:sz="4" w:space="0"/>
            </w:tcBorders>
            <w:noWrap w:val="0"/>
            <w:vAlign w:val="center"/>
          </w:tcPr>
          <w:p w14:paraId="225A7D1A">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tc>
        <w:tc>
          <w:tcPr>
            <w:tcW w:w="1572" w:type="dxa"/>
            <w:tcBorders>
              <w:top w:val="single" w:color="auto" w:sz="4" w:space="0"/>
              <w:left w:val="nil"/>
              <w:bottom w:val="single" w:color="auto" w:sz="4" w:space="0"/>
              <w:right w:val="single" w:color="auto" w:sz="4" w:space="0"/>
            </w:tcBorders>
            <w:noWrap w:val="0"/>
            <w:vAlign w:val="center"/>
          </w:tcPr>
          <w:p w14:paraId="4163C033">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tc>
      </w:tr>
      <w:tr w14:paraId="4A458DBD">
        <w:tblPrEx>
          <w:tblCellMar>
            <w:top w:w="0" w:type="dxa"/>
            <w:left w:w="108" w:type="dxa"/>
            <w:bottom w:w="0" w:type="dxa"/>
            <w:right w:w="108" w:type="dxa"/>
          </w:tblCellMar>
        </w:tblPrEx>
        <w:trPr>
          <w:trHeight w:val="763" w:hRule="atLeast"/>
        </w:trPr>
        <w:tc>
          <w:tcPr>
            <w:tcW w:w="825" w:type="dxa"/>
            <w:tcBorders>
              <w:top w:val="single" w:color="auto" w:sz="4" w:space="0"/>
              <w:left w:val="single" w:color="auto" w:sz="4" w:space="0"/>
              <w:bottom w:val="single" w:color="auto" w:sz="4" w:space="0"/>
              <w:right w:val="single" w:color="auto" w:sz="4" w:space="0"/>
            </w:tcBorders>
            <w:noWrap w:val="0"/>
            <w:vAlign w:val="center"/>
          </w:tcPr>
          <w:p w14:paraId="69918ADC">
            <w:pPr>
              <w:widowControl/>
              <w:spacing w:line="400" w:lineRule="exact"/>
              <w:jc w:val="cente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总计</w:t>
            </w:r>
          </w:p>
        </w:tc>
        <w:tc>
          <w:tcPr>
            <w:tcW w:w="8727" w:type="dxa"/>
            <w:gridSpan w:val="6"/>
            <w:tcBorders>
              <w:top w:val="single" w:color="auto" w:sz="4" w:space="0"/>
              <w:left w:val="nil"/>
              <w:bottom w:val="single" w:color="auto" w:sz="4" w:space="0"/>
              <w:right w:val="single" w:color="auto" w:sz="4" w:space="0"/>
            </w:tcBorders>
            <w:noWrap w:val="0"/>
            <w:vAlign w:val="center"/>
          </w:tcPr>
          <w:p w14:paraId="42863063">
            <w:pPr>
              <w:widowControl/>
              <w:spacing w:line="400" w:lineRule="exact"/>
              <w:jc w:val="both"/>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合计：</w:t>
            </w:r>
          </w:p>
        </w:tc>
      </w:tr>
    </w:tbl>
    <w:p w14:paraId="64130C51">
      <w:pP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p w14:paraId="03FA05BD">
      <w:pPr>
        <w:pStyle w:val="9"/>
        <w:spacing w:line="360" w:lineRule="auto"/>
        <w:ind w:firstLine="400" w:firstLineChars="200"/>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t>第二条  付款方式：</w:t>
      </w:r>
      <w:r>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t>合同签订后，乙方将货物按照甲方要求送至指定的地点后、接收人清点数量，签收。货物按照合同全部送完签收后，乙方按照程序填写支付凭证、附带签收票据，按照付款流程进行支付。</w:t>
      </w:r>
    </w:p>
    <w:p w14:paraId="333F4BEC">
      <w:pPr>
        <w:pStyle w:val="9"/>
        <w:spacing w:line="360" w:lineRule="auto"/>
        <w:ind w:firstLine="400" w:firstLineChars="200"/>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t>第三条 送货要求：货物按照及甲方要求按照通知时间、数量送至指定的堆场，乙方负责货物的装卸、覆盖，卸货完毕甲方清点无误后接收签字。</w:t>
      </w:r>
    </w:p>
    <w:p w14:paraId="0FD9FF0B">
      <w:pPr>
        <w:pStyle w:val="9"/>
        <w:spacing w:line="360" w:lineRule="auto"/>
        <w:ind w:firstLine="400" w:firstLineChars="200"/>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t>第四条  货物临时调整：甲方有权将部分固体颗粒状环保型融雪剂在送货前调整为粉末装融雪剂，乙方不得推诿，如需进行调整甲方在送货前提前5日内通知乙方。</w:t>
      </w:r>
    </w:p>
    <w:p w14:paraId="72DC2B07">
      <w:pPr>
        <w:pStyle w:val="9"/>
        <w:spacing w:line="360" w:lineRule="auto"/>
        <w:ind w:firstLine="400" w:firstLineChars="200"/>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t>第五条  货物验收：</w:t>
      </w:r>
      <w:r>
        <w:rPr>
          <w:rFonts w:hint="eastAsia" w:ascii="宋体" w:hAnsi="宋体" w:eastAsia="宋体" w:cs="宋体"/>
          <w:b w:val="0"/>
          <w:bCs w:val="0"/>
          <w:color w:val="000000" w:themeColor="text1"/>
          <w:kern w:val="2"/>
          <w:sz w:val="20"/>
          <w:szCs w:val="20"/>
          <w:highlight w:val="none"/>
          <w:lang w:val="en-US" w:eastAsia="zh-CN" w:bidi="ar-SA"/>
          <w14:textFill>
            <w14:solidFill>
              <w14:schemeClr w14:val="tx1"/>
            </w14:solidFill>
          </w14:textFill>
        </w:rPr>
        <w:t>甲方自收到货物起7日内对货物进行验收，如果对产品的的规格、数量、质量等产品信息提出异议，乙方必须在3日内答复并提出解决方案，否则甲方有权退货并要求乙方承担所有的费用。</w:t>
      </w:r>
    </w:p>
    <w:p w14:paraId="02990B46">
      <w:pPr>
        <w:pStyle w:val="9"/>
        <w:spacing w:line="360" w:lineRule="auto"/>
        <w:ind w:firstLine="400" w:firstLineChars="200"/>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第六条  质量保证：</w:t>
      </w:r>
    </w:p>
    <w:p w14:paraId="49480BAB">
      <w:pPr>
        <w:spacing w:line="360" w:lineRule="auto"/>
        <w:ind w:firstLine="400" w:firstLineChars="200"/>
        <w:rPr>
          <w:rFonts w:hint="eastAsia" w:ascii="宋体" w:hAnsi="宋体" w:eastAsia="宋体" w:cs="宋体"/>
          <w:color w:val="000000" w:themeColor="text1"/>
          <w:sz w:val="20"/>
          <w:szCs w:val="20"/>
          <w:highlight w:val="none"/>
          <w:lang w:val="en-US" w:eastAsia="zh-CN"/>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 xml:space="preserve"> 1、乙方提供的所有产品必须符合国家有关部门的质量和环保要求，如</w:t>
      </w:r>
      <w:r>
        <w:rPr>
          <w:rFonts w:hint="eastAsia" w:ascii="宋体" w:hAnsi="宋体" w:eastAsia="宋体" w:cs="宋体"/>
          <w:color w:val="000000" w:themeColor="text1"/>
          <w:sz w:val="20"/>
          <w:szCs w:val="20"/>
          <w:highlight w:val="none"/>
          <w:lang w:val="en-US" w:eastAsia="zh-CN"/>
          <w14:textFill>
            <w14:solidFill>
              <w14:schemeClr w14:val="tx1"/>
            </w14:solidFill>
          </w14:textFill>
        </w:rPr>
        <w:t>存在质量问题经相关部门鉴定、由乙方承担相应责任。</w:t>
      </w:r>
    </w:p>
    <w:p w14:paraId="2AA90E16">
      <w:pPr>
        <w:pStyle w:val="9"/>
        <w:spacing w:line="360" w:lineRule="auto"/>
        <w:ind w:firstLine="480"/>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第七条  违约责任：</w:t>
      </w:r>
    </w:p>
    <w:p w14:paraId="1DE2CAF3">
      <w:pPr>
        <w:pStyle w:val="9"/>
        <w:spacing w:line="360" w:lineRule="auto"/>
        <w:ind w:firstLine="480"/>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在合同履行期间，乙方延期交货（除双方协商同意免除外），每延期1日按合同总金额的2%承担违约责任。</w:t>
      </w:r>
    </w:p>
    <w:p w14:paraId="0FCB7809">
      <w:pPr>
        <w:pStyle w:val="9"/>
        <w:spacing w:line="360" w:lineRule="auto"/>
        <w:ind w:firstLine="480"/>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第八条  争端的解决：</w:t>
      </w:r>
    </w:p>
    <w:p w14:paraId="1B86724C">
      <w:pPr>
        <w:pStyle w:val="9"/>
        <w:spacing w:line="360" w:lineRule="auto"/>
        <w:ind w:firstLine="480"/>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合同履行过程中出现的一切争端，双方应友好协商解决，协商不成的，任意一方可向有管辖权的人民法院提起诉讼解决。</w:t>
      </w:r>
    </w:p>
    <w:p w14:paraId="5DCB2D9B">
      <w:pPr>
        <w:pStyle w:val="9"/>
        <w:spacing w:line="360" w:lineRule="auto"/>
        <w:ind w:firstLine="400" w:firstLineChars="200"/>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第九条  合同生效及其他：</w:t>
      </w:r>
    </w:p>
    <w:p w14:paraId="6671DC02">
      <w:pPr>
        <w:pStyle w:val="9"/>
        <w:spacing w:line="360" w:lineRule="auto"/>
        <w:ind w:firstLine="400" w:firstLineChars="200"/>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1、本合同未尽事宜，经双方协商后作出书面补充协议，补充协议与本合同具有同等法律效力。</w:t>
      </w:r>
    </w:p>
    <w:p w14:paraId="27551A04">
      <w:pPr>
        <w:pStyle w:val="9"/>
        <w:spacing w:line="360" w:lineRule="auto"/>
        <w:ind w:firstLine="400" w:firstLineChars="200"/>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2、本合同一式</w:t>
      </w:r>
      <w:r>
        <w:rPr>
          <w:rFonts w:hint="eastAsia" w:ascii="宋体" w:hAnsi="宋体" w:eastAsia="宋体" w:cs="宋体"/>
          <w:color w:val="000000" w:themeColor="text1"/>
          <w:kern w:val="2"/>
          <w:sz w:val="20"/>
          <w:szCs w:val="20"/>
          <w:highlight w:val="none"/>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份，双方各执</w:t>
      </w:r>
      <w:r>
        <w:rPr>
          <w:rFonts w:hint="eastAsia" w:ascii="宋体" w:hAnsi="宋体" w:eastAsia="宋体" w:cs="宋体"/>
          <w:color w:val="000000" w:themeColor="text1"/>
          <w:kern w:val="2"/>
          <w:sz w:val="20"/>
          <w:szCs w:val="20"/>
          <w:highlight w:val="none"/>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份，具有同等法律效力。</w:t>
      </w:r>
    </w:p>
    <w:p w14:paraId="4255ABA5">
      <w:pPr>
        <w:pStyle w:val="9"/>
        <w:spacing w:line="360" w:lineRule="auto"/>
        <w:ind w:firstLine="400" w:firstLineChars="200"/>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3、本合同自双方签章后生效。</w:t>
      </w:r>
    </w:p>
    <w:p w14:paraId="04C9F316">
      <w:pPr>
        <w:pStyle w:val="9"/>
        <w:spacing w:line="360" w:lineRule="auto"/>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p w14:paraId="2FCAAA42">
      <w:pPr>
        <w:pStyle w:val="9"/>
        <w:spacing w:line="360" w:lineRule="auto"/>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p w14:paraId="7542777D">
      <w:pPr>
        <w:pStyle w:val="9"/>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甲方：</w:t>
      </w:r>
    </w:p>
    <w:p w14:paraId="5D0E6BEF">
      <w:pPr>
        <w:pStyle w:val="9"/>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签订日期：    年    月   日</w:t>
      </w:r>
    </w:p>
    <w:p w14:paraId="12686817">
      <w:pPr>
        <w:pStyle w:val="9"/>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p w14:paraId="5E9D0D3C">
      <w:pPr>
        <w:pStyle w:val="9"/>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p>
    <w:p w14:paraId="463A4D3F">
      <w:pPr>
        <w:pStyle w:val="9"/>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乙方：</w:t>
      </w:r>
    </w:p>
    <w:p w14:paraId="63DC7AD6">
      <w:pPr>
        <w:pStyle w:val="9"/>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税号：</w:t>
      </w:r>
    </w:p>
    <w:p w14:paraId="007AF38C">
      <w:pPr>
        <w:pStyle w:val="9"/>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开户银行:</w:t>
      </w:r>
    </w:p>
    <w:p w14:paraId="747BF0CA">
      <w:pPr>
        <w:pStyle w:val="9"/>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账号：</w:t>
      </w:r>
    </w:p>
    <w:p w14:paraId="58B7890F">
      <w:pPr>
        <w:pStyle w:val="9"/>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联系人电话：</w:t>
      </w:r>
    </w:p>
    <w:p w14:paraId="27421FBA">
      <w:pPr>
        <w:pStyle w:val="9"/>
        <w:keepNext w:val="0"/>
        <w:keepLines w:val="0"/>
        <w:pageBreakBefore w:val="0"/>
        <w:widowControl/>
        <w:kinsoku/>
        <w:wordWrap/>
        <w:overflowPunct/>
        <w:topLinePunct w:val="0"/>
        <w:autoSpaceDE/>
        <w:autoSpaceDN/>
        <w:bidi w:val="0"/>
        <w:adjustRightInd w:val="0"/>
        <w:snapToGrid w:val="0"/>
        <w:spacing w:line="360" w:lineRule="auto"/>
        <w:ind w:firstLine="400" w:firstLineChars="200"/>
        <w:textAlignment w:val="auto"/>
        <w:rPr>
          <w:rFonts w:hint="default" w:ascii="宋体" w:hAnsi="宋体" w:eastAsia="宋体" w:cs="宋体"/>
          <w:color w:val="000000" w:themeColor="text1"/>
          <w:kern w:val="2"/>
          <w:sz w:val="20"/>
          <w:szCs w:val="20"/>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0"/>
          <w:szCs w:val="20"/>
          <w:highlight w:val="none"/>
          <w:lang w:val="en-US" w:eastAsia="zh-CN" w:bidi="ar-SA"/>
          <w14:textFill>
            <w14:solidFill>
              <w14:schemeClr w14:val="tx1"/>
            </w14:solidFill>
          </w14:textFill>
        </w:rPr>
        <w:t>签订日期：     年    月   日</w:t>
      </w:r>
    </w:p>
    <w:p w14:paraId="326B5D7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宋体" w:hAnsi="宋体" w:eastAsia="宋体" w:cs="宋体"/>
          <w:color w:val="000000" w:themeColor="text1"/>
          <w:kern w:val="2"/>
          <w:sz w:val="24"/>
          <w:szCs w:val="24"/>
          <w:highlight w:val="none"/>
          <w:lang w:val="en-US" w:eastAsia="zh-CN" w:bidi="ar-SA"/>
          <w14:textFill>
            <w14:solidFill>
              <w14:schemeClr w14:val="tx1"/>
            </w14:solidFill>
          </w14:textFill>
        </w:rPr>
      </w:pPr>
    </w:p>
    <w:p w14:paraId="70FD3C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0"/>
          <w:szCs w:val="30"/>
          <w:highlight w:val="none"/>
          <w:lang w:val="en-US" w:eastAsia="zh-CN"/>
          <w14:textFill>
            <w14:solidFill>
              <w14:schemeClr w14:val="tx1"/>
            </w14:solidFill>
          </w14:textFill>
        </w:rPr>
      </w:pPr>
    </w:p>
    <w:p w14:paraId="561294C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themeColor="text1"/>
          <w:sz w:val="30"/>
          <w:szCs w:val="30"/>
          <w:highlight w:val="none"/>
          <w:lang w:val="en-US" w:eastAsia="zh-CN"/>
          <w14:textFill>
            <w14:solidFill>
              <w14:schemeClr w14:val="tx1"/>
            </w14:solidFill>
          </w14:textFill>
        </w:rPr>
      </w:pPr>
    </w:p>
    <w:p w14:paraId="6C559CE5">
      <w:pPr>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A20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10"/>
    <w:qFormat/>
    <w:uiPriority w:val="0"/>
    <w:pPr>
      <w:keepNext/>
      <w:jc w:val="center"/>
      <w:outlineLvl w:val="0"/>
    </w:pPr>
    <w:rPr>
      <w:kern w:val="0"/>
      <w:sz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jc w:val="center"/>
    </w:pPr>
  </w:style>
  <w:style w:type="paragraph" w:customStyle="1" w:styleId="3">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5">
    <w:name w:val="Body Text Indent"/>
    <w:basedOn w:val="1"/>
    <w:qFormat/>
    <w:uiPriority w:val="0"/>
    <w:pPr>
      <w:ind w:firstLine="552"/>
    </w:pPr>
    <w:rPr>
      <w:rFonts w:ascii="宋体"/>
      <w:sz w:val="2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styleId="9">
    <w:name w:val="No Spacing"/>
    <w:qFormat/>
    <w:uiPriority w:val="0"/>
    <w:pPr>
      <w:adjustRightInd w:val="0"/>
      <w:snapToGrid w:val="0"/>
    </w:pPr>
    <w:rPr>
      <w:rFonts w:ascii="Tahoma" w:hAnsi="Tahoma" w:eastAsia="微软雅黑" w:cs="Times New Roman"/>
      <w:sz w:val="22"/>
      <w:szCs w:val="22"/>
      <w:lang w:val="en-US" w:eastAsia="zh-CN" w:bidi="ar-SA"/>
    </w:rPr>
  </w:style>
  <w:style w:type="character" w:customStyle="1" w:styleId="10">
    <w:name w:val="标题 1 Char"/>
    <w:link w:val="4"/>
    <w:qFormat/>
    <w:uiPriority w:val="0"/>
    <w:rPr>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2024-11-26T07:04:56Z</dcterms:created>
  <dc:creator>Administrator</dc:creator>
  <cp:lastModifiedBy>蝈蝈</cp:lastModifiedBy>
  <dcterms:modified xsi:type="dcterms:W3CDTF">2024-11-26T07:05:27Z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48075A9DF3614C5C9F27E58FF3BC3C08_12</vt:lpwstr>
  </property>
</Properties>
</file>