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版本号：241126001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高新区2024年环保型融雪剂项目</w:t>
      </w:r>
    </w:p>
    <w:p>
      <w:pPr>
        <w:pStyle w:val="null3"/>
        <w:jc w:val="center"/>
        <w:outlineLvl w:val="2"/>
      </w:pPr>
      <w:r>
        <w:rPr>
          <w:sz w:val="28"/>
          <w:b/>
        </w:rPr>
        <w:t>采购项目编号：</w:t>
      </w:r>
      <w:r>
        <w:rPr>
          <w:sz w:val="28"/>
          <w:b/>
        </w:rPr>
        <w:t>FSGL-2024-040</w:t>
      </w:r>
      <w:r>
        <w:br/>
      </w:r>
      <w:r>
        <w:br/>
      </w:r>
      <w:r>
        <w:br/>
      </w:r>
    </w:p>
    <w:p>
      <w:pPr>
        <w:pStyle w:val="null3"/>
        <w:jc w:val="center"/>
        <w:outlineLvl w:val="2"/>
      </w:pPr>
      <w:r>
        <w:rPr>
          <w:sz w:val="28"/>
          <w:b/>
        </w:rPr>
        <w:t>西安高新技术产业开发区城市管理和综合执法局</w:t>
      </w:r>
    </w:p>
    <w:p>
      <w:pPr>
        <w:pStyle w:val="null3"/>
        <w:jc w:val="center"/>
        <w:outlineLvl w:val="2"/>
      </w:pPr>
      <w:r>
        <w:rPr>
          <w:sz w:val="28"/>
          <w:b/>
        </w:rPr>
        <w:t>凡硕工程管理咨询有限公司</w:t>
      </w:r>
      <w:r>
        <w:rPr>
          <w:sz w:val="28"/>
          <w:b/>
        </w:rPr>
        <w:t>共同编制</w:t>
      </w:r>
    </w:p>
    <w:p>
      <w:pPr>
        <w:pStyle w:val="null3"/>
        <w:jc w:val="center"/>
        <w:outlineLvl w:val="2"/>
      </w:pPr>
      <w:r>
        <w:rPr>
          <w:sz w:val="28"/>
          <w:b/>
        </w:rPr>
        <w:t>2024年11月26日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凡硕工程管理咨询有限公司</w:t>
      </w:r>
      <w:r>
        <w:rPr/>
        <w:t>（以下简称“代理机构”）受</w:t>
      </w:r>
      <w:r>
        <w:rPr/>
        <w:t>西安高新技术产业开发区城市管理和综合执法局</w:t>
      </w:r>
      <w:r>
        <w:rPr/>
        <w:t>委托，拟对</w:t>
      </w:r>
      <w:r>
        <w:rPr/>
        <w:t>高新区2024年环保型融雪剂项目</w:t>
      </w:r>
      <w:r>
        <w:rPr/>
        <w:t>采用竞争性磋商采购方式进行采购，兹邀请供应商参加本项目的竞争性磋商。</w:t>
      </w:r>
    </w:p>
    <w:p>
      <w:pPr>
        <w:pStyle w:val="null3"/>
        <w:outlineLvl w:val="2"/>
      </w:pPr>
      <w:r>
        <w:rPr>
          <w:sz w:val="28"/>
          <w:b/>
        </w:rPr>
        <w:t>一、项目编号：</w:t>
      </w:r>
      <w:r>
        <w:rPr>
          <w:sz w:val="28"/>
          <w:b/>
        </w:rPr>
        <w:t>FSGL-2024-040</w:t>
      </w:r>
    </w:p>
    <w:p>
      <w:pPr>
        <w:pStyle w:val="null3"/>
        <w:outlineLvl w:val="2"/>
      </w:pPr>
      <w:r>
        <w:rPr>
          <w:sz w:val="28"/>
          <w:b/>
        </w:rPr>
        <w:t>二、项目名称：</w:t>
      </w:r>
      <w:r>
        <w:rPr>
          <w:sz w:val="28"/>
          <w:b/>
        </w:rPr>
        <w:t>高新区2024年环保型融雪剂项目</w:t>
      </w:r>
    </w:p>
    <w:p>
      <w:pPr>
        <w:pStyle w:val="null3"/>
        <w:outlineLvl w:val="2"/>
      </w:pPr>
      <w:r>
        <w:rPr>
          <w:sz w:val="28"/>
          <w:b/>
        </w:rPr>
        <w:t>三、磋商项目简介</w:t>
      </w:r>
    </w:p>
    <w:p>
      <w:pPr>
        <w:pStyle w:val="null3"/>
        <w:ind w:firstLine="480"/>
      </w:pPr>
      <w:r>
        <w:rPr/>
        <w:t>高新区2024年环保型融雪剂采购，详见招标内容及要求。</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法定代表人直接参加投标的，须提供法定代表人身份证明;法定代表人授权代表参加投标的，须提供法定代表人授权委托书。：法定代表人直接参加投标的，须提供法定代表人身份证明;法定代表人授权代表参加投标的，须提供法定代表人授权委托书。</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t xml:space="preserve"> 注：获取的磋商文件主体格式包括pdf、word两种格式版本，其中以pdf格式为准。</w:t>
      </w:r>
    </w:p>
    <w:p>
      <w:pPr>
        <w:pStyle w:val="null3"/>
        <w:outlineLvl w:val="2"/>
      </w:pPr>
      <w:r>
        <w:rPr>
          <w:sz w:val="28"/>
          <w:b/>
        </w:rPr>
        <w:t xml:space="preserve"> 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西安高新技术产业开发区城市管理和综合执法局</w:t>
      </w:r>
    </w:p>
    <w:p>
      <w:pPr>
        <w:pStyle w:val="null3"/>
      </w:pPr>
      <w:r>
        <w:rPr/>
        <w:t xml:space="preserve"> 地址： </w:t>
      </w:r>
      <w:r>
        <w:rPr/>
        <w:t>陕西省西安市长安区郭杜街道西太路丝路创智谷 6 号楼</w:t>
      </w:r>
    </w:p>
    <w:p>
      <w:pPr>
        <w:pStyle w:val="null3"/>
      </w:pPr>
      <w:r>
        <w:rPr/>
        <w:t xml:space="preserve"> 邮编： </w:t>
      </w:r>
      <w:r>
        <w:rPr/>
        <w:t>710117</w:t>
      </w:r>
    </w:p>
    <w:p>
      <w:pPr>
        <w:pStyle w:val="null3"/>
      </w:pPr>
      <w:r>
        <w:rPr/>
        <w:t xml:space="preserve"> 联系人： </w:t>
      </w:r>
      <w:r>
        <w:rPr/>
        <w:t>程工</w:t>
      </w:r>
    </w:p>
    <w:p>
      <w:pPr>
        <w:pStyle w:val="null3"/>
      </w:pPr>
      <w:r>
        <w:rPr/>
        <w:t xml:space="preserve"> 联系电话： </w:t>
      </w:r>
      <w:r>
        <w:rPr/>
        <w:t>029-89199037</w:t>
      </w:r>
    </w:p>
    <w:p>
      <w:pPr>
        <w:pStyle w:val="null3"/>
        <w:outlineLvl w:val="3"/>
      </w:pPr>
      <w:r>
        <w:rPr>
          <w:sz w:val="24"/>
          <w:b/>
        </w:rPr>
        <w:t>代理机构：</w:t>
      </w:r>
      <w:r>
        <w:rPr>
          <w:sz w:val="24"/>
          <w:b/>
        </w:rPr>
        <w:t>凡硕工程管理咨询有限公司</w:t>
      </w:r>
    </w:p>
    <w:p>
      <w:pPr>
        <w:pStyle w:val="null3"/>
      </w:pPr>
      <w:r>
        <w:rPr/>
        <w:t xml:space="preserve"> 地址： </w:t>
      </w:r>
      <w:r>
        <w:rPr/>
        <w:t>西安市高新区汇鑫中心A座2204室</w:t>
      </w:r>
    </w:p>
    <w:p>
      <w:pPr>
        <w:pStyle w:val="null3"/>
      </w:pPr>
      <w:r>
        <w:rPr/>
        <w:t xml:space="preserve"> 邮编： </w:t>
      </w:r>
      <w:r>
        <w:rPr/>
        <w:t>710076</w:t>
      </w:r>
    </w:p>
    <w:p>
      <w:pPr>
        <w:pStyle w:val="null3"/>
      </w:pPr>
      <w:r>
        <w:rPr/>
        <w:t xml:space="preserve"> 联系人： </w:t>
      </w:r>
      <w:r>
        <w:rPr/>
        <w:t>王琴</w:t>
      </w:r>
    </w:p>
    <w:p>
      <w:pPr>
        <w:pStyle w:val="null3"/>
      </w:pPr>
      <w:r>
        <w:rPr/>
        <w:t xml:space="preserve"> 联系电话： </w:t>
      </w:r>
      <w:r>
        <w:rPr/>
        <w:t>17349134683</w:t>
      </w:r>
    </w:p>
    <w:p>
      <w:pPr>
        <w:pStyle w:val="null3"/>
        <w:outlineLvl w:val="3"/>
      </w:pPr>
      <w:r>
        <w:rPr>
          <w:sz w:val="24"/>
          <w:b/>
        </w:rPr>
        <w:t>采购监督机构：</w:t>
      </w:r>
      <w:r>
        <w:rPr>
          <w:sz w:val="24"/>
          <w:b/>
        </w:rPr>
        <w:t>西安市高新技术开发区政府采购管理股</w:t>
      </w:r>
    </w:p>
    <w:p>
      <w:pPr>
        <w:pStyle w:val="null3"/>
        <w:ind w:firstLine="480"/>
      </w:pPr>
      <w:r>
        <w:rPr/>
        <w:t>联系人：</w:t>
      </w:r>
      <w:r>
        <w:rPr/>
        <w:t>丁丽</w:t>
      </w:r>
    </w:p>
    <w:p>
      <w:pPr>
        <w:pStyle w:val="null3"/>
        <w:ind w:firstLine="480"/>
      </w:pPr>
      <w:r>
        <w:rPr/>
        <w:t>联系电话：</w:t>
      </w:r>
      <w:r>
        <w:rPr/>
        <w:t>88333950</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采购包1：1,116,000.00元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 xml:space="preserve"> 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2.本项目采购的</w:t>
            </w:r>
            <w:r>
              <w:rPr/>
              <w:t>/</w:t>
            </w:r>
            <w:r>
              <w:rPr/>
              <w:t>产品属于节能产品政府采购品目清单中应强制采购的产品范围，供应商应当提供国家确定的认证机构出具的、处于有效期之内的节能产品认证证书，否则作无效响应处理。</w:t>
            </w:r>
          </w:p>
          <w:p>
            <w:pPr>
              <w:pStyle w:val="null3"/>
            </w:pPr>
            <w:r>
              <w:rPr/>
              <w:t>3.本项目采购的</w:t>
            </w:r>
            <w:r>
              <w:rPr/>
              <w:t>/</w:t>
            </w:r>
            <w:r>
              <w:rPr/>
              <w:t>产品属于节能产品政府采购品目清单中应优先采购的产品范围，本项目采购的</w:t>
            </w:r>
            <w:r>
              <w:rPr/>
              <w:t>/</w:t>
            </w:r>
            <w:r>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t xml:space="preserve"> 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1）采购代理服务费以成交金额为基数，参照《招标代理服务收费管理暂行办法》的通知（计价格[2002]1980号）和《关于招标代理服务收费有关问题的通知》（发改办价格[2003]857号）的有关规定标准计算收取。（2）采购代理服务费缴纳账户： 开户名称：凡硕工程管理咨询有限公司 开 户 行：中国民生银行股份有限公司西安分行营业部 账 号：170511405</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西安高新技术产业开发区城市管理和综合执法局</w:t>
      </w:r>
      <w:r>
        <w:rPr/>
        <w:t>和</w:t>
      </w:r>
      <w:r>
        <w:rPr/>
        <w:t>凡硕工程管理咨询有限公司</w:t>
      </w:r>
      <w:r>
        <w:rPr/>
        <w:t>享有。对磋商文件中供应商参加本次政府采购活动应当具备的条件，磋商项目技术、服务、商务及其他要求，评审细则及标准由</w:t>
      </w:r>
      <w:r>
        <w:rPr/>
        <w:t>西安高新技术产业开发区城市管理和综合执法局</w:t>
      </w:r>
      <w:r>
        <w:rPr/>
        <w:t>负责解释。除上述磋商文件内容，其他内容由</w:t>
      </w:r>
      <w:r>
        <w:rPr/>
        <w:t>凡硕工程管理咨询有限公司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一、“采购人”是指依法进行政府采购的各级国家机关、事业单位、团体组织。本次磋商的采购人是{采购人名称}。</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凡硕工程管理咨询有限公司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sz w:val="24"/>
          <w:b/>
        </w:rPr>
        <w:t>2.2.3响应费用（实质性要求）</w:t>
      </w:r>
    </w:p>
    <w:p>
      <w:pPr>
        <w:pStyle w:val="null3"/>
        <w:ind w:firstLine="480"/>
      </w:pPr>
      <w:r>
        <w:rPr/>
        <w:t>供应商应自行承担参加竞争性磋商采购活动的全部费用。</w:t>
      </w:r>
    </w:p>
    <w:p>
      <w:pPr>
        <w:pStyle w:val="null3"/>
        <w:outlineLvl w:val="2"/>
      </w:pPr>
      <w:r>
        <w:rPr>
          <w:sz w:val="28"/>
          <w:b/>
        </w:rPr>
        <w:t>2.3磋商文件</w:t>
      </w:r>
    </w:p>
    <w:p>
      <w:pPr>
        <w:pStyle w:val="null3"/>
        <w:outlineLvl w:val="3"/>
      </w:pPr>
      <w:r>
        <w:rPr>
          <w:sz w:val="24"/>
          <w:b/>
        </w:rPr>
        <w:t>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2.3.2磋商文件的澄清和修改</w:t>
      </w:r>
    </w:p>
    <w:p>
      <w:pPr>
        <w:pStyle w:val="null3"/>
        <w:ind w:firstLine="480"/>
      </w:pPr>
      <w:r>
        <w:rPr/>
        <w:t xml:space="preserve"> 一、在提交首次响应文件截止时间前，采购人或者代理机构可以对已发出的磋商文件进行必要的澄清或者修改。</w:t>
      </w:r>
    </w:p>
    <w:p>
      <w:pPr>
        <w:pStyle w:val="null3"/>
      </w:pPr>
      <w:r>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 xml:space="preserve"> 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2.4.6响应文件格式</w:t>
      </w:r>
    </w:p>
    <w:p>
      <w:pPr>
        <w:pStyle w:val="null3"/>
        <w:ind w:firstLine="480"/>
      </w:pPr>
      <w:r>
        <w:rPr/>
        <w:t xml:space="preserve"> 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一、供应商的报价是其响应磋商项目要求的全部工作内容的价格体现，包括供应商完成本项目所需的一切费用。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2.4.9响应文件的制作、签章和加密（实质性要求）</w:t>
      </w:r>
    </w:p>
    <w:p>
      <w:pPr>
        <w:pStyle w:val="null3"/>
        <w:ind w:firstLine="480"/>
      </w:pPr>
      <w:r>
        <w:rPr/>
        <w:t xml:space="preserve"> 一、响应文件应当根据磋商文件进行编制。供应商应通过陕西省政府采购网--办事指南-CA及签章服务下载投标（响应）客户端，使用客户端编制响应文件。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 xml:space="preserve"> 一、供应商应当在提交响应文件截止时间前，通过项目电子化交易系统完成首次响应文件提交。</w:t>
      </w:r>
    </w:p>
    <w:p>
      <w:pPr>
        <w:pStyle w:val="null3"/>
        <w:ind w:firstLine="480"/>
      </w:pPr>
      <w:r>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pPr>
      <w:r>
        <w:rPr/>
        <w:t xml:space="preserve"> 响应文件开启时间前，供应商登录项目电子化交易系统-“开标/开启大厅”，等待代理机构开启磋商。</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2.6.1签订合同</w:t>
      </w:r>
    </w:p>
    <w:p>
      <w:pPr>
        <w:pStyle w:val="null3"/>
        <w:ind w:firstLine="480"/>
      </w:pPr>
      <w:r>
        <w:rPr/>
        <w:t xml:space="preserve"> 一、采购人应在成交通知书发出之日起三十日内与成交供应商签订采购合同。</w:t>
      </w:r>
    </w:p>
    <w:p>
      <w:pPr>
        <w:pStyle w:val="null3"/>
        <w:ind w:firstLine="480"/>
      </w:pPr>
      <w:r>
        <w:rPr/>
        <w:t xml:space="preserve"> 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 xml:space="preserve"> 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t xml:space="preserve"> 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一、成交供应商与采购人签订合同后，合同双方应严格执行合同条款，履行合同规定的义务，保证合同的顺利完成。</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2.6.7履约验收方案</w:t>
      </w:r>
    </w:p>
    <w:p>
      <w:pPr>
        <w:pStyle w:val="null3"/>
      </w:pPr>
      <w:r>
        <w:rPr/>
        <w:t>采购包1：</w:t>
      </w:r>
    </w:p>
    <w:p>
      <w:pPr>
        <w:pStyle w:val="null3"/>
      </w:pPr>
      <w:r>
        <w:rPr/>
        <w:t>按照磋商文件要求及合同约定执行。</w:t>
      </w:r>
    </w:p>
    <w:p>
      <w:pPr>
        <w:pStyle w:val="null3"/>
        <w:outlineLvl w:val="3"/>
      </w:pPr>
      <w:r>
        <w:rPr>
          <w:sz w:val="24"/>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 xml:space="preserve"> 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 xml:space="preserve"> （三）不同供应商的响应文件载明的项目管理成员或者联系人员为同一人；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供应商有上述情形的，按照规定追究法律责任，具有前述一至十三条情形之一的，其响应文件无效，或取消被确认为成交供应商的资格或认定成交无效。</w:t>
      </w:r>
    </w:p>
    <w:p>
      <w:pPr>
        <w:pStyle w:val="null3"/>
        <w:outlineLvl w:val="3"/>
      </w:pPr>
      <w:r>
        <w:rPr>
          <w:sz w:val="24"/>
          <w:b/>
        </w:rPr>
        <w:t>2.7.3采购人员及相关人员回避要求</w:t>
      </w:r>
    </w:p>
    <w:p>
      <w:pPr>
        <w:pStyle w:val="null3"/>
        <w:ind w:firstLine="480"/>
      </w:pPr>
      <w:r>
        <w:rPr/>
        <w:t xml:space="preserve"> 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 xml:space="preserve"> （四）与供应商的法定代表人或者负责人有夫妻、直系血亲、三代以内旁系血亲或者近姻亲关系；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根据委托代理协议约定，供应商对采购文件的询问、质疑由 </w:t>
      </w:r>
      <w:r>
        <w:rPr/>
        <w:t>凡硕工程管理咨询有限公司</w:t>
      </w:r>
      <w:r>
        <w:rPr/>
        <w:t xml:space="preserve"> 负责答复；供应商对采购过程的询问、质疑由</w:t>
      </w:r>
      <w:r>
        <w:rPr/>
        <w:t>凡硕工程管理咨询有限公司</w:t>
      </w:r>
      <w:r>
        <w:rPr/>
        <w:t xml:space="preserve"> 负责答复；供应商对采购结果的询问、质疑由 </w:t>
      </w:r>
      <w:r>
        <w:rPr/>
        <w:t>凡硕工程管理咨询有限公司</w:t>
      </w:r>
      <w:r>
        <w:rPr/>
        <w:t xml:space="preserve"> 负责答复。</w:t>
      </w:r>
    </w:p>
    <w:p>
      <w:pPr>
        <w:pStyle w:val="null3"/>
        <w:ind w:firstLine="480"/>
      </w:pPr>
      <w:r>
        <w:rPr/>
        <w:t xml:space="preserve"> 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 xml:space="preserve"> （一）对可以质疑的采购文件提出质疑的，为收到采购文件之日或者采购文件公告期限届满之日；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 xml:space="preserve"> （三）对中标或者成交结果提出质疑的，为中标或者成交结果公告期限届满之日。</w:t>
      </w:r>
    </w:p>
    <w:p>
      <w:pPr>
        <w:pStyle w:val="null3"/>
        <w:ind w:firstLine="480"/>
      </w:pPr>
      <w:r>
        <w:rPr/>
        <w:t xml:space="preserve"> 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 xml:space="preserve"> （二）法定代表人或主要负责人授权委托书1份（委托代理人办理质疑事宜的需提供）；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 xml:space="preserve"> （四）委托代理人身份证复印件1份（委托代理人办理质疑事宜的需提供）；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pPr>
      <w:r>
        <w:rPr/>
        <w:t>答复主体：代理机构</w:t>
      </w:r>
    </w:p>
    <w:p>
      <w:pPr>
        <w:pStyle w:val="null3"/>
      </w:pPr>
      <w:r>
        <w:rPr/>
        <w:t>联系人：王琴</w:t>
      </w:r>
    </w:p>
    <w:p>
      <w:pPr>
        <w:pStyle w:val="null3"/>
      </w:pPr>
      <w:r>
        <w:rPr/>
        <w:t>联系电话：17349134683</w:t>
      </w:r>
    </w:p>
    <w:p>
      <w:pPr>
        <w:pStyle w:val="null3"/>
      </w:pPr>
      <w:r>
        <w:rPr/>
        <w:t>地址：西安市高新区汇鑫中心A座2204室</w:t>
      </w:r>
    </w:p>
    <w:p>
      <w:pPr>
        <w:pStyle w:val="null3"/>
      </w:pPr>
      <w:r>
        <w:rPr/>
        <w:t>邮编：710076</w:t>
      </w:r>
    </w:p>
    <w:p>
      <w:pPr>
        <w:pStyle w:val="null3"/>
        <w:ind w:firstLine="480"/>
      </w:pPr>
      <w:r>
        <w:rPr/>
        <w:t xml:space="preserve"> 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 xml:space="preserve"> 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高新区2024年环保型融雪剂采购，详见招标内容及要求。</w:t>
      </w:r>
    </w:p>
    <w:p>
      <w:pPr>
        <w:pStyle w:val="null3"/>
        <w:outlineLvl w:val="2"/>
      </w:pPr>
      <w:r>
        <w:rPr>
          <w:sz w:val="28"/>
          <w:b/>
        </w:rPr>
        <w:t>3.2采购内容</w:t>
      </w:r>
    </w:p>
    <w:p>
      <w:pPr>
        <w:pStyle w:val="null3"/>
      </w:pPr>
      <w:r>
        <w:rPr/>
        <w:t>采购包1：</w:t>
      </w:r>
    </w:p>
    <w:p>
      <w:pPr>
        <w:pStyle w:val="null3"/>
      </w:pPr>
      <w:r>
        <w:rPr/>
        <w:t>采购包预算金额（元）: 1,116,000.00</w:t>
      </w:r>
    </w:p>
    <w:p>
      <w:pPr>
        <w:pStyle w:val="null3"/>
      </w:pPr>
      <w:r>
        <w:rPr/>
        <w:t>采购包最高限价（元）: 1,116,000.00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融雪剂</w:t>
            </w:r>
          </w:p>
        </w:tc>
        <w:tc>
          <w:tcPr>
            <w:tcW w:type="dxa" w:w="831"/>
          </w:tcPr>
          <w:p>
            <w:pPr>
              <w:pStyle w:val="null3"/>
              <w:jc w:val="right"/>
            </w:pPr>
            <w:r>
              <w:rPr/>
              <w:t>1.00</w:t>
            </w:r>
          </w:p>
        </w:tc>
        <w:tc>
          <w:tcPr>
            <w:tcW w:type="dxa" w:w="831"/>
          </w:tcPr>
          <w:p>
            <w:pPr>
              <w:pStyle w:val="null3"/>
              <w:jc w:val="right"/>
            </w:pPr>
            <w:r>
              <w:rPr/>
              <w:t>1,116,000.00</w:t>
            </w:r>
          </w:p>
        </w:tc>
        <w:tc>
          <w:tcPr>
            <w:tcW w:type="dxa" w:w="831"/>
          </w:tcPr>
          <w:p>
            <w:pPr>
              <w:pStyle w:val="null3"/>
            </w:pPr>
            <w:r>
              <w:rPr/>
              <w:t>批</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标的名称：融雪剂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left"/>
            </w:pPr>
            <w:r>
              <w:rPr>
                <w:sz w:val="21"/>
              </w:rPr>
              <w:t>为切实做好高新区城市道路扫雪除冰工作，保障2024年扫雪除冰应急保障工作顺利进行以及“保畅通、保民生、保安全”的总体要求，经核算我局需要进行环保型固体融雪剂750吨、液体融雪剂80吨的采购需求，以确保冬季道路的畅通和安全。</w:t>
            </w:r>
          </w:p>
          <w:p>
            <w:pPr>
              <w:pStyle w:val="null3"/>
              <w:jc w:val="left"/>
            </w:pPr>
            <w:r>
              <w:rPr>
                <w:rFonts w:ascii="calibri" w:hAnsi="calibri" w:cs="calibri" w:eastAsia="calibri"/>
                <w:sz w:val="21"/>
              </w:rPr>
              <w:t>一、技术标准和要求:</w:t>
            </w:r>
          </w:p>
          <w:p>
            <w:pPr>
              <w:pStyle w:val="null3"/>
              <w:numPr>
                <w:ilvl w:val="0"/>
                <w:numId w:val="1"/>
              </w:numPr>
              <w:jc w:val="left"/>
            </w:pPr>
            <w:r>
              <w:rPr>
                <w:rFonts w:ascii="calibri" w:hAnsi="calibri" w:cs="calibri" w:eastAsia="calibri"/>
                <w:sz w:val="21"/>
              </w:rPr>
              <w:t>环保型固体、液体融雪剂采购必须符合国家标准（GB/T23851-2017）。</w:t>
            </w:r>
          </w:p>
          <w:p>
            <w:pPr>
              <w:pStyle w:val="null3"/>
              <w:numPr>
                <w:ilvl w:val="0"/>
                <w:numId w:val="1"/>
              </w:numPr>
              <w:jc w:val="left"/>
            </w:pPr>
            <w:r>
              <w:rPr>
                <w:rFonts w:ascii="calibri" w:hAnsi="calibri" w:cs="calibri" w:eastAsia="calibri"/>
                <w:sz w:val="21"/>
              </w:rPr>
              <w:t>本采购项目必须符合国家环保标准要求，对空气、环境、路面、河流不产生破坏和污染，对喷洒作业的环卫车辆不产生腐蚀破坏，存在质量问题经相关部门鉴定、由乙方承担相应责任。</w:t>
            </w:r>
          </w:p>
          <w:p>
            <w:pPr>
              <w:pStyle w:val="null3"/>
              <w:numPr>
                <w:ilvl w:val="0"/>
                <w:numId w:val="1"/>
              </w:numPr>
              <w:jc w:val="left"/>
            </w:pPr>
            <w:r>
              <w:rPr>
                <w:rFonts w:ascii="calibri" w:hAnsi="calibri" w:cs="calibri" w:eastAsia="calibri"/>
                <w:sz w:val="21"/>
              </w:rPr>
              <w:t>融雪剂需备有官方权威质检机构的检验报告和和批次生产合格证。</w:t>
            </w:r>
          </w:p>
          <w:p>
            <w:pPr>
              <w:pStyle w:val="null3"/>
            </w:pPr>
            <w:r>
              <w:rPr>
                <w:rFonts w:ascii="calibri" w:hAnsi="calibri" w:cs="calibri" w:eastAsia="calibri"/>
                <w:sz w:val="21"/>
              </w:rPr>
              <w:t xml:space="preserve">    3、采购固体融雪剂为标准颗粒装物质、保证除雪车辆设备易播撒，无结块现象，融雪剂冰点不低于零下20度。</w:t>
            </w:r>
          </w:p>
          <w:p>
            <w:pPr>
              <w:pStyle w:val="null3"/>
            </w:pPr>
            <w:r>
              <w:rPr>
                <w:rFonts w:ascii="calibri" w:hAnsi="calibri" w:cs="calibri" w:eastAsia="calibri"/>
                <w:sz w:val="21"/>
              </w:rPr>
              <w:t>二、送货要求：</w:t>
            </w:r>
          </w:p>
          <w:p>
            <w:pPr>
              <w:pStyle w:val="null3"/>
            </w:pPr>
            <w:r>
              <w:rPr>
                <w:rFonts w:ascii="calibri" w:hAnsi="calibri" w:cs="calibri" w:eastAsia="calibri"/>
                <w:sz w:val="21"/>
              </w:rPr>
              <w:t xml:space="preserve">      1、货物按照及甲方要求按照通知时间、数量送至指定的堆场，乙方负责货物的装卸、覆盖，卸货完毕甲方清点无误后接收签字。</w:t>
            </w:r>
          </w:p>
          <w:p>
            <w:pPr>
              <w:pStyle w:val="null3"/>
              <w:ind w:firstLine="400"/>
            </w:pPr>
            <w:r>
              <w:rPr>
                <w:rFonts w:ascii="calibri" w:hAnsi="calibri" w:cs="calibri" w:eastAsia="calibri"/>
                <w:sz w:val="21"/>
              </w:rPr>
              <w:t>2、甲方将根据实际库存和用量2日前通知乙方送货，乙方应在接到通知后2日内送货至指定地点，除人力不可抗拒外乙方不得有任何理由进行推脱，违者按照违约进行相应的赔偿。</w:t>
            </w:r>
          </w:p>
          <w:p>
            <w:pPr>
              <w:pStyle w:val="null3"/>
              <w:ind w:firstLine="400"/>
            </w:pPr>
            <w:r>
              <w:rPr>
                <w:rFonts w:ascii="calibri" w:hAnsi="calibri" w:cs="calibri" w:eastAsia="calibri"/>
                <w:sz w:val="21"/>
              </w:rPr>
              <w:t>3、参与招标企业必须在西安市内有存储融雪剂的库房，融雪剂存储量不能小于300吨，以便随时送货到指定地点。</w:t>
            </w:r>
          </w:p>
          <w:p>
            <w:pPr>
              <w:pStyle w:val="null3"/>
            </w:pPr>
            <w:r>
              <w:rPr>
                <w:rFonts w:ascii="calibri" w:hAnsi="calibri" w:cs="calibri" w:eastAsia="calibri"/>
                <w:sz w:val="21"/>
              </w:rPr>
              <w:t>三、融雪剂包装要求：</w:t>
            </w:r>
          </w:p>
          <w:p>
            <w:pPr>
              <w:pStyle w:val="null3"/>
              <w:ind w:firstLine="400"/>
            </w:pPr>
            <w:r>
              <w:rPr>
                <w:rFonts w:ascii="calibri" w:hAnsi="calibri" w:cs="calibri" w:eastAsia="calibri"/>
                <w:sz w:val="21"/>
              </w:rPr>
              <w:t>1、固体融合剂需为高密度防水防塑料潮编织物包装、内有附带一层塑料防潮防水薄膜，每袋50公斤，抽检偏差±0.25%，确保无破损、污染、结块现象。</w:t>
            </w:r>
          </w:p>
          <w:p>
            <w:pPr>
              <w:pStyle w:val="null3"/>
              <w:ind w:firstLine="400"/>
            </w:pPr>
            <w:r>
              <w:rPr>
                <w:rFonts w:ascii="calibri" w:hAnsi="calibri" w:cs="calibri" w:eastAsia="calibri"/>
                <w:sz w:val="21"/>
              </w:rPr>
              <w:t>2、液体融雪剂为塑料罐装、外围缸套栏每罐1吨，抽检偏差±1%，密闭封装、并附带有产品介绍、物质含量表、出厂日期等。</w:t>
            </w:r>
          </w:p>
          <w:p>
            <w:pPr>
              <w:pStyle w:val="null3"/>
            </w:pPr>
            <w:r>
              <w:rPr>
                <w:rFonts w:ascii="calibri" w:hAnsi="calibri" w:cs="calibri" w:eastAsia="calibri"/>
                <w:sz w:val="21"/>
              </w:rPr>
              <w:t>四、货物临时调整：</w:t>
            </w:r>
          </w:p>
          <w:p>
            <w:pPr>
              <w:pStyle w:val="null3"/>
            </w:pPr>
            <w:r>
              <w:rPr>
                <w:rFonts w:ascii="calibri" w:hAnsi="calibri" w:cs="calibri" w:eastAsia="calibri"/>
                <w:sz w:val="21"/>
              </w:rPr>
              <w:t>甲方有权将部分固体颗粒状环保型融雪剂在送货前调整为粉末装融雪剂，乙方不得推诿，如需进行调整甲方在送货前提前5日内通知乙方。</w:t>
            </w:r>
          </w:p>
          <w:p>
            <w:pPr>
              <w:pStyle w:val="null3"/>
            </w:pPr>
            <w:r>
              <w:rPr>
                <w:rFonts w:ascii="calibri" w:hAnsi="calibri" w:cs="calibri" w:eastAsia="calibri"/>
                <w:sz w:val="21"/>
              </w:rPr>
              <w:t>五、付款方式</w:t>
            </w:r>
          </w:p>
          <w:p>
            <w:pPr>
              <w:pStyle w:val="null3"/>
            </w:pPr>
            <w:r>
              <w:rPr>
                <w:rFonts w:ascii="calibri" w:hAnsi="calibri" w:cs="calibri" w:eastAsia="calibri"/>
                <w:sz w:val="21"/>
              </w:rPr>
              <w:t>合同签订后，乙方将货物按照甲方要求送至指定的地点后、接收人清点数量，签收。货物按照合同全部送完签收后，乙方按照程序填写支付凭证、附带签收票据，按照付款流程进行支付。</w:t>
            </w:r>
          </w:p>
        </w:tc>
      </w:tr>
    </w:tbl>
    <w:p>
      <w:pPr>
        <w:pStyle w:val="null3"/>
        <w:outlineLvl w:val="2"/>
      </w:pPr>
      <w:r>
        <w:rPr>
          <w:sz w:val="28"/>
          <w:b/>
        </w:rPr>
        <w:t>3.4商务要求</w:t>
      </w:r>
    </w:p>
    <w:p>
      <w:pPr>
        <w:pStyle w:val="null3"/>
        <w:outlineLvl w:val="3"/>
      </w:pPr>
      <w:r>
        <w:rPr>
          <w:sz w:val="24"/>
          <w:b/>
        </w:rPr>
        <w:t>3.4.1交货时间</w:t>
      </w:r>
    </w:p>
    <w:p>
      <w:pPr>
        <w:pStyle w:val="null3"/>
      </w:pPr>
      <w:r>
        <w:rPr/>
        <w:t>采购包1：</w:t>
      </w:r>
    </w:p>
    <w:p>
      <w:pPr>
        <w:pStyle w:val="null3"/>
      </w:pPr>
      <w:r>
        <w:rPr/>
        <w:t>接到通知后2日内送货至指定地点</w:t>
      </w:r>
    </w:p>
    <w:p>
      <w:pPr>
        <w:pStyle w:val="null3"/>
        <w:outlineLvl w:val="3"/>
      </w:pPr>
      <w:r>
        <w:rPr>
          <w:sz w:val="24"/>
          <w:b/>
        </w:rPr>
        <w:t>3.4.2交货地点和方式</w:t>
      </w:r>
    </w:p>
    <w:p>
      <w:pPr>
        <w:pStyle w:val="null3"/>
      </w:pPr>
      <w:r>
        <w:rPr/>
        <w:t>采购包1：</w:t>
      </w:r>
    </w:p>
    <w:p>
      <w:pPr>
        <w:pStyle w:val="null3"/>
      </w:pPr>
      <w:r>
        <w:rPr/>
        <w:t>甲方指定地点</w:t>
      </w:r>
    </w:p>
    <w:p>
      <w:pPr>
        <w:pStyle w:val="null3"/>
        <w:outlineLvl w:val="3"/>
      </w:pPr>
      <w:r>
        <w:rPr>
          <w:sz w:val="24"/>
          <w:b/>
        </w:rPr>
        <w:t>3.4.3支付方式</w:t>
      </w:r>
    </w:p>
    <w:p>
      <w:pPr>
        <w:pStyle w:val="null3"/>
      </w:pPr>
      <w:r>
        <w:rPr/>
        <w:t>采购包1：</w:t>
      </w:r>
    </w:p>
    <w:p>
      <w:pPr>
        <w:pStyle w:val="null3"/>
      </w:pPr>
      <w:r>
        <w:rPr/>
        <w:t>一次付清</w:t>
      </w:r>
    </w:p>
    <w:p>
      <w:pPr>
        <w:pStyle w:val="null3"/>
        <w:outlineLvl w:val="3"/>
      </w:pPr>
      <w:r>
        <w:rPr>
          <w:sz w:val="24"/>
          <w:b/>
        </w:rPr>
        <w:t>3.4.4支付约定</w:t>
      </w:r>
    </w:p>
    <w:p>
      <w:pPr>
        <w:pStyle w:val="null3"/>
      </w:pPr>
      <w:r>
        <w:rPr/>
        <w:t>采购包1：</w:t>
      </w:r>
      <w:r>
        <w:rPr/>
        <w:t xml:space="preserve"> 付款条件说明： </w:t>
      </w:r>
      <w:r>
        <w:rPr/>
        <w:t>合同签订后，乙方将货物按照甲方要求送至指定的地点后、接收人清点数量，签收。货物按照合同全部送完签收后，乙方按照程序填写支付凭证、附带签收票据，按照付款流程进行支付。</w:t>
      </w:r>
      <w:r>
        <w:rPr/>
        <w:t xml:space="preserve"> ，达到付款条件起 </w:t>
      </w:r>
      <w:r>
        <w:rPr/>
        <w:t>30</w:t>
      </w:r>
      <w:r>
        <w:rPr/>
        <w:t xml:space="preserve"> 日内，支付合同总金额的 </w:t>
      </w:r>
      <w:r>
        <w:rPr/>
        <w:t>100.00</w:t>
      </w:r>
      <w:r>
        <w:rPr/>
        <w:t>%。</w:t>
      </w:r>
    </w:p>
    <w:p>
      <w:pPr>
        <w:pStyle w:val="null3"/>
        <w:outlineLvl w:val="3"/>
      </w:pPr>
      <w:r>
        <w:rPr>
          <w:sz w:val="24"/>
          <w:b/>
        </w:rPr>
        <w:t>3.4.5验收标准和方法</w:t>
      </w:r>
    </w:p>
    <w:p>
      <w:pPr>
        <w:pStyle w:val="null3"/>
      </w:pPr>
      <w:r>
        <w:rPr/>
        <w:t>采购包1：</w:t>
      </w:r>
    </w:p>
    <w:p>
      <w:pPr>
        <w:pStyle w:val="null3"/>
      </w:pPr>
      <w:r>
        <w:rPr/>
        <w:t>按照磋商文件要求及合同约定执行。</w:t>
      </w:r>
    </w:p>
    <w:p>
      <w:pPr>
        <w:pStyle w:val="null3"/>
        <w:outlineLvl w:val="3"/>
      </w:pPr>
      <w:r>
        <w:rPr>
          <w:sz w:val="24"/>
          <w:b/>
        </w:rPr>
        <w:t>3.4.6包装方式及运输</w:t>
      </w:r>
    </w:p>
    <w:p>
      <w:pPr>
        <w:pStyle w:val="null3"/>
      </w:pPr>
      <w:r>
        <w:rPr/>
        <w:t>采购包1：</w:t>
      </w:r>
    </w:p>
    <w:p>
      <w:pPr>
        <w:pStyle w:val="null3"/>
      </w:pPr>
      <w:r>
        <w:rPr/>
        <w:t>1、固体融合剂需为高密度防水防塑料潮编织物包装、内有附带一层塑料防潮防水薄膜，每袋50公斤，抽检偏差±0.25%，确保无破损、污染、结块现象。 2、液体融雪剂为塑料罐装、外围缸套栏每罐1吨，抽检偏差±1%，密闭封装、并附带有产品介绍、物质含量表、出厂日期等。</w:t>
      </w:r>
    </w:p>
    <w:p>
      <w:pPr>
        <w:pStyle w:val="null3"/>
        <w:outlineLvl w:val="3"/>
      </w:pPr>
      <w:r>
        <w:rPr>
          <w:sz w:val="24"/>
          <w:b/>
        </w:rPr>
        <w:t>3.4.7质量保修范围和保修期</w:t>
      </w:r>
    </w:p>
    <w:p>
      <w:pPr>
        <w:pStyle w:val="null3"/>
      </w:pPr>
      <w:r>
        <w:rPr/>
        <w:t>采购包1：</w:t>
      </w:r>
    </w:p>
    <w:p>
      <w:pPr>
        <w:pStyle w:val="null3"/>
      </w:pPr>
      <w:r>
        <w:rPr/>
        <w:t>按照磋商文件要求及合同约定执行。</w:t>
      </w:r>
    </w:p>
    <w:p>
      <w:pPr>
        <w:pStyle w:val="null3"/>
        <w:outlineLvl w:val="3"/>
      </w:pPr>
      <w:r>
        <w:rPr>
          <w:sz w:val="24"/>
          <w:b/>
        </w:rPr>
        <w:t>3.4.8违约责任与解决争议的方法</w:t>
      </w:r>
    </w:p>
    <w:p>
      <w:pPr>
        <w:pStyle w:val="null3"/>
      </w:pPr>
      <w:r>
        <w:rPr/>
        <w:t>采购包1：</w:t>
      </w:r>
    </w:p>
    <w:p>
      <w:pPr>
        <w:pStyle w:val="null3"/>
      </w:pPr>
      <w:r>
        <w:rPr/>
        <w:t>按照磋商文件要求及合同约定执行。</w:t>
      </w:r>
    </w:p>
    <w:p>
      <w:pPr>
        <w:pStyle w:val="null3"/>
        <w:jc w:val="left"/>
        <w:outlineLvl w:val="2"/>
      </w:pPr>
      <w:r>
        <w:rPr>
          <w:sz w:val="28"/>
          <w:b/>
        </w:rPr>
        <w:t>3.5其他要求</w:t>
      </w:r>
    </w:p>
    <w:p>
      <w:pPr>
        <w:pStyle w:val="null3"/>
      </w:pPr>
      <w:r>
        <w:rPr/>
        <w:t>1、各供应商应根据“陕西省财政厅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2、本项目非专门面向中小企业。 3、本采购项目必须符合国家环保标准要求，对空气、环境、路面、河流不产生破坏和污染，对喷洒作业的环卫车辆不产生腐蚀破坏，存在质量问题经相关部门鉴定、由乙方承担相应责任。</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 供应商资格证明文件</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 供应商资格证明文件</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法定代表人直接参加投标的，须提供法定代表人身份证明;法定代表人授权代表参加投标的，须提供法定代表人授权委托书。</w:t>
            </w:r>
          </w:p>
        </w:tc>
        <w:tc>
          <w:tcPr>
            <w:tcW w:type="dxa" w:w="3322"/>
          </w:tcPr>
          <w:p>
            <w:pPr>
              <w:pStyle w:val="null3"/>
            </w:pPr>
            <w:r>
              <w:rPr/>
              <w:t>法定代表人直接参加投标的，须提供法定代表人身份证明;法定代表人授权代表参加投标的，须提供法定代表人授权委托书。</w:t>
            </w:r>
          </w:p>
        </w:tc>
        <w:tc>
          <w:tcPr>
            <w:tcW w:type="dxa" w:w="1661"/>
          </w:tcPr>
          <w:p>
            <w:pPr>
              <w:pStyle w:val="null3"/>
            </w:pPr>
            <w:r>
              <w:rPr/>
              <w:t>供应商资格证明文件</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 xml:space="preserve"> 二、评审工作由代理机构组织，具体评审事务由依法组建的磋商小组负责。</w:t>
      </w:r>
    </w:p>
    <w:p>
      <w:pPr>
        <w:pStyle w:val="null3"/>
        <w:ind w:firstLine="480"/>
      </w:pPr>
      <w:r>
        <w:rPr/>
        <w:t xml:space="preserve"> 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 xml:space="preserve"> 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（三）根据需要要求供应商对响应文件中含义不明确、同类问题表述不一致或者有明显文字和计算错误的内容等作出必要的澄清、说明或者更正；</w:t>
      </w:r>
    </w:p>
    <w:p>
      <w:pPr>
        <w:pStyle w:val="null3"/>
        <w:ind w:firstLine="480"/>
      </w:pPr>
      <w:r>
        <w:rPr/>
        <w:t>（四）推荐成交候选供应商，或者受采购人委托确定成交供应商；</w:t>
      </w:r>
    </w:p>
    <w:p>
      <w:pPr>
        <w:pStyle w:val="null3"/>
        <w:ind w:firstLine="480"/>
      </w:pPr>
      <w:r>
        <w:rPr/>
        <w:t>（五）起草评审报告并进行签署；</w:t>
      </w:r>
    </w:p>
    <w:p>
      <w:pPr>
        <w:pStyle w:val="null3"/>
        <w:ind w:firstLine="480"/>
      </w:pPr>
      <w:r>
        <w:rPr/>
        <w:t xml:space="preserve"> （六）向采购人、代理机构、财政部门或者其他监督部门报告非法干预评审工作的行为；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6.3.1审查磋商文件和停止评审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（一）磋商文件的规定存在歧义、重大缺陷，导致评审无法进行的；</w:t>
      </w:r>
    </w:p>
    <w:p>
      <w:pPr>
        <w:pStyle w:val="null3"/>
        <w:ind w:firstLine="480"/>
      </w:pPr>
      <w:r>
        <w:rPr/>
        <w:t xml:space="preserve"> （二）磋商文件明显以不合理条件对供应商实行差别待遇或者歧视待遇的；</w:t>
      </w:r>
    </w:p>
    <w:p>
      <w:pPr>
        <w:pStyle w:val="null3"/>
        <w:ind w:firstLine="480"/>
      </w:pPr>
      <w:r>
        <w:rPr/>
        <w:t xml:space="preserve"> （三）采购项目属于国家规定的优先、强制采购范围，但是磋商文件未依法体现优先、强制采购相关规定的；</w:t>
      </w:r>
    </w:p>
    <w:p>
      <w:pPr>
        <w:pStyle w:val="null3"/>
        <w:ind w:firstLine="480"/>
      </w:pPr>
      <w:r>
        <w:rPr/>
        <w:t xml:space="preserve"> （四）采购项目属于政府采购促进中小企业发展的范围，但是磋商文件未依法体现促进中小企业发展相关规定的；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响应文件内容</w:t>
            </w:r>
          </w:p>
        </w:tc>
        <w:tc>
          <w:tcPr>
            <w:tcW w:type="dxa" w:w="3322"/>
          </w:tcPr>
          <w:p>
            <w:pPr>
              <w:pStyle w:val="null3"/>
            </w:pPr>
            <w:r>
              <w:rPr/>
              <w:t>磋商响应文件内容齐全、无遗漏</w:t>
            </w:r>
          </w:p>
        </w:tc>
        <w:tc>
          <w:tcPr>
            <w:tcW w:type="dxa" w:w="1661"/>
          </w:tcPr>
          <w:p>
            <w:pPr>
              <w:pStyle w:val="null3"/>
            </w:pPr>
            <w:r>
              <w:rPr/>
              <w:t>响应文件封面 中小企业声明函 残疾人福利性单位声明函 报价明细表 技术方案 标的清单 报价表 磋商报价表 响应函 商务技术偏离表 监狱企业的证明文件 供应商资格证明文件</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标的清单 报价表</w:t>
            </w:r>
          </w:p>
        </w:tc>
      </w:tr>
      <w:tr>
        <w:tc>
          <w:tcPr>
            <w:tcW w:type="dxa" w:w="831"/>
          </w:tcPr>
          <w:p>
            <w:pPr>
              <w:pStyle w:val="null3"/>
            </w:pPr>
            <w:r>
              <w:rPr/>
              <w:t>3</w:t>
            </w:r>
          </w:p>
        </w:tc>
        <w:tc>
          <w:tcPr>
            <w:tcW w:type="dxa" w:w="2492"/>
          </w:tcPr>
          <w:p>
            <w:pPr>
              <w:pStyle w:val="null3"/>
            </w:pPr>
            <w:r>
              <w:rPr/>
              <w:t>报价唯一</w:t>
            </w:r>
          </w:p>
        </w:tc>
        <w:tc>
          <w:tcPr>
            <w:tcW w:type="dxa" w:w="3322"/>
          </w:tcPr>
          <w:p>
            <w:pPr>
              <w:pStyle w:val="null3"/>
            </w:pPr>
            <w:r>
              <w:rPr/>
              <w:t>只能有一个有效报价，不得提交选择性报价，且报价不超过采购预算金额或最高限价。</w:t>
            </w:r>
          </w:p>
        </w:tc>
        <w:tc>
          <w:tcPr>
            <w:tcW w:type="dxa" w:w="1661"/>
          </w:tcPr>
          <w:p>
            <w:pPr>
              <w:pStyle w:val="null3"/>
            </w:pPr>
            <w:r>
              <w:rPr/>
              <w:t>报价表 磋商报价表</w:t>
            </w:r>
          </w:p>
        </w:tc>
      </w:tr>
      <w:tr>
        <w:tc>
          <w:tcPr>
            <w:tcW w:type="dxa" w:w="831"/>
          </w:tcPr>
          <w:p>
            <w:pPr>
              <w:pStyle w:val="null3"/>
            </w:pPr>
            <w:r>
              <w:rPr/>
              <w:t>4</w:t>
            </w:r>
          </w:p>
        </w:tc>
        <w:tc>
          <w:tcPr>
            <w:tcW w:type="dxa" w:w="2492"/>
          </w:tcPr>
          <w:p>
            <w:pPr>
              <w:pStyle w:val="null3"/>
            </w:pPr>
            <w:r>
              <w:rPr/>
              <w:t>交货时间</w:t>
            </w:r>
          </w:p>
        </w:tc>
        <w:tc>
          <w:tcPr>
            <w:tcW w:type="dxa" w:w="3322"/>
          </w:tcPr>
          <w:p>
            <w:pPr>
              <w:pStyle w:val="null3"/>
            </w:pPr>
            <w:r>
              <w:rPr/>
              <w:t>应符合磋商文件的要求</w:t>
            </w:r>
          </w:p>
        </w:tc>
        <w:tc>
          <w:tcPr>
            <w:tcW w:type="dxa" w:w="1661"/>
          </w:tcPr>
          <w:p>
            <w:pPr>
              <w:pStyle w:val="null3"/>
            </w:pPr>
            <w:r>
              <w:rPr/>
              <w:t>磋商报价表</w:t>
            </w:r>
          </w:p>
        </w:tc>
      </w:tr>
      <w:tr>
        <w:tc>
          <w:tcPr>
            <w:tcW w:type="dxa" w:w="831"/>
          </w:tcPr>
          <w:p>
            <w:pPr>
              <w:pStyle w:val="null3"/>
            </w:pPr>
            <w:r>
              <w:rPr/>
              <w:t>5</w:t>
            </w:r>
          </w:p>
        </w:tc>
        <w:tc>
          <w:tcPr>
            <w:tcW w:type="dxa" w:w="2492"/>
          </w:tcPr>
          <w:p>
            <w:pPr>
              <w:pStyle w:val="null3"/>
            </w:pPr>
            <w:r>
              <w:rPr/>
              <w:t>磋商有效期</w:t>
            </w:r>
          </w:p>
        </w:tc>
        <w:tc>
          <w:tcPr>
            <w:tcW w:type="dxa" w:w="3322"/>
          </w:tcPr>
          <w:p>
            <w:pPr>
              <w:pStyle w:val="null3"/>
            </w:pPr>
            <w:r>
              <w:rPr/>
              <w:t>应符合磋商文件的要求</w:t>
            </w:r>
          </w:p>
        </w:tc>
        <w:tc>
          <w:tcPr>
            <w:tcW w:type="dxa" w:w="1661"/>
          </w:tcPr>
          <w:p>
            <w:pPr>
              <w:pStyle w:val="null3"/>
            </w:pPr>
            <w:r>
              <w:rPr/>
              <w:t>响应函</w:t>
            </w:r>
          </w:p>
        </w:tc>
      </w:tr>
    </w:tbl>
    <w:p>
      <w:pPr>
        <w:pStyle w:val="null3"/>
        <w:outlineLvl w:val="3"/>
      </w:pPr>
      <w:r>
        <w:rPr>
          <w:sz w:val="24"/>
          <w:b/>
        </w:rPr>
        <w:t>6.3.3磋商</w:t>
      </w:r>
    </w:p>
    <w:p>
      <w:pPr>
        <w:pStyle w:val="null3"/>
        <w:ind w:firstLine="480"/>
      </w:pPr>
      <w:r>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 xml:space="preserve"> 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 xml:space="preserve"> 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二、磋商小组开启报价后，供应商应随时关注项目电子化交易系统信息或短信提醒，登录项目电子化交易系统，通过“等候大厅”进行报价并签章后提交。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pPr>
      <w:r>
        <w:rPr/>
        <w:t xml:space="preserve"> 五、供应商未在响应文件提交截止时间内提交报价或未按要求进行报价的，视为无效响应，由供应商自行承担不利后果。</w:t>
      </w:r>
    </w:p>
    <w:p>
      <w:pPr>
        <w:pStyle w:val="null3"/>
        <w:ind w:firstLine="480"/>
      </w:pPr>
      <w:r>
        <w:rPr/>
        <w:t xml:space="preserve"> 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 xml:space="preserve"> （二）单价金额小数点或者百分比有明显错位的，应以总价为准，并修改单价；</w:t>
      </w:r>
    </w:p>
    <w:p>
      <w:pPr>
        <w:pStyle w:val="null3"/>
        <w:ind w:firstLine="480"/>
      </w:pPr>
      <w:r>
        <w:rPr/>
        <w:t xml:space="preserve"> （三）总价金额与按单价汇总金额不一致的，以单价汇总金额计算结果为准；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 xml:space="preserve"> （一）供应商响应文件中不响应磋商文件规定的技术参数指标和商务应答；</w:t>
      </w:r>
    </w:p>
    <w:p>
      <w:pPr>
        <w:pStyle w:val="null3"/>
        <w:ind w:firstLine="480"/>
      </w:pPr>
      <w:r>
        <w:rPr/>
        <w:t xml:space="preserve"> （二）供应商响应文件中未提供的证明其是否符合磋商文件资格、符合性规定要求的相关材料。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 xml:space="preserve"> 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sz w:val="24"/>
          <w:b/>
        </w:rPr>
        <w:t>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sz w:val="24"/>
          <w:b/>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6.3.9编写磋商报告</w:t>
      </w:r>
    </w:p>
    <w:p>
      <w:pPr>
        <w:pStyle w:val="null3"/>
        <w:ind w:firstLine="480"/>
      </w:pPr>
      <w:r>
        <w:rPr/>
        <w:t xml:space="preserve"> 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 xml:space="preserve"> （四）评审情况记录和说明，包括对供应商响应文件审查情况、磋商情况、报价情况等；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sz w:val="28"/>
          <w:b/>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供货方案</w:t>
            </w:r>
          </w:p>
        </w:tc>
        <w:tc>
          <w:tcPr>
            <w:tcW w:type="dxa" w:w="2492"/>
          </w:tcPr>
          <w:p>
            <w:pPr>
              <w:pStyle w:val="null3"/>
            </w:pPr>
            <w:r>
              <w:rPr/>
              <w:t>供货方案，包括但不限于投标产品选型、主要性能、特点等内容描述； 1、方案内容全面、完整、优于磋商文件要求的得(8-12]分； 2、方案内容全面、较完整、完全满足磋商文件要求的得(4-8]分； 3、方案内容不全面、基本满足磋商文件要求的得(1-4]分。</w:t>
            </w:r>
          </w:p>
        </w:tc>
        <w:tc>
          <w:tcPr>
            <w:tcW w:type="dxa" w:w="831"/>
          </w:tcPr>
          <w:p>
            <w:pPr>
              <w:pStyle w:val="null3"/>
              <w:jc w:val="right"/>
            </w:pPr>
            <w:r>
              <w:rPr/>
              <w:t>12.0000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质量保证方案</w:t>
            </w:r>
          </w:p>
        </w:tc>
        <w:tc>
          <w:tcPr>
            <w:tcW w:type="dxa" w:w="2492"/>
          </w:tcPr>
          <w:p>
            <w:pPr>
              <w:pStyle w:val="null3"/>
            </w:pPr>
            <w:r>
              <w:rPr/>
              <w:t>针对本项目制定质量保证方案(包括但不限于质量保证服务措施、货物交付验收的执行方案、紧急情况处理方案): 1、质量保证服务内容完整全面，货物交付验收的执行方案详细明确，紧急情况处理措施完善得当，整体可行性强，得(10-15]分； 2、质量保证服务内容较全面，货物交付验收的执行方案较明确，紧急情况处理措施较完善，得(5-10]分； 3、质量保证服务方案内容欠缺，货物交付验收的执行方案内容不详细不明确，紧急情况处理措施不完善，得(1-5]分。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供货保障</w:t>
            </w:r>
          </w:p>
        </w:tc>
        <w:tc>
          <w:tcPr>
            <w:tcW w:type="dxa" w:w="2492"/>
          </w:tcPr>
          <w:p>
            <w:pPr>
              <w:pStyle w:val="null3"/>
            </w:pPr>
            <w:r>
              <w:rPr/>
              <w:t>1、所投货物进货渠道正规，有合法有效的供货协议(不限于销售协议、代理协议、授权等),确保货物符合国家标准，得5分；提供不全或无法提供的得0分。 2、能够保证及时供货的仓储条件，提供相关证明材料，得4分；无法提供证明材料的得0分。</w:t>
            </w:r>
          </w:p>
        </w:tc>
        <w:tc>
          <w:tcPr>
            <w:tcW w:type="dxa" w:w="831"/>
          </w:tcPr>
          <w:p>
            <w:pPr>
              <w:pStyle w:val="null3"/>
              <w:jc w:val="right"/>
            </w:pPr>
            <w:r>
              <w:rPr/>
              <w:t>9.0000</w:t>
            </w:r>
          </w:p>
        </w:tc>
        <w:tc>
          <w:tcPr>
            <w:tcW w:type="dxa" w:w="831"/>
          </w:tcPr>
          <w:p>
            <w:pPr>
              <w:pStyle w:val="null3"/>
            </w:pPr>
            <w:r>
              <w:rPr/>
              <w:t>客观</w:t>
            </w:r>
          </w:p>
        </w:tc>
        <w:tc>
          <w:tcPr>
            <w:tcW w:type="dxa" w:w="1661"/>
          </w:tcPr>
          <w:p>
            <w:pPr>
              <w:pStyle w:val="null3"/>
            </w:pPr>
            <w:r>
              <w:rPr/>
              <w:t>技术方案</w:t>
            </w:r>
          </w:p>
        </w:tc>
      </w:tr>
      <w:tr>
        <w:tc>
          <w:tcPr>
            <w:tcW w:type="dxa" w:w="831"/>
            <w:vMerge/>
          </w:tcPr>
          <w:p/>
        </w:tc>
        <w:tc>
          <w:tcPr>
            <w:tcW w:type="dxa" w:w="1661"/>
          </w:tcPr>
          <w:p>
            <w:pPr>
              <w:pStyle w:val="null3"/>
            </w:pPr>
            <w:r>
              <w:rPr/>
              <w:t>配送服务方案</w:t>
            </w:r>
          </w:p>
        </w:tc>
        <w:tc>
          <w:tcPr>
            <w:tcW w:type="dxa" w:w="2492"/>
          </w:tcPr>
          <w:p>
            <w:pPr>
              <w:pStyle w:val="null3"/>
            </w:pPr>
            <w:r>
              <w:rPr/>
              <w:t>针对本项目提供配送服务方案: 1、配送服务方案内容完整详细，调货服务内容及流程完整详细，得(9-12]分； 2、配送服务方案内容较完整，调货服务内容及流程较简单，得(4-9]分； 3、配送服务方案内容不详细，调货服务内容及流程不完整不明确，内容欠缺，得(1-4]分。未提供方案的，得0分。</w:t>
            </w:r>
          </w:p>
        </w:tc>
        <w:tc>
          <w:tcPr>
            <w:tcW w:type="dxa" w:w="831"/>
          </w:tcPr>
          <w:p>
            <w:pPr>
              <w:pStyle w:val="null3"/>
              <w:jc w:val="right"/>
            </w:pPr>
            <w:r>
              <w:rPr/>
              <w:t>12.0000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售后服务方案</w:t>
            </w:r>
          </w:p>
        </w:tc>
        <w:tc>
          <w:tcPr>
            <w:tcW w:type="dxa" w:w="2492"/>
          </w:tcPr>
          <w:p>
            <w:pPr>
              <w:pStyle w:val="null3"/>
            </w:pPr>
            <w:r>
              <w:rPr/>
              <w:t>提供全面详细的售后服务方案: 1、售后服务内容全面详细，服务体系完善，内容切实可行性的，得(8-12]分； 2、售后服务内容较详细，服务体系较完善，有一定可行性的，得(4-8]分； 3、售后服务内容简略，服务体系不明确，可行性差的，得(1-4]分，未提供方案的，得0分。</w:t>
            </w:r>
          </w:p>
        </w:tc>
        <w:tc>
          <w:tcPr>
            <w:tcW w:type="dxa" w:w="831"/>
          </w:tcPr>
          <w:p>
            <w:pPr>
              <w:pStyle w:val="null3"/>
              <w:jc w:val="right"/>
            </w:pPr>
            <w:r>
              <w:rPr/>
              <w:t>12.0000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业绩</w:t>
            </w:r>
          </w:p>
        </w:tc>
        <w:tc>
          <w:tcPr>
            <w:tcW w:type="dxa" w:w="2492"/>
          </w:tcPr>
          <w:p>
            <w:pPr>
              <w:pStyle w:val="null3"/>
            </w:pPr>
            <w:r>
              <w:rPr/>
              <w:t>投标人具有2021年11月1日至今(以合同签订时间为准)承担过类似项目业绩得2.5分，响应文件中提供合同复印件并加盖投标人公章，本项满分10分。</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业绩的有关证明材料</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实质性满足磋商文件要求且最终报价最低的磋商总报价为评标基准价，其价格分为满分30分。 磋商总报价得分=（评标基准价/磋商总报价）*30分 。</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中小企业声明函 残疾人福利性单位声明函 监狱企业的证明文件</w:t>
            </w:r>
          </w:p>
        </w:tc>
      </w:tr>
    </w:tbl>
    <w:p>
      <w:pPr>
        <w:pStyle w:val="null3"/>
        <w:outlineLvl w:val="2"/>
      </w:pPr>
      <w:r>
        <w:rPr>
          <w:sz w:val="28"/>
          <w:b/>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sz w:val="28"/>
          <w:b/>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6.7评审专家在政府采购活动中承担以下义务</w:t>
      </w:r>
    </w:p>
    <w:p>
      <w:pPr>
        <w:pStyle w:val="null3"/>
        <w:ind w:firstLine="480"/>
      </w:pPr>
      <w:r>
        <w:rPr/>
        <w:t>（一）遵守评审工作纪律；</w:t>
      </w:r>
    </w:p>
    <w:p>
      <w:pPr>
        <w:pStyle w:val="null3"/>
        <w:ind w:firstLine="480"/>
      </w:pPr>
      <w:r>
        <w:rPr/>
        <w:t xml:space="preserve"> （二）按照客观、公正、审慎的原则，根据采购文件规定的评审程序、评审方法和评审标准进行独立评审；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 xml:space="preserve"> 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 xml:space="preserve"> （二）评审前，应当将通讯工具或者相关电子设备交由采购组织单位统一保管。</w:t>
      </w:r>
    </w:p>
    <w:p>
      <w:pPr>
        <w:pStyle w:val="null3"/>
        <w:ind w:firstLine="480"/>
      </w:pPr>
      <w:r>
        <w:rPr/>
        <w:t xml:space="preserve"> （三）评审过程中，不得与外界联系，因发生不可预见情况，确实需要与外界联系的， 应当在监督人员监督之下办理。</w:t>
      </w:r>
    </w:p>
    <w:p>
      <w:pPr>
        <w:pStyle w:val="null3"/>
        <w:ind w:firstLine="480"/>
      </w:pPr>
      <w:r>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 xml:space="preserve"> （六）服从评审现场采购组织单位的现场秩序管理，接受评审现场监督人员的合法监督。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ind w:firstLine="480"/>
      </w:pPr>
      <w:r>
        <w:rPr/>
        <w:t>一、本章所制响应文件格式，除格式中明确将该格式作为实质性要求的，不具有强制性。</w:t>
      </w:r>
    </w:p>
    <w:p>
      <w:pPr>
        <w:pStyle w:val="null3"/>
        <w:ind w:firstLine="480"/>
      </w:pPr>
      <w:r>
        <w:rPr/>
        <w:t>二、本章所制响应文件格式有关表格中的备注栏，由供应商根据自身响应情况作解释性说明，不作为必填项。</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详见附件：报价表</w:t>
      </w:r>
    </w:p>
    <w:p>
      <w:pPr>
        <w:pStyle w:val="null3"/>
        <w:ind w:firstLine="960"/>
      </w:pPr>
      <w:r>
        <w:rPr/>
        <w:t>详见附件：标的清单</w:t>
      </w:r>
    </w:p>
    <w:p>
      <w:pPr>
        <w:pStyle w:val="null3"/>
        <w:ind w:firstLine="960"/>
      </w:pPr>
      <w:r>
        <w:rPr/>
        <w:t>详见附件：磋商报价表</w:t>
      </w:r>
    </w:p>
    <w:p>
      <w:pPr>
        <w:pStyle w:val="null3"/>
        <w:ind w:firstLine="960"/>
      </w:pPr>
      <w:r>
        <w:rPr/>
        <w:t>详见附件：报价明细表</w:t>
      </w:r>
    </w:p>
    <w:p>
      <w:pPr>
        <w:pStyle w:val="null3"/>
        <w:ind w:firstLine="960"/>
      </w:pPr>
      <w:r>
        <w:rPr/>
        <w:t>详见附件：业绩的有关证明材料</w:t>
      </w:r>
    </w:p>
    <w:p>
      <w:pPr>
        <w:pStyle w:val="null3"/>
        <w:ind w:firstLine="960"/>
      </w:pPr>
      <w:r>
        <w:rPr/>
        <w:t>详见附件：供应商资格证明文件</w:t>
      </w:r>
    </w:p>
    <w:p>
      <w:pPr>
        <w:pStyle w:val="null3"/>
        <w:ind w:firstLine="960"/>
      </w:pPr>
      <w:r>
        <w:rPr/>
        <w:t>详见附件：商务技术偏离表</w:t>
      </w:r>
    </w:p>
    <w:p>
      <w:pPr>
        <w:pStyle w:val="null3"/>
        <w:ind w:firstLine="960"/>
      </w:pPr>
      <w:r>
        <w:rPr/>
        <w:t>详见附件：技术方案</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详见附件：拟签订采购合同文本.docx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