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版本号：241225001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西安高新区非机动车综合整治二期工程项目</w:t>
      </w:r>
    </w:p>
    <w:p>
      <w:pPr>
        <w:pStyle w:val="null3"/>
        <w:jc w:val="center"/>
        <w:outlineLvl w:val="2"/>
      </w:pPr>
      <w:r>
        <w:rPr>
          <w:sz w:val="28"/>
          <w:b/>
        </w:rPr>
        <w:t>采购项目编号：</w:t>
      </w:r>
      <w:r>
        <w:rPr>
          <w:sz w:val="28"/>
          <w:b/>
        </w:rPr>
        <w:t>XACH2024-142、XDZ2024-326-J-98</w:t>
      </w:r>
      <w:r>
        <w:br/>
      </w:r>
      <w:r>
        <w:br/>
      </w:r>
      <w:r>
        <w:br/>
      </w:r>
    </w:p>
    <w:p>
      <w:pPr>
        <w:pStyle w:val="null3"/>
        <w:jc w:val="center"/>
        <w:outlineLvl w:val="2"/>
      </w:pPr>
      <w:r>
        <w:rPr>
          <w:sz w:val="28"/>
          <w:b/>
        </w:rPr>
        <w:t>西安高新技术产业开发区城市管理和综合执法局</w:t>
      </w:r>
    </w:p>
    <w:p>
      <w:pPr>
        <w:pStyle w:val="null3"/>
        <w:jc w:val="center"/>
        <w:outlineLvl w:val="2"/>
      </w:pPr>
      <w:r>
        <w:rPr>
          <w:sz w:val="28"/>
          <w:b/>
        </w:rPr>
        <w:t>西安辰和工程咨询有限公司</w:t>
      </w:r>
      <w:r>
        <w:rPr>
          <w:sz w:val="28"/>
          <w:b/>
        </w:rPr>
        <w:t>共同编制</w:t>
      </w:r>
    </w:p>
    <w:p>
      <w:pPr>
        <w:pStyle w:val="null3"/>
        <w:jc w:val="center"/>
        <w:outlineLvl w:val="2"/>
      </w:pPr>
      <w:r>
        <w:rPr>
          <w:sz w:val="28"/>
          <w:b/>
        </w:rPr>
        <w:t>2024年12月27日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西安辰和工程咨询有限公司</w:t>
      </w:r>
      <w:r>
        <w:rPr/>
        <w:t>（以下简称“代理机构”）受</w:t>
      </w:r>
      <w:r>
        <w:rPr/>
        <w:t>西安高新技术产业开发区城市管理和综合执法局</w:t>
      </w:r>
      <w:r>
        <w:rPr/>
        <w:t>委托，拟对</w:t>
      </w:r>
      <w:r>
        <w:rPr/>
        <w:t>西安高新区非机动车综合整治二期工程项目</w:t>
      </w:r>
      <w:r>
        <w:rPr/>
        <w:t>采用竞争性磋商采购方式进行采购，兹邀请供应商参加本项目的竞争性磋商。</w:t>
      </w:r>
    </w:p>
    <w:p>
      <w:pPr>
        <w:pStyle w:val="null3"/>
        <w:outlineLvl w:val="2"/>
      </w:pPr>
      <w:r>
        <w:rPr>
          <w:sz w:val="28"/>
          <w:b/>
        </w:rPr>
        <w:t>一、采购项目编号：</w:t>
      </w:r>
      <w:r>
        <w:rPr>
          <w:sz w:val="28"/>
          <w:b/>
        </w:rPr>
        <w:t>XACH2024-142、XDZ2024-326-J-98</w:t>
      </w:r>
    </w:p>
    <w:p>
      <w:pPr>
        <w:pStyle w:val="null3"/>
        <w:outlineLvl w:val="2"/>
      </w:pPr>
      <w:r>
        <w:rPr>
          <w:sz w:val="28"/>
          <w:b/>
        </w:rPr>
        <w:t>二、采购项目名称：</w:t>
      </w:r>
      <w:r>
        <w:rPr>
          <w:sz w:val="28"/>
          <w:b/>
        </w:rPr>
        <w:t>西安高新区非机动车综合整治二期工程项目</w:t>
      </w:r>
    </w:p>
    <w:p>
      <w:pPr>
        <w:pStyle w:val="null3"/>
        <w:outlineLvl w:val="2"/>
      </w:pPr>
      <w:r>
        <w:rPr>
          <w:sz w:val="28"/>
          <w:b/>
        </w:rPr>
        <w:t>三、磋商项目简介</w:t>
      </w:r>
    </w:p>
    <w:p>
      <w:pPr>
        <w:pStyle w:val="null3"/>
        <w:ind w:firstLine="480"/>
      </w:pPr>
      <w:r>
        <w:rPr/>
        <w:t>通过利用公共绿化、边角绿地、闲置区域等空间，增设硬质铺装、完善标识标线，增设非机动车临时停放空间，加大非机动车停车场地供给，提升整体环境品质。</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采购包1（西安高新区非机动车综合整治二期工程）：属于专门面向中小企业采购。</w:t>
      </w:r>
    </w:p>
    <w:p>
      <w:pPr>
        <w:pStyle w:val="null3"/>
        <w:ind w:firstLine="480"/>
      </w:pPr>
      <w:r>
        <w:rPr/>
        <w:t>（三）本项目的特定资格要求：</w:t>
      </w:r>
    </w:p>
    <w:p>
      <w:pPr>
        <w:pStyle w:val="null3"/>
      </w:pPr>
      <w:r>
        <w:rPr/>
        <w:t>采购包1：</w:t>
      </w:r>
    </w:p>
    <w:p>
      <w:pPr>
        <w:pStyle w:val="null3"/>
      </w:pPr>
      <w:r>
        <w:rPr/>
        <w:t>1、供应商应授权合法的人员参加磋商全过程：法定代表人授权委托书（附法定代表人身份证复印件）及被授权委托人身份证（法定代表人参加磋商只须提供法定代表人身份证）；供应商需在项目电子化交易系统中按要求上传相应证明文件并进行电子签章。</w:t>
      </w:r>
    </w:p>
    <w:p>
      <w:pPr>
        <w:pStyle w:val="null3"/>
      </w:pPr>
      <w:r>
        <w:rPr/>
        <w:t>2、供应商具有独立承担民事责任的能力：供应商应具有独立承担民事责任的能力且具备向采购人提供相关工程及服务的企业法人或其他组织经营或者自然人,企业法人应提供统一社会信用代码的营业执照；其他组织经营的须提供合法凭证；自然人提供身份证明文件。供应商需在项目电子化交易系统中按要求上传相应证明文件并进行电子签章。</w:t>
      </w:r>
    </w:p>
    <w:p>
      <w:pPr>
        <w:pStyle w:val="null3"/>
      </w:pPr>
      <w:r>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t>4、资质证书：供应商应具有市政公用工程施工总承包三级及以上资质，并具有有效的安全生产许可证；供应商需在项目电子化交易系统中按要求上传相应证明文件并进行电子签章。</w:t>
      </w:r>
    </w:p>
    <w:p>
      <w:pPr>
        <w:pStyle w:val="null3"/>
      </w:pPr>
      <w:r>
        <w:rPr/>
        <w:t>5、项目经理：项目经理须具备市政公用工程专业二级及以上注册建造师资格,具有有效的安全生产考核合格证书（建安B证），且未担任其他在建工程项目的项目经理声明，供应商需在项目电子化交易系统中按要求上传相应证明文件并进行电子签章。</w:t>
      </w:r>
    </w:p>
    <w:p>
      <w:pPr>
        <w:pStyle w:val="null3"/>
      </w:pPr>
      <w:r>
        <w:rPr/>
        <w:t>6、供应商为中小企业或为残疾人福利性单位或为监狱企业：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p>
      <w:pPr>
        <w:pStyle w:val="null3"/>
      </w:pPr>
      <w:r>
        <w:rPr/>
        <w:t>7、非联合体磋商：非联合体磋商声明;供应商需在项目电子化交易系统中按要求上传相应证明文件并进行电子签章。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西安高新技术产业开发区城市管理和综合执法局</w:t>
      </w:r>
    </w:p>
    <w:p>
      <w:pPr>
        <w:pStyle w:val="null3"/>
      </w:pPr>
      <w:r>
        <w:rPr/>
        <w:t xml:space="preserve"> 地址： </w:t>
      </w:r>
      <w:r>
        <w:rPr/>
        <w:t>西安高新区丝路创智谷 6 号楼</w:t>
      </w:r>
    </w:p>
    <w:p>
      <w:pPr>
        <w:pStyle w:val="null3"/>
      </w:pPr>
      <w:r>
        <w:rPr/>
        <w:t xml:space="preserve"> 邮编： </w:t>
      </w:r>
      <w:r>
        <w:rPr/>
        <w:t>710000</w:t>
      </w:r>
    </w:p>
    <w:p>
      <w:pPr>
        <w:pStyle w:val="null3"/>
      </w:pPr>
      <w:r>
        <w:rPr/>
        <w:t xml:space="preserve"> 联系人： </w:t>
      </w:r>
      <w:r>
        <w:rPr/>
        <w:t>程工</w:t>
      </w:r>
    </w:p>
    <w:p>
      <w:pPr>
        <w:pStyle w:val="null3"/>
      </w:pPr>
      <w:r>
        <w:rPr/>
        <w:t xml:space="preserve"> 联系电话： </w:t>
      </w:r>
      <w:r>
        <w:rPr/>
        <w:t>029-89199037</w:t>
      </w:r>
    </w:p>
    <w:p>
      <w:pPr>
        <w:pStyle w:val="null3"/>
        <w:outlineLvl w:val="3"/>
      </w:pPr>
      <w:r>
        <w:rPr>
          <w:sz w:val="24"/>
          <w:b/>
        </w:rPr>
        <w:t>代理机构：</w:t>
      </w:r>
      <w:r>
        <w:rPr>
          <w:sz w:val="24"/>
          <w:b/>
        </w:rPr>
        <w:t>西安辰和工程咨询有限公司</w:t>
      </w:r>
    </w:p>
    <w:p>
      <w:pPr>
        <w:pStyle w:val="null3"/>
      </w:pPr>
      <w:r>
        <w:rPr/>
        <w:t xml:space="preserve"> 地址： </w:t>
      </w:r>
      <w:r>
        <w:rPr/>
        <w:t>西安高新区锦业路59号高科智慧园B座四层</w:t>
      </w:r>
    </w:p>
    <w:p>
      <w:pPr>
        <w:pStyle w:val="null3"/>
      </w:pPr>
      <w:r>
        <w:rPr/>
        <w:t xml:space="preserve"> 邮编： </w:t>
      </w:r>
      <w:r>
        <w:rPr/>
        <w:t>710075</w:t>
      </w:r>
    </w:p>
    <w:p>
      <w:pPr>
        <w:pStyle w:val="null3"/>
      </w:pPr>
      <w:r>
        <w:rPr/>
        <w:t xml:space="preserve"> 联系人： </w:t>
      </w:r>
      <w:r>
        <w:rPr/>
        <w:t>刘娜娜</w:t>
      </w:r>
    </w:p>
    <w:p>
      <w:pPr>
        <w:pStyle w:val="null3"/>
      </w:pPr>
      <w:r>
        <w:rPr/>
        <w:t xml:space="preserve"> 联系电话： </w:t>
      </w:r>
      <w:r>
        <w:rPr/>
        <w:t>029-82285837、029-81151155转810</w:t>
      </w:r>
    </w:p>
    <w:p>
      <w:pPr>
        <w:pStyle w:val="null3"/>
        <w:outlineLvl w:val="3"/>
      </w:pPr>
      <w:r>
        <w:rPr>
          <w:sz w:val="24"/>
          <w:b/>
        </w:rPr>
        <w:t>采购监督机构：</w:t>
      </w:r>
      <w:r>
        <w:rPr>
          <w:sz w:val="24"/>
          <w:b/>
        </w:rPr>
        <w:t>西安市高新技术开发区政府采购管理股</w:t>
      </w:r>
    </w:p>
    <w:p>
      <w:pPr>
        <w:pStyle w:val="null3"/>
        <w:ind w:firstLine="480"/>
      </w:pPr>
      <w:r>
        <w:rPr/>
        <w:t>联系人：</w:t>
      </w:r>
      <w:r>
        <w:rPr/>
        <w:t>胥工</w:t>
      </w:r>
    </w:p>
    <w:p>
      <w:pPr>
        <w:pStyle w:val="null3"/>
        <w:ind w:firstLine="480"/>
      </w:pPr>
      <w:r>
        <w:rPr/>
        <w:t>联系电话：</w:t>
      </w:r>
      <w:r>
        <w:rPr/>
        <w:t>029-88333950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采购包1：2,605,490.40元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由成交人支付代理服务费，代理服务费参照《国家计委关于印发&lt;招标代理服务收费管理暂行办法&gt;的通知》（计价格〔2002〕1980号）和发改办价格〔2003〕857号以及发改价格〔2011〕534号文中规定的标准执行，按差额定率累进法收取费用，100万以下按1.0%收取，100万-500万按0.7%收取。</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西安高新技术产业开发区城市管理和综合执法局</w:t>
      </w:r>
      <w:r>
        <w:rPr/>
        <w:t>和</w:t>
      </w:r>
      <w:r>
        <w:rPr/>
        <w:t>西安辰和工程咨询有限公司</w:t>
      </w:r>
      <w:r>
        <w:rPr/>
        <w:t>享有。对磋商文件中供应商参加本次政府采购活动应当具备的条件，磋商项目技术、服务、商务及其他要求，评审细则及标准由</w:t>
      </w:r>
      <w:r>
        <w:rPr/>
        <w:t>西安高新技术产业开发区城市管理和综合执法局</w:t>
      </w:r>
      <w:r>
        <w:rPr/>
        <w:t>负责解释。除上述磋商文件内容，其他内容由</w:t>
      </w:r>
      <w:r>
        <w:rPr/>
        <w:t>西安辰和工程咨询有限公司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西安高新技术产业开发区城市管理和综合执法局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西安辰和工程咨询有限公司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按照磋商文件及采购合同约定执行</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西安辰和工程咨询有限公司</w:t>
      </w:r>
      <w:r>
        <w:rPr/>
        <w:t xml:space="preserve"> 负责答复；供应商对采购过程的询问、质疑由</w:t>
      </w:r>
      <w:r>
        <w:rPr/>
        <w:t>西安辰和工程咨询有限公司</w:t>
      </w:r>
      <w:r>
        <w:rPr/>
        <w:t xml:space="preserve"> 负责答复；供应商对采购结果的询问、质疑由 </w:t>
      </w:r>
      <w:r>
        <w:rPr/>
        <w:t>西安辰和工程咨询有限公司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联系人：刘娜娜</w:t>
      </w:r>
    </w:p>
    <w:p>
      <w:pPr>
        <w:pStyle w:val="null3"/>
      </w:pPr>
      <w:r>
        <w:rPr/>
        <w:t>联系电话：029-82285837、029-81151155转810</w:t>
      </w:r>
    </w:p>
    <w:p>
      <w:pPr>
        <w:pStyle w:val="null3"/>
      </w:pPr>
      <w:r>
        <w:rPr/>
        <w:t>地址：西安高新区锦业路59号高科智慧园B座四层</w:t>
      </w:r>
    </w:p>
    <w:p>
      <w:pPr>
        <w:pStyle w:val="null3"/>
      </w:pPr>
      <w:r>
        <w:rPr/>
        <w:t>邮编：710075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2,605,490.40</w:t>
      </w:r>
    </w:p>
    <w:p>
      <w:pPr>
        <w:pStyle w:val="null3"/>
      </w:pPr>
      <w:r>
        <w:rPr/>
        <w:t>采购包最高限价（元）: 2,605,490.40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西非机动车综合整治</w:t>
            </w:r>
          </w:p>
        </w:tc>
        <w:tc>
          <w:tcPr>
            <w:tcW w:type="dxa" w:w="1384"/>
          </w:tcPr>
          <w:p>
            <w:pPr>
              <w:pStyle w:val="null3"/>
              <w:jc w:val="right"/>
            </w:pPr>
            <w:r>
              <w:rPr/>
              <w:t>1.00</w:t>
            </w:r>
          </w:p>
        </w:tc>
        <w:tc>
          <w:tcPr>
            <w:tcW w:type="dxa" w:w="1384"/>
          </w:tcPr>
          <w:p>
            <w:pPr>
              <w:pStyle w:val="null3"/>
              <w:jc w:val="right"/>
            </w:pPr>
            <w:r>
              <w:rPr/>
              <w:t>2,605,490.40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标的名称：西非机动车综合整治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simsun" w:hAnsi="simsun" w:cs="simsun" w:eastAsia="simsun"/>
                <w:sz w:val="18"/>
              </w:rPr>
              <w:t>一、项目内容</w:t>
            </w:r>
          </w:p>
          <w:p>
            <w:pPr>
              <w:pStyle w:val="null3"/>
            </w:pPr>
            <w:r>
              <w:rPr>
                <w:rFonts w:ascii="simsun" w:hAnsi="simsun" w:cs="simsun" w:eastAsia="simsun"/>
                <w:sz w:val="18"/>
              </w:rPr>
              <w:t>通过利用公共绿化、边角绿地、闲置区域等空间，增设硬质铺装、完善标识标线，增设非机动车临时停放空间，加大非机动车停车场地供给，提升整体环境品质。</w:t>
            </w:r>
          </w:p>
          <w:p>
            <w:pPr>
              <w:pStyle w:val="null3"/>
            </w:pPr>
            <w:r>
              <w:rPr>
                <w:rFonts w:ascii="simsun" w:hAnsi="simsun" w:cs="simsun" w:eastAsia="simsun"/>
                <w:sz w:val="18"/>
              </w:rPr>
              <w:t>二、</w:t>
            </w:r>
            <w:r>
              <w:rPr>
                <w:rFonts w:ascii="simsun" w:hAnsi="simsun" w:cs="simsun" w:eastAsia="simsun"/>
                <w:sz w:val="18"/>
              </w:rPr>
              <w:t>实施范围</w:t>
            </w:r>
          </w:p>
          <w:p>
            <w:pPr>
              <w:pStyle w:val="null3"/>
              <w:spacing w:before="75"/>
              <w:ind w:right="30"/>
            </w:pPr>
            <w:r>
              <w:rPr>
                <w:rFonts w:ascii="simsun" w:hAnsi="simsun" w:cs="simsun" w:eastAsia="simsun"/>
                <w:sz w:val="18"/>
              </w:rPr>
              <w:t>西安高新区非机动车综合整治二期工程</w:t>
            </w:r>
            <w:r>
              <w:rPr>
                <w:rFonts w:ascii="simsun" w:hAnsi="simsun" w:cs="simsun" w:eastAsia="simsun"/>
                <w:sz w:val="18"/>
              </w:rPr>
              <w:t>的全部内容。</w:t>
            </w:r>
          </w:p>
          <w:p>
            <w:pPr>
              <w:pStyle w:val="null3"/>
              <w:spacing w:before="75"/>
              <w:ind w:right="30"/>
            </w:pPr>
            <w:r>
              <w:rPr>
                <w:rFonts w:ascii="simsun" w:hAnsi="simsun" w:cs="simsun" w:eastAsia="simsun"/>
                <w:sz w:val="18"/>
              </w:rPr>
              <w:t>三、项目地点：高新区内主干道沿线</w:t>
            </w:r>
          </w:p>
          <w:p>
            <w:pPr>
              <w:pStyle w:val="null3"/>
              <w:spacing w:before="75"/>
              <w:ind w:right="30"/>
            </w:pPr>
            <w:r>
              <w:rPr>
                <w:rFonts w:ascii="simsun" w:hAnsi="simsun" w:cs="simsun" w:eastAsia="simsun"/>
                <w:sz w:val="18"/>
              </w:rPr>
              <w:t>四</w:t>
            </w:r>
            <w:r>
              <w:rPr>
                <w:rFonts w:ascii="simsun" w:hAnsi="simsun" w:cs="simsun" w:eastAsia="simsun"/>
                <w:sz w:val="18"/>
              </w:rPr>
              <w:t>、项目要求：</w:t>
            </w:r>
          </w:p>
          <w:p>
            <w:pPr>
              <w:pStyle w:val="null3"/>
            </w:pPr>
            <w:r>
              <w:rPr>
                <w:rFonts w:ascii="simsun" w:hAnsi="simsun" w:cs="simsun" w:eastAsia="simsun"/>
                <w:sz w:val="18"/>
              </w:rPr>
              <w:t>1</w:t>
            </w:r>
            <w:r>
              <w:rPr>
                <w:rFonts w:ascii="simsun" w:hAnsi="simsun" w:cs="simsun" w:eastAsia="simsun"/>
                <w:sz w:val="18"/>
              </w:rPr>
              <w:t>.</w:t>
            </w:r>
            <w:r>
              <w:rPr>
                <w:rFonts w:ascii="simsun" w:hAnsi="simsun" w:cs="simsun" w:eastAsia="simsun"/>
                <w:sz w:val="18"/>
              </w:rPr>
              <w:t>工程质量目标:达到国家现行施工验收规范“合格”标准。</w:t>
            </w:r>
          </w:p>
          <w:p>
            <w:pPr>
              <w:pStyle w:val="null3"/>
            </w:pPr>
            <w:r>
              <w:rPr>
                <w:rFonts w:ascii="simsun" w:hAnsi="simsun" w:cs="simsun" w:eastAsia="simsun"/>
                <w:sz w:val="18"/>
              </w:rPr>
              <w:t>2</w:t>
            </w:r>
            <w:r>
              <w:rPr>
                <w:rFonts w:ascii="simsun" w:hAnsi="simsun" w:cs="simsun" w:eastAsia="simsun"/>
                <w:sz w:val="18"/>
              </w:rPr>
              <w:t>.</w:t>
            </w:r>
            <w:r>
              <w:rPr>
                <w:rFonts w:ascii="simsun" w:hAnsi="simsun" w:cs="simsun" w:eastAsia="simsun"/>
                <w:sz w:val="18"/>
              </w:rPr>
              <w:t>文明施工:安全文明施工工地。</w:t>
            </w:r>
          </w:p>
          <w:p>
            <w:pPr>
              <w:pStyle w:val="null3"/>
            </w:pPr>
            <w:r>
              <w:rPr>
                <w:rFonts w:ascii="simsun" w:hAnsi="simsun" w:cs="simsun" w:eastAsia="simsun"/>
                <w:sz w:val="18"/>
              </w:rPr>
              <w:t>五</w:t>
            </w:r>
            <w:r>
              <w:rPr>
                <w:rFonts w:ascii="simsun" w:hAnsi="simsun" w:cs="simsun" w:eastAsia="simsun"/>
                <w:sz w:val="18"/>
              </w:rPr>
              <w:t>、</w:t>
            </w:r>
            <w:r>
              <w:rPr>
                <w:rFonts w:ascii="simsun" w:hAnsi="simsun" w:cs="simsun" w:eastAsia="simsun"/>
                <w:sz w:val="18"/>
              </w:rPr>
              <w:t>工期及养护周期</w:t>
            </w:r>
            <w:r>
              <w:rPr>
                <w:rFonts w:ascii="simsun" w:hAnsi="simsun" w:cs="simsun" w:eastAsia="simsun"/>
                <w:sz w:val="18"/>
              </w:rPr>
              <w:t>：</w:t>
            </w:r>
          </w:p>
          <w:p>
            <w:pPr>
              <w:pStyle w:val="null3"/>
            </w:pPr>
            <w:r>
              <w:rPr>
                <w:rFonts w:ascii="simsun" w:hAnsi="simsun" w:cs="simsun" w:eastAsia="simsun"/>
                <w:sz w:val="18"/>
              </w:rPr>
              <w:t>工期：</w:t>
            </w:r>
            <w:r>
              <w:rPr>
                <w:rFonts w:ascii="simsun" w:hAnsi="simsun" w:cs="simsun" w:eastAsia="simsun"/>
                <w:sz w:val="18"/>
              </w:rPr>
              <w:t>45天。</w:t>
            </w:r>
          </w:p>
          <w:p>
            <w:pPr>
              <w:pStyle w:val="null3"/>
            </w:pPr>
            <w:r>
              <w:rPr>
                <w:rFonts w:ascii="simsun" w:hAnsi="simsun" w:cs="simsun" w:eastAsia="simsun"/>
                <w:sz w:val="18"/>
              </w:rPr>
              <w:t>养护周期：验收合格后一年内，</w:t>
            </w:r>
            <w:r>
              <w:rPr>
                <w:rFonts w:ascii="simsun" w:hAnsi="simsun" w:cs="simsun" w:eastAsia="simsun"/>
                <w:sz w:val="18"/>
              </w:rPr>
              <w:t>供应商</w:t>
            </w:r>
            <w:r>
              <w:rPr>
                <w:rFonts w:ascii="simsun" w:hAnsi="simsun" w:cs="simsun" w:eastAsia="simsun"/>
                <w:sz w:val="18"/>
              </w:rPr>
              <w:t>应对全部工程内容免费提供养护服务，养护期内出现问题及时进行修补，直至达到相关验收标准。</w:t>
            </w:r>
            <w:r>
              <w:rPr>
                <w:rFonts w:ascii="simsun" w:hAnsi="simsun" w:cs="simsun" w:eastAsia="simsun"/>
                <w:sz w:val="18"/>
              </w:rPr>
              <w:t>供应商</w:t>
            </w:r>
            <w:r>
              <w:rPr>
                <w:rFonts w:ascii="simsun" w:hAnsi="simsun" w:cs="simsun" w:eastAsia="simsun"/>
                <w:sz w:val="18"/>
              </w:rPr>
              <w:t>应积极履行养护期内职责，养护期间出现质量问题由</w:t>
            </w:r>
            <w:r>
              <w:rPr>
                <w:rFonts w:ascii="simsun" w:hAnsi="simsun" w:cs="simsun" w:eastAsia="simsun"/>
                <w:sz w:val="18"/>
              </w:rPr>
              <w:t>供应商</w:t>
            </w:r>
            <w:r>
              <w:rPr>
                <w:rFonts w:ascii="simsun" w:hAnsi="simsun" w:cs="simsun" w:eastAsia="simsun"/>
                <w:sz w:val="18"/>
              </w:rPr>
              <w:t>承担。</w:t>
            </w:r>
          </w:p>
          <w:p>
            <w:pPr>
              <w:pStyle w:val="null3"/>
            </w:pPr>
            <w:r>
              <w:rPr>
                <w:rFonts w:ascii="simsun" w:hAnsi="simsun" w:cs="simsun" w:eastAsia="simsun"/>
                <w:sz w:val="18"/>
              </w:rPr>
              <w:t>六</w:t>
            </w:r>
            <w:r>
              <w:rPr>
                <w:rFonts w:ascii="simsun" w:hAnsi="simsun" w:cs="simsun" w:eastAsia="simsun"/>
                <w:sz w:val="18"/>
              </w:rPr>
              <w:t>、安全要求</w:t>
            </w:r>
          </w:p>
          <w:p>
            <w:pPr>
              <w:pStyle w:val="null3"/>
            </w:pPr>
            <w:r>
              <w:rPr>
                <w:rFonts w:ascii="simsun" w:hAnsi="simsun" w:cs="simsun" w:eastAsia="simsun"/>
                <w:sz w:val="18"/>
              </w:rPr>
              <w:t>遵守工程建设安全生产有关管理规定，严格按安全标准组织施工，采取必要的安全生产措施，消除事故隐患。安全措施不力造成事故责任和发生的费用由成交供应商承担。</w:t>
            </w:r>
          </w:p>
          <w:p>
            <w:pPr>
              <w:pStyle w:val="null3"/>
            </w:pPr>
            <w:r>
              <w:rPr>
                <w:rFonts w:ascii="simsun" w:hAnsi="simsun" w:cs="simsun" w:eastAsia="simsun"/>
                <w:sz w:val="18"/>
              </w:rPr>
              <w:t>七</w:t>
            </w:r>
            <w:r>
              <w:rPr>
                <w:rFonts w:ascii="simsun" w:hAnsi="simsun" w:cs="simsun" w:eastAsia="simsun"/>
                <w:sz w:val="18"/>
              </w:rPr>
              <w:t>、施工要求</w:t>
            </w:r>
          </w:p>
          <w:p>
            <w:pPr>
              <w:pStyle w:val="null3"/>
            </w:pPr>
            <w:r>
              <w:rPr>
                <w:rFonts w:ascii="simsun" w:hAnsi="simsun" w:cs="simsun" w:eastAsia="simsun"/>
                <w:sz w:val="18"/>
              </w:rPr>
              <w:t>1.为了确保工程质量，</w:t>
            </w:r>
            <w:r>
              <w:rPr>
                <w:rFonts w:ascii="simsun" w:hAnsi="simsun" w:cs="simsun" w:eastAsia="simsun"/>
                <w:sz w:val="18"/>
              </w:rPr>
              <w:t>供应商</w:t>
            </w:r>
            <w:r>
              <w:rPr>
                <w:rFonts w:ascii="simsun" w:hAnsi="simsun" w:cs="simsun" w:eastAsia="simsun"/>
                <w:sz w:val="18"/>
              </w:rPr>
              <w:t>应组织一支强有力的技术骨干队伍，建立严格的质量管理体系，规范操作。</w:t>
            </w:r>
          </w:p>
          <w:p>
            <w:pPr>
              <w:pStyle w:val="null3"/>
            </w:pPr>
            <w:r>
              <w:rPr>
                <w:rFonts w:ascii="simsun" w:hAnsi="simsun" w:cs="simsun" w:eastAsia="simsun"/>
                <w:sz w:val="18"/>
              </w:rPr>
              <w:t>2.必须保证采购主材的所选材料质量可靠，符合国家环保等相关标准。</w:t>
            </w:r>
          </w:p>
          <w:p>
            <w:pPr>
              <w:pStyle w:val="null3"/>
            </w:pPr>
            <w:r>
              <w:rPr>
                <w:rFonts w:ascii="simsun" w:hAnsi="simsun" w:cs="simsun" w:eastAsia="simsun"/>
                <w:sz w:val="18"/>
              </w:rPr>
              <w:t>3.</w:t>
            </w:r>
            <w:r>
              <w:rPr>
                <w:rFonts w:ascii="simsun" w:hAnsi="simsun" w:cs="simsun" w:eastAsia="simsun"/>
                <w:sz w:val="18"/>
              </w:rPr>
              <w:t>供应商</w:t>
            </w:r>
            <w:r>
              <w:rPr>
                <w:rFonts w:ascii="simsun" w:hAnsi="simsun" w:cs="simsun" w:eastAsia="simsun"/>
                <w:sz w:val="18"/>
              </w:rPr>
              <w:t>须自行解决车辆、工具设施，人员办公场所，设施存库房、车辆停放场地等。</w:t>
            </w:r>
          </w:p>
          <w:p>
            <w:pPr>
              <w:pStyle w:val="null3"/>
            </w:pPr>
            <w:r>
              <w:rPr>
                <w:rFonts w:ascii="simsun" w:hAnsi="simsun" w:cs="simsun" w:eastAsia="simsun"/>
                <w:sz w:val="18"/>
              </w:rPr>
              <w:t>4.严格按照</w:t>
            </w:r>
            <w:r>
              <w:rPr>
                <w:rFonts w:ascii="simsun" w:hAnsi="simsun" w:cs="simsun" w:eastAsia="simsun"/>
                <w:sz w:val="18"/>
              </w:rPr>
              <w:t>采购人</w:t>
            </w:r>
            <w:r>
              <w:rPr>
                <w:rFonts w:ascii="simsun" w:hAnsi="simsun" w:cs="simsun" w:eastAsia="simsun"/>
                <w:sz w:val="18"/>
              </w:rPr>
              <w:t>安全文明施工要求进行作业，所有施工需在硬质围挡内进行，围挡拆除时，施</w:t>
            </w:r>
            <w:r>
              <w:rPr>
                <w:rFonts w:ascii="simsun" w:hAnsi="simsun" w:cs="simsun" w:eastAsia="simsun"/>
                <w:sz w:val="18"/>
              </w:rPr>
              <w:t>工现</w:t>
            </w:r>
            <w:r>
              <w:rPr>
                <w:rFonts w:ascii="simsun" w:hAnsi="simsun" w:cs="simsun" w:eastAsia="simsun"/>
                <w:sz w:val="18"/>
              </w:rPr>
              <w:t>场必须恢复原貌。</w:t>
            </w:r>
          </w:p>
          <w:p>
            <w:pPr>
              <w:pStyle w:val="null3"/>
            </w:pPr>
            <w:r>
              <w:rPr>
                <w:rFonts w:ascii="simsun" w:hAnsi="simsun" w:cs="simsun" w:eastAsia="simsun"/>
                <w:sz w:val="18"/>
              </w:rPr>
              <w:t>5.合理安</w:t>
            </w:r>
            <w:r>
              <w:rPr>
                <w:rFonts w:ascii="simsun" w:hAnsi="simsun" w:cs="simsun" w:eastAsia="simsun"/>
                <w:sz w:val="18"/>
              </w:rPr>
              <w:t>排</w:t>
            </w:r>
            <w:r>
              <w:rPr>
                <w:rFonts w:ascii="simsun" w:hAnsi="simsun" w:cs="simsun" w:eastAsia="simsun"/>
                <w:sz w:val="18"/>
              </w:rPr>
              <w:t>施工时间，需避免人流高峰期，设置安全警示标识，做好交通疏导等必要措施，避免夜间施工扰民，如有特殊情况确需在夜间施工，应上报监理单位，并在施工现场做好发光标识，施工人员一律穿戴发光警示服。</w:t>
            </w:r>
          </w:p>
          <w:p>
            <w:pPr>
              <w:pStyle w:val="null3"/>
            </w:pPr>
            <w:r>
              <w:rPr>
                <w:rFonts w:ascii="simsun" w:hAnsi="simsun" w:cs="simsun" w:eastAsia="simsun"/>
                <w:sz w:val="18"/>
              </w:rPr>
              <w:t>6.铺装区域应稳固、无翘动，表面平整、缝线直顺、缝宽均匀、灌缝饱满，无翘边、翘角、反坡、积水现象，铺装美观。</w:t>
            </w:r>
          </w:p>
          <w:p>
            <w:pPr>
              <w:pStyle w:val="null3"/>
            </w:pPr>
            <w:r>
              <w:rPr>
                <w:rFonts w:ascii="simsun" w:hAnsi="simsun" w:cs="simsun" w:eastAsia="simsun"/>
                <w:sz w:val="18"/>
              </w:rPr>
              <w:t>绿化区域苗木需按规格选苗，保证移植根系完好，带好土球，包装结实牢靠。所有苗木应生长茂盛，分枝均衡，整冠饱满，必须健康、无病虫害、无缺乏矿物质症状，生长旺盛而不老化，树皮无人为损伤或虫眼等，能充分体现个体的自然景观美。</w:t>
            </w:r>
          </w:p>
          <w:p>
            <w:pPr>
              <w:pStyle w:val="null3"/>
            </w:pPr>
            <w:r>
              <w:rPr>
                <w:rFonts w:ascii="simsun" w:hAnsi="simsun" w:cs="simsun" w:eastAsia="simsun"/>
                <w:sz w:val="18"/>
              </w:rPr>
              <w:t>7.现场的渣土、垃圾应堆放在垫布上，日产日清。如有</w:t>
            </w:r>
            <w:r>
              <w:rPr>
                <w:rFonts w:ascii="simsun" w:hAnsi="simsun" w:cs="simsun" w:eastAsia="simsun"/>
                <w:sz w:val="18"/>
              </w:rPr>
              <w:t>特殊情</w:t>
            </w:r>
            <w:r>
              <w:rPr>
                <w:rFonts w:ascii="simsun" w:hAnsi="simsun" w:cs="simsun" w:eastAsia="simsun"/>
                <w:sz w:val="18"/>
              </w:rPr>
              <w:t>况不能及时清运的，应及时上报监理，经监理审核属实，进行</w:t>
            </w:r>
            <w:r>
              <w:rPr>
                <w:rFonts w:ascii="simsun" w:hAnsi="simsun" w:cs="simsun" w:eastAsia="simsun"/>
                <w:sz w:val="18"/>
              </w:rPr>
              <w:t>覆盖</w:t>
            </w:r>
            <w:r>
              <w:rPr>
                <w:rFonts w:ascii="simsun" w:hAnsi="simsun" w:cs="simsun" w:eastAsia="simsun"/>
                <w:sz w:val="18"/>
              </w:rPr>
              <w:t>处理。运输过程中严禁抛洒，并将渣土、垃圾堆放的场地及转运场地及时清理干净。</w:t>
            </w:r>
          </w:p>
          <w:p>
            <w:pPr>
              <w:pStyle w:val="null3"/>
            </w:pPr>
            <w:r>
              <w:rPr>
                <w:rFonts w:ascii="simsun" w:hAnsi="simsun" w:cs="simsun" w:eastAsia="simsun"/>
                <w:sz w:val="18"/>
              </w:rPr>
              <w:t>8.</w:t>
            </w:r>
            <w:r>
              <w:rPr>
                <w:rFonts w:ascii="simsun" w:hAnsi="simsun" w:cs="simsun" w:eastAsia="simsun"/>
                <w:sz w:val="18"/>
              </w:rPr>
              <w:t>供应商</w:t>
            </w:r>
            <w:r>
              <w:rPr>
                <w:rFonts w:ascii="simsun" w:hAnsi="simsun" w:cs="simsun" w:eastAsia="simsun"/>
                <w:sz w:val="18"/>
              </w:rPr>
              <w:t>应严格按照</w:t>
            </w:r>
            <w:r>
              <w:rPr>
                <w:rFonts w:ascii="simsun" w:hAnsi="simsun" w:cs="simsun" w:eastAsia="simsun"/>
                <w:sz w:val="18"/>
              </w:rPr>
              <w:t>采购人</w:t>
            </w:r>
            <w:r>
              <w:rPr>
                <w:rFonts w:ascii="simsun" w:hAnsi="simsun" w:cs="simsun" w:eastAsia="simsun"/>
                <w:sz w:val="18"/>
              </w:rPr>
              <w:t>审定的图纸、预定方案及工程量清单计价保质保量进行施工，按时完成并交付</w:t>
            </w:r>
            <w:r>
              <w:rPr>
                <w:rFonts w:ascii="simsun" w:hAnsi="simsun" w:cs="simsun" w:eastAsia="simsun"/>
                <w:sz w:val="18"/>
              </w:rPr>
              <w:t>采购人</w:t>
            </w:r>
            <w:r>
              <w:rPr>
                <w:rFonts w:ascii="simsun" w:hAnsi="simsun" w:cs="simsun" w:eastAsia="simsun"/>
                <w:sz w:val="18"/>
              </w:rPr>
              <w:t>验收。</w:t>
            </w:r>
          </w:p>
          <w:p>
            <w:pPr>
              <w:pStyle w:val="null3"/>
            </w:pPr>
            <w:r>
              <w:rPr>
                <w:rFonts w:ascii="simsun" w:hAnsi="simsun" w:cs="simsun" w:eastAsia="simsun"/>
                <w:sz w:val="18"/>
              </w:rPr>
              <w:t>隐蔽工程覆盖前应提前24小时报请</w:t>
            </w:r>
            <w:r>
              <w:rPr>
                <w:rFonts w:ascii="simsun" w:hAnsi="simsun" w:cs="simsun" w:eastAsia="simsun"/>
                <w:sz w:val="18"/>
              </w:rPr>
              <w:t>采购人</w:t>
            </w:r>
            <w:r>
              <w:rPr>
                <w:rFonts w:ascii="simsun" w:hAnsi="simsun" w:cs="simsun" w:eastAsia="simsun"/>
                <w:sz w:val="18"/>
              </w:rPr>
              <w:t>代表验收，验收合格后方可覆盖。如</w:t>
            </w:r>
            <w:r>
              <w:rPr>
                <w:rFonts w:ascii="simsun" w:hAnsi="simsun" w:cs="simsun" w:eastAsia="simsun"/>
                <w:sz w:val="18"/>
              </w:rPr>
              <w:t>采购人</w:t>
            </w:r>
            <w:r>
              <w:rPr>
                <w:rFonts w:ascii="simsun" w:hAnsi="simsun" w:cs="simsun" w:eastAsia="simsun"/>
                <w:sz w:val="18"/>
              </w:rPr>
              <w:t>代表未按时验收，</w:t>
            </w:r>
            <w:r>
              <w:rPr>
                <w:rFonts w:ascii="simsun" w:hAnsi="simsun" w:cs="simsun" w:eastAsia="simsun"/>
                <w:sz w:val="18"/>
              </w:rPr>
              <w:t>供应商</w:t>
            </w:r>
            <w:r>
              <w:rPr>
                <w:rFonts w:ascii="simsun" w:hAnsi="simsun" w:cs="simsun" w:eastAsia="simsun"/>
                <w:sz w:val="18"/>
              </w:rPr>
              <w:t>有权覆盖。对</w:t>
            </w:r>
            <w:r>
              <w:rPr>
                <w:rFonts w:ascii="simsun" w:hAnsi="simsun" w:cs="simsun" w:eastAsia="simsun"/>
                <w:sz w:val="18"/>
              </w:rPr>
              <w:t>已</w:t>
            </w:r>
            <w:r>
              <w:rPr>
                <w:rFonts w:ascii="simsun" w:hAnsi="simsun" w:cs="simsun" w:eastAsia="simsun"/>
                <w:sz w:val="18"/>
              </w:rPr>
              <w:t>覆盖的隐蔽工程，</w:t>
            </w:r>
            <w:r>
              <w:rPr>
                <w:rFonts w:ascii="simsun" w:hAnsi="simsun" w:cs="simsun" w:eastAsia="simsun"/>
                <w:sz w:val="18"/>
              </w:rPr>
              <w:t>采购人</w:t>
            </w:r>
            <w:r>
              <w:rPr>
                <w:rFonts w:ascii="simsun" w:hAnsi="simsun" w:cs="simsun" w:eastAsia="simsun"/>
                <w:sz w:val="18"/>
              </w:rPr>
              <w:t>有权重新敞开检验，如检验不合格，其检验及返工费用均由</w:t>
            </w:r>
            <w:r>
              <w:rPr>
                <w:rFonts w:ascii="simsun" w:hAnsi="simsun" w:cs="simsun" w:eastAsia="simsun"/>
                <w:sz w:val="18"/>
              </w:rPr>
              <w:t>供应商</w:t>
            </w:r>
            <w:r>
              <w:rPr>
                <w:rFonts w:ascii="simsun" w:hAnsi="simsun" w:cs="simsun" w:eastAsia="simsun"/>
                <w:sz w:val="18"/>
              </w:rPr>
              <w:t>承担；如检验合格，相应费用由</w:t>
            </w:r>
            <w:r>
              <w:rPr>
                <w:rFonts w:ascii="simsun" w:hAnsi="simsun" w:cs="simsun" w:eastAsia="simsun"/>
                <w:sz w:val="18"/>
              </w:rPr>
              <w:t>采购人</w:t>
            </w:r>
            <w:r>
              <w:rPr>
                <w:rFonts w:ascii="simsun" w:hAnsi="simsun" w:cs="simsun" w:eastAsia="simsun"/>
                <w:sz w:val="18"/>
              </w:rPr>
              <w:t>承担。</w:t>
            </w:r>
          </w:p>
          <w:p>
            <w:pPr>
              <w:pStyle w:val="null3"/>
            </w:pPr>
            <w:r>
              <w:rPr>
                <w:rFonts w:ascii="simsun" w:hAnsi="simsun" w:cs="simsun" w:eastAsia="simsun"/>
                <w:sz w:val="18"/>
              </w:rPr>
              <w:t>9.</w:t>
            </w:r>
            <w:r>
              <w:rPr>
                <w:rFonts w:ascii="simsun" w:hAnsi="simsun" w:cs="simsun" w:eastAsia="simsun"/>
                <w:sz w:val="18"/>
              </w:rPr>
              <w:t>绿化区域苗木存活保证期为12个月，景观效果达到</w:t>
            </w:r>
            <w:r>
              <w:rPr>
                <w:rFonts w:ascii="simsun" w:hAnsi="simsun" w:cs="simsun" w:eastAsia="simsun"/>
                <w:sz w:val="18"/>
              </w:rPr>
              <w:t>采购人</w:t>
            </w:r>
            <w:r>
              <w:rPr>
                <w:rFonts w:ascii="simsun" w:hAnsi="simsun" w:cs="simsun" w:eastAsia="simsun"/>
                <w:sz w:val="18"/>
              </w:rPr>
              <w:t>要求，期间发生苗木倾斜或死亡的，</w:t>
            </w:r>
            <w:r>
              <w:rPr>
                <w:rFonts w:ascii="simsun" w:hAnsi="simsun" w:cs="simsun" w:eastAsia="simsun"/>
                <w:sz w:val="18"/>
              </w:rPr>
              <w:t>供应商</w:t>
            </w:r>
            <w:r>
              <w:rPr>
                <w:rFonts w:ascii="simsun" w:hAnsi="simsun" w:cs="simsun" w:eastAsia="simsun"/>
                <w:sz w:val="18"/>
              </w:rPr>
              <w:t>应在</w:t>
            </w:r>
            <w:r>
              <w:rPr>
                <w:rFonts w:ascii="simsun" w:hAnsi="simsun" w:cs="simsun" w:eastAsia="simsun"/>
                <w:sz w:val="18"/>
              </w:rPr>
              <w:t>采购人</w:t>
            </w:r>
            <w:r>
              <w:rPr>
                <w:rFonts w:ascii="simsun" w:hAnsi="simsun" w:cs="simsun" w:eastAsia="simsun"/>
                <w:sz w:val="18"/>
              </w:rPr>
              <w:t>通知之日起10天内进行扶植、补植，扶植、补植的苗木成活保证期为补种经</w:t>
            </w:r>
            <w:r>
              <w:rPr>
                <w:rFonts w:ascii="simsun" w:hAnsi="simsun" w:cs="simsun" w:eastAsia="simsun"/>
                <w:sz w:val="18"/>
              </w:rPr>
              <w:t>采购人</w:t>
            </w:r>
            <w:r>
              <w:rPr>
                <w:rFonts w:ascii="simsun" w:hAnsi="simsun" w:cs="simsun" w:eastAsia="simsun"/>
                <w:sz w:val="18"/>
              </w:rPr>
              <w:t>验收合格之日起12个月，发生的所有补种费用全部由</w:t>
            </w:r>
            <w:r>
              <w:rPr>
                <w:rFonts w:ascii="simsun" w:hAnsi="simsun" w:cs="simsun" w:eastAsia="simsun"/>
                <w:sz w:val="18"/>
              </w:rPr>
              <w:t>供应商</w:t>
            </w:r>
            <w:r>
              <w:rPr>
                <w:rFonts w:ascii="simsun" w:hAnsi="simsun" w:cs="simsun" w:eastAsia="simsun"/>
                <w:sz w:val="18"/>
              </w:rPr>
              <w:t>承担。</w:t>
            </w:r>
          </w:p>
          <w:p>
            <w:pPr>
              <w:pStyle w:val="null3"/>
            </w:pPr>
            <w:r>
              <w:rPr>
                <w:rFonts w:ascii="simsun" w:hAnsi="simsun" w:cs="simsun" w:eastAsia="simsun"/>
                <w:sz w:val="18"/>
              </w:rPr>
              <w:t>10</w:t>
            </w:r>
            <w:r>
              <w:rPr>
                <w:rFonts w:ascii="simsun" w:hAnsi="simsun" w:cs="simsun" w:eastAsia="simsun"/>
                <w:sz w:val="18"/>
              </w:rPr>
              <w:t>.工程阶段验收后，需按月上报养护计划及成活率情况，并按计划进行苗木的养护工作。自验收之日起，需保证苗木成活率达到95%以上并及时更换死苗，否则不予支付工程款项。如有不及时补栽的情况，</w:t>
            </w:r>
            <w:r>
              <w:rPr>
                <w:rFonts w:ascii="simsun" w:hAnsi="simsun" w:cs="simsun" w:eastAsia="simsun"/>
                <w:sz w:val="18"/>
              </w:rPr>
              <w:t>采购人</w:t>
            </w:r>
            <w:r>
              <w:rPr>
                <w:rFonts w:ascii="simsun" w:hAnsi="simsun" w:cs="simsun" w:eastAsia="simsun"/>
                <w:sz w:val="18"/>
              </w:rPr>
              <w:t>可直接在剩余工程款项中扣除相应死苗维护费用。</w:t>
            </w:r>
          </w:p>
          <w:p>
            <w:pPr>
              <w:pStyle w:val="null3"/>
            </w:pPr>
            <w:r>
              <w:rPr>
                <w:rFonts w:ascii="simsun" w:hAnsi="simsun" w:cs="simsun" w:eastAsia="simsun"/>
                <w:sz w:val="18"/>
              </w:rPr>
              <w:t>铺装区域保修期从工程竣工验收合格之日起算，期间供应商应对铺装区域出现的缺陷、损坏进行修复，并承担相应的修复费用。如有修复不及时的情况，采购人可直接在剩余工程款项中扣除相应修补费用。</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《建筑工程质量统一验收标准》（GB50300-2001）、《建设工程文件归档整理规范》（GB／T50328－2001）、《建筑施工安全检查标准》（JGJ 59-2011） 、《工程建设强制性条文》，未详尽处应满足国家有关规范和规定，所有的规范执行最高规定。未详尽处应满足国家有关规范和规定，所有的规范执行最高规定。如有最新的法律法规、技术规范发布，按最新的文件执行。</w:t>
      </w:r>
    </w:p>
    <w:p>
      <w:pPr>
        <w:pStyle w:val="null3"/>
        <w:ind w:firstLine="480"/>
      </w:pPr>
      <w:r>
        <w:rPr/>
        <w:t>三、针对本项目的其他技术服务要求：</w:t>
      </w:r>
    </w:p>
    <w:p>
      <w:pPr>
        <w:pStyle w:val="null3"/>
      </w:pPr>
      <w:r>
        <w:rPr/>
        <w:t>/</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3.3.1付款方式及依据： ①付款方式：据实结算，结算金额=全费用综合单价*实际完成工程量。 按项目当期完成实际审核工程量的80%支付进度款，进度款累计支付至合同总价的80%;项目整体完工验收合格，并经结算评审后，采购人支付至该项目结算评审总造价的97%,剩余3%作为质量保证金，质保期为1年，质保期满后，经验收合格无质量问题后一次性无息支付。 ②付款依据：采购人出具的验收报告、工程量清单、供应商提供的等额发票等。 注：工程结算以财政结算审定价款据实结算。 3.3.2本项目磋商总报价为完成本项目磋商文件中所提出的工作范围及要求的全部内容，并达到国家及采购人验收标准而产生的所有费用，投标报价包括但不限于以下内容：包括人工费、材料费、机械费、措施费、管理费、利润、规费、税金、风险、工程保险费、招标代理服务费、防污治霾费等完成本项目所产生的一切费用。任何错报、漏报由供应商自行负责。 3.3.3清单编制依据：《陕西省建设工程工程量清单计价规则（2009）》、《陕西省建设工程工程量清单计价费率（2009）》、《陕西省建筑装饰工程消耗量定额（2004）》、《陕西省市政工程消耗量定额（2004）》、《陕西省园林绿化消耗量定额（2004）》及其补充定额，《陕西省建筑装饰工程价目表（2009）》、《陕西省市政工程价目表（2009）》、《陕西省园林绿化工程价目表（2009）》及配套计价费率、相关政策性文件。</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 【采购标的对应的中小企业划分标准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供应商应授权合法的人员参加磋商全过程</w:t>
            </w:r>
          </w:p>
        </w:tc>
        <w:tc>
          <w:tcPr>
            <w:tcW w:type="dxa" w:w="3322"/>
          </w:tcPr>
          <w:p>
            <w:pPr>
              <w:pStyle w:val="null3"/>
            </w:pPr>
            <w:r>
              <w:rPr/>
              <w:t>法定代表人授权委托书（附法定代表人身份证复印件）及被授权委托人身份证（法定代表人参加磋商只须提供法定代表人身份证）；供应商需在项目电子化交易系统中按要求上传相应证明文件并进行电子签章。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供应商具有独立承担民事责任的能力</w:t>
            </w:r>
          </w:p>
        </w:tc>
        <w:tc>
          <w:tcPr>
            <w:tcW w:type="dxa" w:w="3322"/>
          </w:tcPr>
          <w:p>
            <w:pPr>
              <w:pStyle w:val="null3"/>
            </w:pPr>
            <w:r>
              <w:rPr/>
              <w:t>供应商应具有独立承担民事责任的能力且具备向采购人提供相关工程及服务的企业法人或其他组织经营或者自然人,企业法人应提供统一社会信用代码的营业执照；其他组织经营的须提供合法凭证；自然人提供身份证明文件。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供应商基本资格条件承诺函</w:t>
            </w:r>
          </w:p>
        </w:tc>
        <w:tc>
          <w:tcPr>
            <w:tcW w:type="dxa" w:w="3322"/>
          </w:tcPr>
          <w:p>
            <w:pPr>
              <w:pStyle w:val="null3"/>
            </w:pPr>
            <w:r>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资质证书</w:t>
            </w:r>
          </w:p>
        </w:tc>
        <w:tc>
          <w:tcPr>
            <w:tcW w:type="dxa" w:w="3322"/>
          </w:tcPr>
          <w:p>
            <w:pPr>
              <w:pStyle w:val="null3"/>
            </w:pPr>
            <w:r>
              <w:rPr/>
              <w:t>供应商应具有市政公用工程施工总承包三级及以上资质，并具有有效的安全生产许可证；供应商需在项目电子化交易系统中按要求上传相应证明文件并进行电子签章。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项目经理</w:t>
            </w:r>
          </w:p>
        </w:tc>
        <w:tc>
          <w:tcPr>
            <w:tcW w:type="dxa" w:w="3322"/>
          </w:tcPr>
          <w:p>
            <w:pPr>
              <w:pStyle w:val="null3"/>
            </w:pPr>
            <w:r>
              <w:rPr/>
              <w:t>项目经理须具备市政公用工程专业二级及以上注册建造师资格,具有有效的安全生产考核合格证书（建安B证），且未担任其他在建工程项目的项目经理声明，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供应商为中小企业或为残疾人福利性单位或为监狱企业</w:t>
            </w:r>
          </w:p>
        </w:tc>
        <w:tc>
          <w:tcPr>
            <w:tcW w:type="dxa" w:w="3322"/>
          </w:tcPr>
          <w:p>
            <w:pPr>
              <w:pStyle w:val="null3"/>
            </w:pPr>
            <w:r>
              <w:rPr/>
              <w:t>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非联合体磋商</w:t>
            </w:r>
          </w:p>
        </w:tc>
        <w:tc>
          <w:tcPr>
            <w:tcW w:type="dxa" w:w="3322"/>
          </w:tcPr>
          <w:p>
            <w:pPr>
              <w:pStyle w:val="null3"/>
            </w:pPr>
            <w:r>
              <w:rPr/>
              <w:t>非联合体磋商声明;供应商需在项目电子化交易系统中按要求上传相应证明文件并进行电子签章。</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报价一览表 已标价工程量清单 报价函 标的清单</w:t>
            </w:r>
          </w:p>
        </w:tc>
      </w:tr>
      <w:tr>
        <w:tc>
          <w:tcPr>
            <w:tcW w:type="dxa" w:w="831"/>
          </w:tcPr>
          <w:p>
            <w:pPr>
              <w:pStyle w:val="null3"/>
            </w:pPr>
            <w:r>
              <w:rPr/>
              <w:t>2</w:t>
            </w:r>
          </w:p>
        </w:tc>
        <w:tc>
          <w:tcPr>
            <w:tcW w:type="dxa" w:w="2492"/>
          </w:tcPr>
          <w:p>
            <w:pPr>
              <w:pStyle w:val="null3"/>
            </w:pPr>
            <w:r>
              <w:rPr/>
              <w:t>磋商响应文件签署</w:t>
            </w:r>
          </w:p>
        </w:tc>
        <w:tc>
          <w:tcPr>
            <w:tcW w:type="dxa" w:w="3322"/>
          </w:tcPr>
          <w:p>
            <w:pPr>
              <w:pStyle w:val="null3"/>
            </w:pPr>
            <w:r>
              <w:rPr/>
              <w:t>响应文件、磋商响应函加盖供应商公章并经法定代表人或被授权委托人签字或盖章</w:t>
            </w:r>
          </w:p>
        </w:tc>
        <w:tc>
          <w:tcPr>
            <w:tcW w:type="dxa" w:w="1661"/>
          </w:tcPr>
          <w:p>
            <w:pPr>
              <w:pStyle w:val="null3"/>
            </w:pPr>
            <w:r>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t>3</w:t>
            </w:r>
          </w:p>
        </w:tc>
        <w:tc>
          <w:tcPr>
            <w:tcW w:type="dxa" w:w="2492"/>
          </w:tcPr>
          <w:p>
            <w:pPr>
              <w:pStyle w:val="null3"/>
            </w:pPr>
            <w:r>
              <w:rPr/>
              <w:t>磋商响应有效期</w:t>
            </w:r>
          </w:p>
        </w:tc>
        <w:tc>
          <w:tcPr>
            <w:tcW w:type="dxa" w:w="3322"/>
          </w:tcPr>
          <w:p>
            <w:pPr>
              <w:pStyle w:val="null3"/>
            </w:pPr>
            <w:r>
              <w:rPr/>
              <w:t>响应文件有磋商响应有效期且响应有效期达到磋商文件的要求；</w:t>
            </w:r>
          </w:p>
        </w:tc>
        <w:tc>
          <w:tcPr>
            <w:tcW w:type="dxa" w:w="1661"/>
          </w:tcPr>
          <w:p>
            <w:pPr>
              <w:pStyle w:val="null3"/>
            </w:pPr>
            <w:r>
              <w:rPr/>
              <w:t>报价函 响应函</w:t>
            </w:r>
          </w:p>
        </w:tc>
      </w:tr>
      <w:tr>
        <w:tc>
          <w:tcPr>
            <w:tcW w:type="dxa" w:w="831"/>
          </w:tcPr>
          <w:p>
            <w:pPr>
              <w:pStyle w:val="null3"/>
            </w:pPr>
            <w:r>
              <w:rPr/>
              <w:t>4</w:t>
            </w:r>
          </w:p>
        </w:tc>
        <w:tc>
          <w:tcPr>
            <w:tcW w:type="dxa" w:w="2492"/>
          </w:tcPr>
          <w:p>
            <w:pPr>
              <w:pStyle w:val="null3"/>
            </w:pPr>
            <w:r>
              <w:rPr/>
              <w:t>选择性报价</w:t>
            </w:r>
          </w:p>
        </w:tc>
        <w:tc>
          <w:tcPr>
            <w:tcW w:type="dxa" w:w="3322"/>
          </w:tcPr>
          <w:p>
            <w:pPr>
              <w:pStyle w:val="null3"/>
            </w:pPr>
            <w:r>
              <w:rPr/>
              <w:t>供应商针对同一工程及服务未递交两份或多份内容不同的响应文件，未出现选择性报价；</w:t>
            </w:r>
          </w:p>
        </w:tc>
        <w:tc>
          <w:tcPr>
            <w:tcW w:type="dxa" w:w="1661"/>
          </w:tcPr>
          <w:p>
            <w:pPr>
              <w:pStyle w:val="null3"/>
            </w:pPr>
            <w:r>
              <w:rPr/>
              <w:t>报价一览表 已标价工程量清单 报价函 标的清单 响应函</w:t>
            </w:r>
          </w:p>
        </w:tc>
      </w:tr>
      <w:tr>
        <w:tc>
          <w:tcPr>
            <w:tcW w:type="dxa" w:w="831"/>
          </w:tcPr>
          <w:p>
            <w:pPr>
              <w:pStyle w:val="null3"/>
            </w:pPr>
            <w:r>
              <w:rPr/>
              <w:t>5</w:t>
            </w:r>
          </w:p>
        </w:tc>
        <w:tc>
          <w:tcPr>
            <w:tcW w:type="dxa" w:w="2492"/>
          </w:tcPr>
          <w:p>
            <w:pPr>
              <w:pStyle w:val="null3"/>
            </w:pPr>
            <w:r>
              <w:rPr/>
              <w:t>符合商务、技术要求</w:t>
            </w:r>
          </w:p>
        </w:tc>
        <w:tc>
          <w:tcPr>
            <w:tcW w:type="dxa" w:w="3322"/>
          </w:tcPr>
          <w:p>
            <w:pPr>
              <w:pStyle w:val="null3"/>
            </w:pPr>
            <w:r>
              <w:rPr/>
              <w:t>符合商务、技术要求，不存在重大负偏离；</w:t>
            </w:r>
          </w:p>
        </w:tc>
        <w:tc>
          <w:tcPr>
            <w:tcW w:type="dxa" w:w="1661"/>
          </w:tcPr>
          <w:p>
            <w:pPr>
              <w:pStyle w:val="null3"/>
            </w:pPr>
            <w:r>
              <w:rPr/>
              <w:t>报价一览表 已标价工程量清单 技术标 报价函 技术服务合同条款及其他商务要求应答表 响应函 业绩证明文件</w:t>
            </w:r>
          </w:p>
        </w:tc>
      </w:tr>
      <w:tr>
        <w:tc>
          <w:tcPr>
            <w:tcW w:type="dxa" w:w="831"/>
          </w:tcPr>
          <w:p>
            <w:pPr>
              <w:pStyle w:val="null3"/>
            </w:pPr>
            <w:r>
              <w:rPr/>
              <w:t>6</w:t>
            </w:r>
          </w:p>
        </w:tc>
        <w:tc>
          <w:tcPr>
            <w:tcW w:type="dxa" w:w="2492"/>
          </w:tcPr>
          <w:p>
            <w:pPr>
              <w:pStyle w:val="null3"/>
            </w:pPr>
            <w:r>
              <w:rPr/>
              <w:t>响应文件未附有采购人不能接受的条件</w:t>
            </w:r>
          </w:p>
        </w:tc>
        <w:tc>
          <w:tcPr>
            <w:tcW w:type="dxa" w:w="3322"/>
          </w:tcPr>
          <w:p>
            <w:pPr>
              <w:pStyle w:val="null3"/>
            </w:pPr>
            <w:r>
              <w:rPr/>
              <w:t>响应文件未附有采购人不能接受的条件；</w:t>
            </w:r>
          </w:p>
        </w:tc>
        <w:tc>
          <w:tcPr>
            <w:tcW w:type="dxa" w:w="1661"/>
          </w:tcPr>
          <w:p>
            <w:pPr>
              <w:pStyle w:val="null3"/>
            </w:pPr>
            <w:r>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t>7</w:t>
            </w:r>
          </w:p>
        </w:tc>
        <w:tc>
          <w:tcPr>
            <w:tcW w:type="dxa" w:w="2492"/>
          </w:tcPr>
          <w:p>
            <w:pPr>
              <w:pStyle w:val="null3"/>
            </w:pPr>
            <w:r>
              <w:rPr/>
              <w:t>符合磋商文件规定的其他实质性要求的</w:t>
            </w:r>
          </w:p>
        </w:tc>
        <w:tc>
          <w:tcPr>
            <w:tcW w:type="dxa" w:w="3322"/>
          </w:tcPr>
          <w:p>
            <w:pPr>
              <w:pStyle w:val="null3"/>
            </w:pPr>
            <w:r>
              <w:rPr/>
              <w:t>符合磋商文件规定的其他实质性要求；</w:t>
            </w:r>
          </w:p>
        </w:tc>
        <w:tc>
          <w:tcPr>
            <w:tcW w:type="dxa" w:w="1661"/>
          </w:tcPr>
          <w:p>
            <w:pPr>
              <w:pStyle w:val="null3"/>
            </w:pPr>
            <w:r>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t>8</w:t>
            </w:r>
          </w:p>
        </w:tc>
        <w:tc>
          <w:tcPr>
            <w:tcW w:type="dxa" w:w="2492"/>
          </w:tcPr>
          <w:p>
            <w:pPr>
              <w:pStyle w:val="null3"/>
            </w:pPr>
            <w:r>
              <w:rPr/>
              <w:t>符合《中华人民共和国政府采购法》有关规定和磋商纪律。</w:t>
            </w:r>
          </w:p>
        </w:tc>
        <w:tc>
          <w:tcPr>
            <w:tcW w:type="dxa" w:w="3322"/>
          </w:tcPr>
          <w:p>
            <w:pPr>
              <w:pStyle w:val="null3"/>
            </w:pPr>
            <w:r>
              <w:rPr/>
              <w:t>符合《中华人民共和国政府采购法》有关规定和磋商纪律。</w:t>
            </w:r>
          </w:p>
        </w:tc>
        <w:tc>
          <w:tcPr>
            <w:tcW w:type="dxa" w:w="1661"/>
          </w:tcPr>
          <w:p>
            <w:pPr>
              <w:pStyle w:val="null3"/>
            </w:pPr>
            <w:r>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施工方案</w:t>
            </w:r>
          </w:p>
        </w:tc>
        <w:tc>
          <w:tcPr>
            <w:tcW w:type="dxa" w:w="2492"/>
          </w:tcPr>
          <w:p>
            <w:pPr>
              <w:pStyle w:val="null3"/>
            </w:pPr>
            <w:r>
              <w:rPr/>
              <w:t>施工方案（包含市政工程、绿化工程、景观工程等）[方案总体思路清晰、合理、可操作性强、可执行程度强，且能很好推动项目实施得8～15(含)分；方案总体思路基本明确、可行性、合理性高得4～8(含)分；方案思路模糊、可行性、合理性一般得0～4(含)分。]本项满分15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项目经理部组成及劳动力投入</w:t>
            </w:r>
          </w:p>
        </w:tc>
        <w:tc>
          <w:tcPr>
            <w:tcW w:type="dxa" w:w="2492"/>
          </w:tcPr>
          <w:p>
            <w:pPr>
              <w:pStyle w:val="null3"/>
            </w:pPr>
            <w:r>
              <w:rPr/>
              <w:t>项目经理部组成及劳动力投入，人员搭配合理，数量充足，经验丰富，证明材料详尽计4～8（含）分，人员搭配较为合理，数量较充足，经验不足，证明材料不够详尽计0～4（含）分，本项满分8分；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施工机械及工器具的配备情况</w:t>
            </w:r>
          </w:p>
        </w:tc>
        <w:tc>
          <w:tcPr>
            <w:tcW w:type="dxa" w:w="2492"/>
          </w:tcPr>
          <w:p>
            <w:pPr>
              <w:pStyle w:val="null3"/>
            </w:pPr>
            <w:r>
              <w:rPr/>
              <w:t>施工机械及工器具的配备情况，机械、设备安排合理、完整计4～8（含）分，机械、设备安排简单计0～4（含）分，本项满分8分；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确保本项目质量的技术组织措施</w:t>
            </w:r>
          </w:p>
        </w:tc>
        <w:tc>
          <w:tcPr>
            <w:tcW w:type="dxa" w:w="2492"/>
          </w:tcPr>
          <w:p>
            <w:pPr>
              <w:pStyle w:val="null3"/>
            </w:pPr>
            <w:r>
              <w:rPr/>
              <w:t>确保本项目质量的技术组织措施，措施内容科学可行、有针对性且内容详细计4～8（含）分，措施内容较为可行、针对性不强、内容简单计0～4（含）分，本项满分8分；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确保治污减霾和防尘污染的技术组织措施</w:t>
            </w:r>
          </w:p>
        </w:tc>
        <w:tc>
          <w:tcPr>
            <w:tcW w:type="dxa" w:w="2492"/>
          </w:tcPr>
          <w:p>
            <w:pPr>
              <w:pStyle w:val="null3"/>
            </w:pPr>
            <w:r>
              <w:rPr/>
              <w:t>确保治污减霾和防尘污染的技术组织措施，措施内容科学可行、有针对性且内容详细计3～6（含）分，措施内容较为可行、针对性不强、内容简单计0～3（含）分，本项满分6分；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确保安全生产和文明施工的技术组织措施</w:t>
            </w:r>
          </w:p>
        </w:tc>
        <w:tc>
          <w:tcPr>
            <w:tcW w:type="dxa" w:w="2492"/>
          </w:tcPr>
          <w:p>
            <w:pPr>
              <w:pStyle w:val="null3"/>
            </w:pPr>
            <w:r>
              <w:rPr/>
              <w:t>确保安全生产和文明施工的技术组织措施，措施内容科学可行、有针对性且内容详细计4～8（含）分，措施内容较为可行、针对性不强、内容简单计0～4（含）分，本项满分8分；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确保工期的技术组织措施</w:t>
            </w:r>
          </w:p>
        </w:tc>
        <w:tc>
          <w:tcPr>
            <w:tcW w:type="dxa" w:w="2492"/>
          </w:tcPr>
          <w:p>
            <w:pPr>
              <w:pStyle w:val="null3"/>
            </w:pPr>
            <w:r>
              <w:rPr/>
              <w:t>确保工期的技术组织措施，措施内容科学可行、有针对性且内容详细计4～7（含）分，措施内容较为可行、针对性不强、内容简单计0～4（含）分，本项满分7分；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应急预案措施</w:t>
            </w:r>
          </w:p>
        </w:tc>
        <w:tc>
          <w:tcPr>
            <w:tcW w:type="dxa" w:w="2492"/>
          </w:tcPr>
          <w:p>
            <w:pPr>
              <w:pStyle w:val="null3"/>
            </w:pPr>
            <w:r>
              <w:rPr/>
              <w:t>针对本项目的应急预案措施，措施内容科学可行，有针对性，根据响应程度计0～5分，本项满分5分。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企业业绩</w:t>
            </w:r>
          </w:p>
        </w:tc>
        <w:tc>
          <w:tcPr>
            <w:tcW w:type="dxa" w:w="2492"/>
          </w:tcPr>
          <w:p>
            <w:pPr>
              <w:pStyle w:val="null3"/>
            </w:pPr>
            <w:r>
              <w:rPr/>
              <w:t>提供供应商2021年以来类似项目业绩合同（以合同签订时间为准），每份计2.5分，满分5分。（注：以上证明文件在磋商响应文件中附业绩合同扫描件并加盖公章）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技术标</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响应函</w:t>
            </w:r>
          </w:p>
          <w:p>
            <w:pPr>
              <w:pStyle w:val="null3"/>
            </w:pPr>
            <w:r>
              <w:rPr/>
              <w:t>报价函</w:t>
            </w:r>
          </w:p>
          <w:p>
            <w:pPr>
              <w:pStyle w:val="null3"/>
            </w:pPr>
            <w:r>
              <w:rPr/>
              <w:t>标的清单</w:t>
            </w:r>
          </w:p>
          <w:p>
            <w:pPr>
              <w:pStyle w:val="null3"/>
            </w:pPr>
            <w:r>
              <w:rPr/>
              <w:t>报价一览表</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详见附件：标的清单</w:t>
      </w:r>
    </w:p>
    <w:p>
      <w:pPr>
        <w:pStyle w:val="null3"/>
        <w:ind w:firstLine="960"/>
      </w:pPr>
      <w:r>
        <w:rPr/>
        <w:t>详见附件：资格证明文件</w:t>
      </w:r>
    </w:p>
    <w:p>
      <w:pPr>
        <w:pStyle w:val="null3"/>
        <w:ind w:firstLine="960"/>
      </w:pPr>
      <w:r>
        <w:rPr/>
        <w:t>详见附件：业绩证明文件</w:t>
      </w:r>
    </w:p>
    <w:p>
      <w:pPr>
        <w:pStyle w:val="null3"/>
        <w:ind w:firstLine="960"/>
      </w:pPr>
      <w:r>
        <w:rPr/>
        <w:t>详见附件：供应商承诺书</w:t>
      </w:r>
    </w:p>
    <w:p>
      <w:pPr>
        <w:pStyle w:val="null3"/>
        <w:ind w:firstLine="960"/>
      </w:pPr>
      <w:r>
        <w:rPr/>
        <w:t>详见附件：政府采购供应商拒绝政府采购领域商业贿赂承诺书</w:t>
      </w:r>
    </w:p>
    <w:p>
      <w:pPr>
        <w:pStyle w:val="null3"/>
        <w:ind w:firstLine="960"/>
      </w:pPr>
      <w:r>
        <w:rPr/>
        <w:t>详见附件：技术标</w:t>
      </w:r>
    </w:p>
    <w:p>
      <w:pPr>
        <w:pStyle w:val="null3"/>
        <w:ind w:firstLine="960"/>
      </w:pPr>
      <w:r>
        <w:rPr/>
        <w:t>详见附件：报价一览表</w:t>
      </w:r>
    </w:p>
    <w:p>
      <w:pPr>
        <w:pStyle w:val="null3"/>
        <w:ind w:firstLine="960"/>
      </w:pPr>
      <w:r>
        <w:rPr/>
        <w:t>详见附件：已标价工程量清单</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