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细柳街道铂力特GX-16-28宗地通讯杆迁移项目工程</w:t>
      </w:r>
    </w:p>
    <w:p>
      <w:pPr>
        <w:pStyle w:val="null3"/>
        <w:jc w:val="center"/>
        <w:outlineLvl w:val="2"/>
      </w:pPr>
      <w:r>
        <w:rPr>
          <w:sz w:val="28"/>
          <w:b/>
        </w:rPr>
        <w:t>采购项目编号：</w:t>
      </w:r>
      <w:r>
        <w:rPr>
          <w:sz w:val="28"/>
          <w:b/>
        </w:rPr>
        <w:t>GCCS24-019</w:t>
      </w:r>
      <w:r>
        <w:br/>
      </w:r>
      <w:r>
        <w:br/>
      </w:r>
      <w:r>
        <w:br/>
      </w:r>
    </w:p>
    <w:p>
      <w:pPr>
        <w:pStyle w:val="null3"/>
        <w:jc w:val="center"/>
        <w:outlineLvl w:val="2"/>
      </w:pPr>
      <w:r>
        <w:rPr>
          <w:sz w:val="28"/>
          <w:b/>
        </w:rPr>
        <w:t>西安市长安区细柳街道办事处</w:t>
      </w:r>
    </w:p>
    <w:p>
      <w:pPr>
        <w:pStyle w:val="null3"/>
        <w:jc w:val="center"/>
        <w:outlineLvl w:val="2"/>
      </w:pPr>
      <w:r>
        <w:rPr>
          <w:sz w:val="28"/>
          <w:b/>
        </w:rPr>
        <w:t>陕西国采项目管理有限公司</w:t>
      </w:r>
      <w:r>
        <w:rPr>
          <w:sz w:val="28"/>
          <w:b/>
        </w:rPr>
        <w:t>共同编制</w:t>
      </w:r>
    </w:p>
    <w:p>
      <w:pPr>
        <w:pStyle w:val="null3"/>
        <w:jc w:val="center"/>
        <w:outlineLvl w:val="2"/>
      </w:pPr>
      <w:r>
        <w:rPr>
          <w:sz w:val="28"/>
          <w:b/>
        </w:rPr>
        <w:t>2024年06月19日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陕西国采项目管理有限公司</w:t>
      </w:r>
      <w:r>
        <w:rPr/>
        <w:t>（以下简称“代理机构”）受</w:t>
      </w:r>
      <w:r>
        <w:rPr/>
        <w:t>西安市长安区细柳街道办事处</w:t>
      </w:r>
      <w:r>
        <w:rPr/>
        <w:t>委托，拟对</w:t>
      </w:r>
      <w:r>
        <w:rPr/>
        <w:t>细柳街道铂力特GX-16-28宗地通讯杆迁移项目工程</w:t>
      </w:r>
      <w:r>
        <w:rPr/>
        <w:t>采用竞争性磋商采购方式进行采购，兹邀请供应商参加本项目的竞争性磋商。</w:t>
      </w:r>
    </w:p>
    <w:p>
      <w:pPr>
        <w:pStyle w:val="null3"/>
        <w:outlineLvl w:val="2"/>
      </w:pPr>
      <w:r>
        <w:rPr>
          <w:sz w:val="28"/>
          <w:b/>
        </w:rPr>
        <w:t>一、采购项目编号：</w:t>
      </w:r>
      <w:r>
        <w:rPr>
          <w:sz w:val="28"/>
          <w:b/>
        </w:rPr>
        <w:t>GCCS24-019</w:t>
      </w:r>
    </w:p>
    <w:p>
      <w:pPr>
        <w:pStyle w:val="null3"/>
        <w:outlineLvl w:val="2"/>
      </w:pPr>
      <w:r>
        <w:rPr>
          <w:sz w:val="28"/>
          <w:b/>
        </w:rPr>
        <w:t>二、采购项目名称：</w:t>
      </w:r>
      <w:r>
        <w:rPr>
          <w:sz w:val="28"/>
          <w:b/>
        </w:rPr>
        <w:t>细柳街道铂力特GX-16-28宗地通讯杆迁移项目工程</w:t>
      </w:r>
    </w:p>
    <w:p>
      <w:pPr>
        <w:pStyle w:val="null3"/>
        <w:outlineLvl w:val="2"/>
      </w:pPr>
      <w:r>
        <w:rPr>
          <w:sz w:val="28"/>
          <w:b/>
        </w:rPr>
        <w:t>三、磋商项目简介</w:t>
      </w:r>
    </w:p>
    <w:p>
      <w:pPr>
        <w:pStyle w:val="null3"/>
        <w:ind w:firstLine="480"/>
      </w:pPr>
      <w:r>
        <w:rPr/>
        <w:t>本项目为细柳街道铂力特GX-16-28宗地通讯杆迁移项目工程，位于长安区细柳街办，主要工程内容包括原有光缆拆除、原水泥杆拆除、电杆组立30根、敷设光缆55.90km接至机房等相关内容，详见工程量清单。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1、拟派项目负责人资质和专业要求：资质等级：拟派项目负责人具备通信与广电工程专业一级注册建造师执业资格或市政工程二级及以上注册建造师执业资格。 专业要求：通信与广电工程专业或市政工程专业。 补充说明：拟派项目负责人同时具备有效的安全生产考核合格证书，且无在建工程（提供承诺书）。</w:t>
      </w:r>
    </w:p>
    <w:p>
      <w:pPr>
        <w:pStyle w:val="null3"/>
      </w:pPr>
      <w:r>
        <w:rPr/>
        <w:t>2、供应商资质要求：供应商应具备通信工程施工总承包三级及以上资质或市政公用工程施工总承包三级及以上资质；须具有合格有效的安全生产许可证，在“陕西省住房和城乡建设厅（企业库)”可查询。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西安市长安区细柳街道办事处</w:t>
      </w:r>
    </w:p>
    <w:p>
      <w:pPr>
        <w:pStyle w:val="null3"/>
      </w:pPr>
      <w:r>
        <w:rPr/>
        <w:t xml:space="preserve"> 地址： </w:t>
      </w:r>
      <w:r>
        <w:rPr/>
        <w:t>西安市长安区细柳街道府君庙甲字四号</w:t>
      </w:r>
    </w:p>
    <w:p>
      <w:pPr>
        <w:pStyle w:val="null3"/>
      </w:pPr>
      <w:r>
        <w:rPr/>
        <w:t xml:space="preserve"> 邮编： </w:t>
      </w:r>
      <w:r>
        <w:rPr/>
        <w:t>710117</w:t>
      </w:r>
    </w:p>
    <w:p>
      <w:pPr>
        <w:pStyle w:val="null3"/>
      </w:pPr>
      <w:r>
        <w:rPr/>
        <w:t xml:space="preserve"> 联系人： </w:t>
      </w:r>
      <w:r>
        <w:rPr/>
        <w:t>王工</w:t>
      </w:r>
    </w:p>
    <w:p>
      <w:pPr>
        <w:pStyle w:val="null3"/>
      </w:pPr>
      <w:r>
        <w:rPr/>
        <w:t xml:space="preserve"> 联系电话： </w:t>
      </w:r>
      <w:r>
        <w:rPr/>
        <w:t>029-85962302</w:t>
      </w:r>
    </w:p>
    <w:p>
      <w:pPr>
        <w:pStyle w:val="null3"/>
        <w:outlineLvl w:val="3"/>
      </w:pPr>
      <w:r>
        <w:rPr>
          <w:sz w:val="24"/>
          <w:b/>
        </w:rPr>
        <w:t>代理机构：</w:t>
      </w:r>
      <w:r>
        <w:rPr>
          <w:sz w:val="24"/>
          <w:b/>
        </w:rPr>
        <w:t>陕西国采项目管理有限公司</w:t>
      </w:r>
    </w:p>
    <w:p>
      <w:pPr>
        <w:pStyle w:val="null3"/>
      </w:pPr>
      <w:r>
        <w:rPr/>
        <w:t xml:space="preserve"> 地址： </w:t>
      </w:r>
      <w:r>
        <w:rPr/>
        <w:t>西安市高新区丈八一路2号绿地SOHO同盟B座19层1911室</w:t>
      </w:r>
    </w:p>
    <w:p>
      <w:pPr>
        <w:pStyle w:val="null3"/>
      </w:pPr>
      <w:r>
        <w:rPr/>
        <w:t xml:space="preserve"> 邮编： </w:t>
      </w:r>
      <w:r>
        <w:rPr/>
        <w:t>710065</w:t>
      </w:r>
    </w:p>
    <w:p>
      <w:pPr>
        <w:pStyle w:val="null3"/>
      </w:pPr>
      <w:r>
        <w:rPr/>
        <w:t xml:space="preserve"> 联系人： </w:t>
      </w:r>
      <w:r>
        <w:rPr/>
        <w:t>王工</w:t>
      </w:r>
    </w:p>
    <w:p>
      <w:pPr>
        <w:pStyle w:val="null3"/>
      </w:pPr>
      <w:r>
        <w:rPr/>
        <w:t xml:space="preserve"> 联系电话： </w:t>
      </w:r>
      <w:r>
        <w:rPr/>
        <w:t>18049538114、029-81130182</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胥工</w:t>
      </w:r>
    </w:p>
    <w:p>
      <w:pPr>
        <w:pStyle w:val="null3"/>
        <w:ind w:firstLine="480"/>
      </w:pPr>
      <w:r>
        <w:rPr/>
        <w:t>联系电话：</w:t>
      </w:r>
      <w:r>
        <w:rPr/>
        <w:t>029-88333696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采购包1：1,218,580.69元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代理服务费收费标准：采购代理服务费参照《招标代理服务收费管理暂行办法》的通知（计价格[2002]1980号）和《关于招标代理服务收费有关问题的通知》（发改办价格[2003]857号）的有关规定按标准收取。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西安市长安区细柳街道办事处</w:t>
      </w:r>
      <w:r>
        <w:rPr/>
        <w:t>和</w:t>
      </w:r>
      <w:r>
        <w:rPr/>
        <w:t>陕西国采项目管理有限公司</w:t>
      </w:r>
      <w:r>
        <w:rPr/>
        <w:t>享有。对磋商文件中供应商参加本次政府采购活动应当具备的条件，磋商项目技术、服务、商务及其他要求，评审细则及标准由</w:t>
      </w:r>
      <w:r>
        <w:rPr/>
        <w:t>西安市长安区细柳街道办事处</w:t>
      </w:r>
      <w:r>
        <w:rPr/>
        <w:t>负责解释。除上述磋商文件内容，其他内容由</w:t>
      </w:r>
      <w:r>
        <w:rPr/>
        <w:t>陕西国采项目管理有限公司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西安市长安区细柳街道办事处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陕西国采项目管理有限公司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符合国家、地方及行业合格标准，符合采购人要求。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陕西国采项目管理有限公司</w:t>
      </w:r>
      <w:r>
        <w:rPr/>
        <w:t xml:space="preserve"> 负责答复；供应商对采购过程的询问、质疑由</w:t>
      </w:r>
      <w:r>
        <w:rPr/>
        <w:t>陕西国采项目管理有限公司</w:t>
      </w:r>
      <w:r>
        <w:rPr/>
        <w:t xml:space="preserve"> 负责答复；供应商对采购结果的询问、质疑由 </w:t>
      </w:r>
      <w:r>
        <w:rPr/>
        <w:t>陕西国采项目管理有限公司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联系人：王工</w:t>
      </w:r>
    </w:p>
    <w:p>
      <w:pPr>
        <w:pStyle w:val="null3"/>
      </w:pPr>
      <w:r>
        <w:rPr/>
        <w:t>联系电话：029-81130182、18049538114</w:t>
      </w:r>
    </w:p>
    <w:p>
      <w:pPr>
        <w:pStyle w:val="null3"/>
      </w:pPr>
      <w:r>
        <w:rPr/>
        <w:t>地址：西安市高新区丈八一路2号绿地SOHO同盟B座19层1911室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1,218,580.69</w:t>
      </w:r>
    </w:p>
    <w:p>
      <w:pPr>
        <w:pStyle w:val="null3"/>
      </w:pPr>
      <w:r>
        <w:rPr/>
        <w:t>采购包最高限价（元）: 1,218,580.69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1218580.69元</w:t>
            </w:r>
          </w:p>
        </w:tc>
        <w:tc>
          <w:tcPr>
            <w:tcW w:type="dxa" w:w="1384"/>
          </w:tcPr>
          <w:p>
            <w:pPr>
              <w:pStyle w:val="null3"/>
              <w:jc w:val="right"/>
            </w:pPr>
            <w:r>
              <w:rPr/>
              <w:t>1.00</w:t>
            </w:r>
          </w:p>
        </w:tc>
        <w:tc>
          <w:tcPr>
            <w:tcW w:type="dxa" w:w="1384"/>
          </w:tcPr>
          <w:p>
            <w:pPr>
              <w:pStyle w:val="null3"/>
              <w:jc w:val="right"/>
            </w:pPr>
            <w:r>
              <w:rPr/>
              <w:t>1,218,580.69</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标的名称：1218580.69元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rFonts w:ascii="宋体" w:hAnsi="宋体" w:cs="宋体" w:eastAsia="宋体"/>
                <w:sz w:val="21"/>
                <w:b/>
                <w:color w:val="000000"/>
              </w:rPr>
              <w:t>一、工程概况</w:t>
            </w:r>
          </w:p>
          <w:p>
            <w:pPr>
              <w:pStyle w:val="null3"/>
              <w:ind w:firstLine="420"/>
              <w:jc w:val="both"/>
            </w:pPr>
            <w:r>
              <w:rPr>
                <w:rFonts w:ascii="宋体" w:hAnsi="宋体" w:cs="宋体" w:eastAsia="宋体"/>
                <w:sz w:val="21"/>
                <w:color w:val="000000"/>
              </w:rPr>
              <w:t>本项目为细柳街道铂力特GX-16-28宗地通讯杆迁移项目工程，位于长安区细柳街办，主要工程内容包括原有光缆拆除、原水泥杆拆除、电杆组立30根、敷设光缆55.90km接至机房等相关内容，详见工程量清单。</w:t>
            </w:r>
          </w:p>
          <w:p>
            <w:pPr>
              <w:pStyle w:val="null3"/>
              <w:ind w:firstLine="422"/>
              <w:jc w:val="both"/>
            </w:pPr>
            <w:r>
              <w:rPr>
                <w:rFonts w:ascii="宋体" w:hAnsi="宋体" w:cs="宋体" w:eastAsia="宋体"/>
                <w:sz w:val="21"/>
                <w:b/>
                <w:color w:val="000000"/>
              </w:rPr>
              <w:t>二、编制范围</w:t>
            </w:r>
          </w:p>
          <w:p>
            <w:pPr>
              <w:pStyle w:val="null3"/>
              <w:ind w:firstLine="420"/>
              <w:jc w:val="both"/>
            </w:pPr>
            <w:r>
              <w:rPr>
                <w:rFonts w:ascii="宋体" w:hAnsi="宋体" w:cs="宋体" w:eastAsia="宋体"/>
                <w:sz w:val="21"/>
                <w:color w:val="000000"/>
              </w:rPr>
              <w:t>本项目包括项目工程量清单、图纸全部工程内容</w:t>
            </w:r>
            <w:r>
              <w:rPr>
                <w:rFonts w:ascii="宋体" w:hAnsi="宋体" w:cs="宋体" w:eastAsia="宋体"/>
                <w:sz w:val="21"/>
                <w:color w:val="000000"/>
              </w:rPr>
              <w:t>。</w:t>
            </w:r>
          </w:p>
          <w:p>
            <w:pPr>
              <w:pStyle w:val="null3"/>
              <w:ind w:firstLine="422"/>
              <w:jc w:val="both"/>
            </w:pPr>
            <w:r>
              <w:rPr>
                <w:rFonts w:ascii="宋体" w:hAnsi="宋体" w:cs="宋体" w:eastAsia="宋体"/>
                <w:sz w:val="21"/>
                <w:b/>
                <w:color w:val="000000"/>
              </w:rPr>
              <w:t>三、编制依据</w:t>
            </w:r>
          </w:p>
          <w:p>
            <w:pPr>
              <w:pStyle w:val="null3"/>
              <w:ind w:firstLine="420"/>
              <w:jc w:val="both"/>
            </w:pPr>
            <w:r>
              <w:rPr>
                <w:rFonts w:ascii="宋体" w:hAnsi="宋体" w:cs="宋体" w:eastAsia="宋体"/>
                <w:sz w:val="21"/>
                <w:color w:val="000000"/>
              </w:rPr>
              <w:t>1、依据建设单位提供的施工图纸、答疑文件及相关资料。</w:t>
            </w:r>
          </w:p>
          <w:p>
            <w:pPr>
              <w:pStyle w:val="null3"/>
              <w:ind w:firstLine="420"/>
              <w:jc w:val="both"/>
            </w:pPr>
            <w:r>
              <w:rPr>
                <w:rFonts w:ascii="宋体" w:hAnsi="宋体" w:cs="宋体" w:eastAsia="宋体"/>
                <w:sz w:val="21"/>
                <w:color w:val="000000"/>
              </w:rPr>
              <w:t>2、陕西省住房和城乡建设厅文件：</w:t>
            </w:r>
          </w:p>
          <w:p>
            <w:pPr>
              <w:pStyle w:val="null3"/>
              <w:ind w:firstLine="420"/>
              <w:jc w:val="both"/>
            </w:pPr>
            <w:r>
              <w:rPr>
                <w:rFonts w:ascii="宋体" w:hAnsi="宋体" w:cs="宋体" w:eastAsia="宋体"/>
                <w:sz w:val="21"/>
                <w:color w:val="000000"/>
              </w:rPr>
              <w:t>2.1增值税执行《关于调整陕西省建设工程计价依据的通知》（陕建发【2019】45号文）；</w:t>
            </w:r>
          </w:p>
          <w:p>
            <w:pPr>
              <w:pStyle w:val="null3"/>
              <w:ind w:firstLine="420"/>
              <w:jc w:val="both"/>
            </w:pPr>
            <w:r>
              <w:rPr>
                <w:rFonts w:ascii="宋体" w:hAnsi="宋体" w:cs="宋体" w:eastAsia="宋体"/>
                <w:sz w:val="21"/>
                <w:color w:val="000000"/>
              </w:rPr>
              <w:t>2.2安全文明施工措施费执行</w:t>
            </w:r>
            <w:r>
              <w:rPr>
                <w:rFonts w:ascii="宋体" w:hAnsi="宋体" w:cs="宋体" w:eastAsia="宋体"/>
                <w:sz w:val="21"/>
                <w:color w:val="000000"/>
              </w:rPr>
              <w:t>《关于增加建设工程扬尘治理专项措施费》（陕建发</w:t>
            </w:r>
            <w:r>
              <w:rPr>
                <w:rFonts w:ascii="宋体" w:hAnsi="宋体" w:cs="宋体" w:eastAsia="宋体"/>
                <w:sz w:val="21"/>
                <w:color w:val="000000"/>
              </w:rPr>
              <w:t>【</w:t>
            </w:r>
            <w:r>
              <w:rPr>
                <w:rFonts w:ascii="宋体" w:hAnsi="宋体" w:cs="宋体" w:eastAsia="宋体"/>
                <w:sz w:val="21"/>
                <w:color w:val="000000"/>
              </w:rPr>
              <w:t>2017</w:t>
            </w:r>
            <w:r>
              <w:rPr>
                <w:rFonts w:ascii="宋体" w:hAnsi="宋体" w:cs="宋体" w:eastAsia="宋体"/>
                <w:sz w:val="21"/>
                <w:color w:val="000000"/>
              </w:rPr>
              <w:t>】</w:t>
            </w:r>
            <w:r>
              <w:rPr>
                <w:rFonts w:ascii="宋体" w:hAnsi="宋体" w:cs="宋体" w:eastAsia="宋体"/>
                <w:sz w:val="21"/>
                <w:color w:val="000000"/>
              </w:rPr>
              <w:t>270号文)、</w:t>
            </w:r>
            <w:r>
              <w:rPr>
                <w:rFonts w:ascii="宋体" w:hAnsi="宋体" w:cs="宋体" w:eastAsia="宋体"/>
                <w:sz w:val="21"/>
                <w:color w:val="000000"/>
              </w:rPr>
              <w:t>《关于发布我省落实建筑工人实名制管理计价依据的通知》（陕建发【</w:t>
            </w:r>
            <w:r>
              <w:rPr>
                <w:rFonts w:ascii="宋体" w:hAnsi="宋体" w:cs="宋体" w:eastAsia="宋体"/>
                <w:sz w:val="21"/>
                <w:color w:val="000000"/>
              </w:rPr>
              <w:t>2019】1246号文）；</w:t>
            </w:r>
          </w:p>
          <w:p>
            <w:pPr>
              <w:pStyle w:val="null3"/>
              <w:ind w:firstLine="420"/>
              <w:jc w:val="both"/>
            </w:pPr>
            <w:r>
              <w:rPr>
                <w:rFonts w:ascii="宋体" w:hAnsi="宋体" w:cs="宋体" w:eastAsia="宋体"/>
                <w:sz w:val="21"/>
                <w:color w:val="000000"/>
              </w:rPr>
              <w:t>2.3养老保险费用执行《关于全省统一停止收缴建筑业劳保费用的通知》（陕建发【2021】1021号文）；</w:t>
            </w:r>
          </w:p>
          <w:p>
            <w:pPr>
              <w:pStyle w:val="null3"/>
              <w:ind w:firstLine="420"/>
              <w:jc w:val="both"/>
            </w:pPr>
            <w:r>
              <w:rPr>
                <w:rFonts w:ascii="宋体" w:hAnsi="宋体" w:cs="宋体" w:eastAsia="宋体"/>
                <w:sz w:val="21"/>
                <w:color w:val="000000"/>
              </w:rPr>
              <w:t>2.4安全生产责任保险执行《关于建筑施工安全生产责任保险费用计价的通知》（陕建发【2020】1097号文）。</w:t>
            </w:r>
          </w:p>
          <w:p>
            <w:pPr>
              <w:pStyle w:val="null3"/>
              <w:ind w:firstLine="420"/>
              <w:jc w:val="both"/>
            </w:pPr>
            <w:r>
              <w:rPr>
                <w:rFonts w:ascii="宋体" w:hAnsi="宋体" w:cs="宋体" w:eastAsia="宋体"/>
                <w:sz w:val="21"/>
                <w:color w:val="000000"/>
              </w:rPr>
              <w:t>2.5人工费执行《关于调整房屋建筑和市政基础设施工程工程量清单计价综合人工单价的通知》（陕建发【2021】1097号文）。</w:t>
            </w:r>
          </w:p>
          <w:p>
            <w:pPr>
              <w:pStyle w:val="null3"/>
              <w:ind w:firstLine="420"/>
              <w:jc w:val="both"/>
            </w:pPr>
            <w:r>
              <w:rPr>
                <w:rFonts w:ascii="宋体" w:hAnsi="宋体" w:cs="宋体" w:eastAsia="宋体"/>
                <w:sz w:val="21"/>
                <w:color w:val="000000"/>
              </w:rPr>
              <w:t>3、《陕西省建设工程工程量清单计价规则（2009）》、《陕西省建设工程工程量清单计价费率（2009）》、《陕西省建筑装饰工程消耗量定额（2004）》、《陕西省安装工程消耗量定额（2004）》《陕西省市政工程消耗量定额（2004）》、《陕西省建筑装饰工程价目表（2009）》《陕西省安装工程价目表（2009）》《陕西省市政工程价目表（2009）》及配套计价费率、相关政策性文件。</w:t>
            </w:r>
          </w:p>
          <w:p>
            <w:pPr>
              <w:pStyle w:val="null3"/>
              <w:ind w:firstLine="420"/>
              <w:jc w:val="both"/>
            </w:pPr>
            <w:r>
              <w:rPr>
                <w:rFonts w:ascii="宋体" w:hAnsi="宋体" w:cs="宋体" w:eastAsia="宋体"/>
                <w:sz w:val="21"/>
                <w:color w:val="000000"/>
              </w:rPr>
              <w:t>4、与建设工程项目有关的标准、规范、图集、技术资料。</w:t>
            </w:r>
          </w:p>
          <w:p>
            <w:pPr>
              <w:pStyle w:val="null3"/>
              <w:ind w:firstLine="420"/>
              <w:jc w:val="both"/>
            </w:pPr>
            <w:r>
              <w:rPr>
                <w:rFonts w:ascii="宋体" w:hAnsi="宋体" w:cs="宋体" w:eastAsia="宋体"/>
                <w:sz w:val="21"/>
                <w:color w:val="000000"/>
              </w:rPr>
              <w:t>5、常规施工组织设计及施工方法。</w:t>
            </w:r>
          </w:p>
          <w:p>
            <w:pPr>
              <w:pStyle w:val="null3"/>
              <w:ind w:firstLine="422"/>
              <w:jc w:val="both"/>
            </w:pPr>
            <w:r>
              <w:rPr>
                <w:rFonts w:ascii="simsun" w:hAnsi="simsun" w:cs="simsun" w:eastAsia="simsun"/>
                <w:sz w:val="21"/>
                <w:b/>
                <w:color w:val="000000"/>
              </w:rPr>
              <w:t>四、其他说明</w:t>
            </w:r>
          </w:p>
          <w:p>
            <w:pPr>
              <w:pStyle w:val="null3"/>
              <w:ind w:firstLine="420"/>
              <w:jc w:val="both"/>
            </w:pPr>
            <w:r>
              <w:rPr>
                <w:rFonts w:ascii="simsun" w:hAnsi="simsun" w:cs="simsun" w:eastAsia="simsun"/>
                <w:sz w:val="21"/>
                <w:color w:val="000000"/>
              </w:rPr>
              <w:t>本工程未考虑水泥杆利旧。</w:t>
            </w:r>
          </w:p>
          <w:p>
            <w:pPr>
              <w:pStyle w:val="null3"/>
              <w:jc w:val="both"/>
            </w:pPr>
            <w:r>
              <w:rPr>
                <w:rFonts w:ascii="simsun" w:hAnsi="simsun" w:cs="simsun" w:eastAsia="simsun"/>
                <w:sz w:val="21"/>
                <w:b/>
                <w:color w:val="000000"/>
              </w:rPr>
              <w:t xml:space="preserve">   五、工期及质量要求</w:t>
            </w:r>
          </w:p>
          <w:p>
            <w:pPr>
              <w:pStyle w:val="null3"/>
              <w:ind w:firstLine="420"/>
              <w:jc w:val="both"/>
            </w:pPr>
            <w:r>
              <w:rPr>
                <w:rFonts w:ascii="simsun" w:hAnsi="simsun" w:cs="simsun" w:eastAsia="simsun"/>
                <w:sz w:val="21"/>
                <w:color w:val="000000"/>
              </w:rPr>
              <w:t>1、工期：60日历天。</w:t>
            </w:r>
          </w:p>
          <w:p>
            <w:pPr>
              <w:pStyle w:val="null3"/>
            </w:pPr>
            <w:r>
              <w:rPr>
                <w:rFonts w:ascii="simsun" w:hAnsi="simsun" w:cs="simsun" w:eastAsia="simsun"/>
                <w:sz w:val="21"/>
                <w:color w:val="000000"/>
              </w:rPr>
              <w:t xml:space="preserve">  2、质量要求：符合国家、地方及行业合格标准，符合采购人要求。</w:t>
            </w:r>
          </w:p>
          <w:p>
            <w:pPr>
              <w:pStyle w:val="null3"/>
              <w:jc w:val="both"/>
            </w:pPr>
            <w:r>
              <w:rPr>
                <w:rFonts w:ascii="simsun" w:hAnsi="simsun" w:cs="simsun" w:eastAsia="simsun"/>
                <w:sz w:val="21"/>
                <w:b/>
                <w:color w:val="000000"/>
              </w:rPr>
              <w:t xml:space="preserve">   六、工程量清单（见附表）：</w:t>
            </w:r>
            <w:r>
              <w:rPr>
                <w:rFonts w:ascii="simsun" w:hAnsi="simsun" w:cs="simsun" w:eastAsia="simsun"/>
                <w:sz w:val="21"/>
                <w:color w:val="000000"/>
              </w:rPr>
              <w:t>本工程采用广联达计价软件 GCCP6.0 (版本：6.4100.23.118)。</w:t>
            </w:r>
          </w:p>
          <w:p>
            <w:pPr>
              <w:pStyle w:val="null3"/>
              <w:jc w:val="both"/>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符合国家、地方及行业合格标准，符合采购人要求。</w:t>
      </w:r>
    </w:p>
    <w:p>
      <w:pPr>
        <w:pStyle w:val="null3"/>
        <w:ind w:firstLine="480"/>
      </w:pPr>
      <w:r>
        <w:rPr/>
        <w:t>三、针对本项目的其他技术服务要求：</w:t>
      </w:r>
    </w:p>
    <w:p>
      <w:pPr>
        <w:pStyle w:val="null3"/>
      </w:pPr>
      <w:r>
        <w:rPr/>
        <w:t>符合采购人要求。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投标人信用记录，被列入失信被执行人、重大税收违法失信主体、政府采购严重违法失信行为记录名单的供应商将被拒绝参与本项目磋商，信用信息查询的截止时点同磋商截止时间。 供应商需在项目电子化交易系统中按要求填写《投标函》完成承诺并进行电子签章并在第七章《供应商应提供的资格证明材料》中提供上述资格证明材料。</w:t>
            </w:r>
          </w:p>
        </w:tc>
        <w:tc>
          <w:tcPr>
            <w:tcW w:type="dxa" w:w="1661"/>
          </w:tcPr>
          <w:p>
            <w:pPr>
              <w:pStyle w:val="null3"/>
            </w:pPr>
            <w:r>
              <w:rPr/>
              <w:t>供应商应提供的资格证明材料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需提供2022或2023年度经审计的供应商财务会计报告或者提供响应文件截止时间3个月内其基本账户开户银行出具的资信证明。 供应商需在项目电子化交易系统中按要求上传相应证明文件并进行电子签章。</w:t>
            </w:r>
          </w:p>
        </w:tc>
        <w:tc>
          <w:tcPr>
            <w:tcW w:type="dxa" w:w="1661"/>
          </w:tcPr>
          <w:p>
            <w:pPr>
              <w:pStyle w:val="null3"/>
            </w:pPr>
            <w:r>
              <w:rPr/>
              <w:t>供应商应提供的资格证明材料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资质等级：拟派项目负责人具备通信与广电工程专业一级注册建造师执业资格或市政工程二级及以上注册建造师执业资格。 专业要求：通信与广电工程专业或市政工程专业。 补充说明：拟派项目负责人同时具备有效的安全生产考核合格证书，且无在建工程（提供承诺书）。</w:t>
            </w:r>
          </w:p>
        </w:tc>
        <w:tc>
          <w:tcPr>
            <w:tcW w:type="dxa" w:w="1661"/>
          </w:tcPr>
          <w:p>
            <w:pPr>
              <w:pStyle w:val="null3"/>
            </w:pPr>
            <w:r>
              <w:rPr/>
              <w:t>供应商应提供的资格证明材料</w:t>
            </w:r>
          </w:p>
        </w:tc>
      </w:tr>
      <w:tr>
        <w:tc>
          <w:tcPr>
            <w:tcW w:type="dxa" w:w="831"/>
          </w:tcPr>
          <w:p>
            <w:pPr>
              <w:pStyle w:val="null3"/>
            </w:pPr>
            <w:r>
              <w:rPr/>
              <w:t>2</w:t>
            </w:r>
          </w:p>
        </w:tc>
        <w:tc>
          <w:tcPr>
            <w:tcW w:type="dxa" w:w="2492"/>
          </w:tcPr>
          <w:p>
            <w:pPr>
              <w:pStyle w:val="null3"/>
            </w:pPr>
            <w:r>
              <w:rPr/>
              <w:t>供应商资质要求</w:t>
            </w:r>
          </w:p>
        </w:tc>
        <w:tc>
          <w:tcPr>
            <w:tcW w:type="dxa" w:w="3322"/>
          </w:tcPr>
          <w:p>
            <w:pPr>
              <w:pStyle w:val="null3"/>
            </w:pPr>
            <w:r>
              <w:rPr/>
              <w:t>供应商应具备通信工程施工总承包三级及以上资质或市政公用工程施工总承包三级及以上资质；须具有合格有效的安全生产许可证，在“陕西省住房和城乡建设厅（企业库)”可查询。</w:t>
            </w:r>
          </w:p>
        </w:tc>
        <w:tc>
          <w:tcPr>
            <w:tcW w:type="dxa" w:w="1661"/>
          </w:tcPr>
          <w:p>
            <w:pPr>
              <w:pStyle w:val="null3"/>
            </w:pPr>
            <w:r>
              <w:rPr/>
              <w:t>供应商应提供的资格证明材料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报价函 标的清单 响应函</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响应文件上法定代表人或其委托代理人的签字齐全并加盖单位章</w:t>
            </w:r>
          </w:p>
        </w:tc>
        <w:tc>
          <w:tcPr>
            <w:tcW w:type="dxa" w:w="1661"/>
          </w:tcPr>
          <w:p>
            <w:pPr>
              <w:pStyle w:val="null3"/>
            </w:pPr>
            <w:r>
              <w:rPr/>
              <w:t>响应文件封面 法定代表人身份证明及授权委托书 报价函 技术服务合同条款及其他商务要求应答表 标的清单 响应函</w:t>
            </w:r>
          </w:p>
        </w:tc>
      </w:tr>
      <w:tr>
        <w:tc>
          <w:tcPr>
            <w:tcW w:type="dxa" w:w="831"/>
          </w:tcPr>
          <w:p>
            <w:pPr>
              <w:pStyle w:val="null3"/>
            </w:pPr>
            <w:r>
              <w:rPr/>
              <w:t>3</w:t>
            </w:r>
          </w:p>
        </w:tc>
        <w:tc>
          <w:tcPr>
            <w:tcW w:type="dxa" w:w="2492"/>
          </w:tcPr>
          <w:p>
            <w:pPr>
              <w:pStyle w:val="null3"/>
            </w:pPr>
            <w:r>
              <w:rPr/>
              <w:t>法定代表人（单位负责人）身份证明或委托授权书</w:t>
            </w:r>
          </w:p>
        </w:tc>
        <w:tc>
          <w:tcPr>
            <w:tcW w:type="dxa" w:w="3322"/>
          </w:tcPr>
          <w:p>
            <w:pPr>
              <w:pStyle w:val="null3"/>
            </w:pPr>
            <w:r>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t>法定代表人身份证明及授权委托书</w:t>
            </w:r>
          </w:p>
        </w:tc>
      </w:tr>
      <w:tr>
        <w:tc>
          <w:tcPr>
            <w:tcW w:type="dxa" w:w="831"/>
          </w:tcPr>
          <w:p>
            <w:pPr>
              <w:pStyle w:val="null3"/>
            </w:pPr>
            <w:r>
              <w:rPr/>
              <w:t>4</w:t>
            </w:r>
          </w:p>
        </w:tc>
        <w:tc>
          <w:tcPr>
            <w:tcW w:type="dxa" w:w="2492"/>
          </w:tcPr>
          <w:p>
            <w:pPr>
              <w:pStyle w:val="null3"/>
            </w:pPr>
            <w:r>
              <w:rPr/>
              <w:t>响应文件格式、语言、计量单位、报价货币</w:t>
            </w:r>
          </w:p>
        </w:tc>
        <w:tc>
          <w:tcPr>
            <w:tcW w:type="dxa" w:w="3322"/>
          </w:tcPr>
          <w:p>
            <w:pPr>
              <w:pStyle w:val="null3"/>
            </w:pPr>
            <w:r>
              <w:rPr/>
              <w:t>应符合“响应文件格式”和磋商文件要求</w:t>
            </w:r>
          </w:p>
        </w:tc>
        <w:tc>
          <w:tcPr>
            <w:tcW w:type="dxa" w:w="1661"/>
          </w:tcPr>
          <w:p>
            <w:pPr>
              <w:pStyle w:val="null3"/>
            </w:pPr>
            <w:r>
              <w:rPr/>
              <w:t>报价函 响应函</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只能有一个有效报价，不得提交选择性报价，且报价不超过预算金额或最高限价</w:t>
            </w:r>
          </w:p>
        </w:tc>
        <w:tc>
          <w:tcPr>
            <w:tcW w:type="dxa" w:w="1661"/>
          </w:tcPr>
          <w:p>
            <w:pPr>
              <w:pStyle w:val="null3"/>
            </w:pPr>
            <w:r>
              <w:rPr/>
              <w:t>报价函</w:t>
            </w:r>
          </w:p>
        </w:tc>
      </w:tr>
      <w:tr>
        <w:tc>
          <w:tcPr>
            <w:tcW w:type="dxa" w:w="831"/>
          </w:tcPr>
          <w:p>
            <w:pPr>
              <w:pStyle w:val="null3"/>
            </w:pPr>
            <w:r>
              <w:rPr/>
              <w:t>6</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已标价工程量清单 报价函 标的清单 响应函</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报价函 技术服务合同条款及其他商务要求应答表 响应函</w:t>
            </w:r>
          </w:p>
        </w:tc>
      </w:tr>
      <w:tr>
        <w:tc>
          <w:tcPr>
            <w:tcW w:type="dxa" w:w="831"/>
          </w:tcPr>
          <w:p>
            <w:pPr>
              <w:pStyle w:val="null3"/>
            </w:pPr>
            <w:r>
              <w:rPr/>
              <w:t>8</w:t>
            </w:r>
          </w:p>
        </w:tc>
        <w:tc>
          <w:tcPr>
            <w:tcW w:type="dxa" w:w="2492"/>
          </w:tcPr>
          <w:p>
            <w:pPr>
              <w:pStyle w:val="null3"/>
            </w:pPr>
            <w:r>
              <w:rPr/>
              <w:t>工期</w:t>
            </w:r>
          </w:p>
        </w:tc>
        <w:tc>
          <w:tcPr>
            <w:tcW w:type="dxa" w:w="3322"/>
          </w:tcPr>
          <w:p>
            <w:pPr>
              <w:pStyle w:val="null3"/>
            </w:pPr>
            <w:r>
              <w:rPr/>
              <w:t>应满足磋商文件的要求</w:t>
            </w:r>
          </w:p>
        </w:tc>
        <w:tc>
          <w:tcPr>
            <w:tcW w:type="dxa" w:w="1661"/>
          </w:tcPr>
          <w:p>
            <w:pPr>
              <w:pStyle w:val="null3"/>
            </w:pPr>
            <w:r>
              <w:rPr/>
              <w:t>报价函 标的清单</w:t>
            </w:r>
          </w:p>
        </w:tc>
      </w:tr>
      <w:tr>
        <w:tc>
          <w:tcPr>
            <w:tcW w:type="dxa" w:w="831"/>
          </w:tcPr>
          <w:p>
            <w:pPr>
              <w:pStyle w:val="null3"/>
            </w:pPr>
            <w:r>
              <w:rPr/>
              <w:t>9</w:t>
            </w:r>
          </w:p>
        </w:tc>
        <w:tc>
          <w:tcPr>
            <w:tcW w:type="dxa" w:w="2492"/>
          </w:tcPr>
          <w:p>
            <w:pPr>
              <w:pStyle w:val="null3"/>
            </w:pPr>
            <w:r>
              <w:rPr/>
              <w:t>工程质量</w:t>
            </w:r>
          </w:p>
        </w:tc>
        <w:tc>
          <w:tcPr>
            <w:tcW w:type="dxa" w:w="3322"/>
          </w:tcPr>
          <w:p>
            <w:pPr>
              <w:pStyle w:val="null3"/>
            </w:pPr>
            <w:r>
              <w:rPr/>
              <w:t>应符合磋商文件的要求</w:t>
            </w:r>
          </w:p>
        </w:tc>
        <w:tc>
          <w:tcPr>
            <w:tcW w:type="dxa" w:w="1661"/>
          </w:tcPr>
          <w:p>
            <w:pPr>
              <w:pStyle w:val="null3"/>
            </w:pPr>
            <w:r>
              <w:rPr/>
              <w:t>报价函</w:t>
            </w:r>
          </w:p>
        </w:tc>
      </w:tr>
      <w:tr>
        <w:tc>
          <w:tcPr>
            <w:tcW w:type="dxa" w:w="831"/>
          </w:tcPr>
          <w:p>
            <w:pPr>
              <w:pStyle w:val="null3"/>
            </w:pPr>
            <w:r>
              <w:rPr/>
              <w:t>10</w:t>
            </w:r>
          </w:p>
        </w:tc>
        <w:tc>
          <w:tcPr>
            <w:tcW w:type="dxa" w:w="2492"/>
          </w:tcPr>
          <w:p>
            <w:pPr>
              <w:pStyle w:val="null3"/>
            </w:pPr>
            <w:r>
              <w:rPr/>
              <w:t>磋商有效期</w:t>
            </w:r>
          </w:p>
        </w:tc>
        <w:tc>
          <w:tcPr>
            <w:tcW w:type="dxa" w:w="3322"/>
          </w:tcPr>
          <w:p>
            <w:pPr>
              <w:pStyle w:val="null3"/>
            </w:pPr>
            <w:r>
              <w:rPr/>
              <w:t>应符合磋商文件的规定</w:t>
            </w:r>
          </w:p>
        </w:tc>
        <w:tc>
          <w:tcPr>
            <w:tcW w:type="dxa" w:w="1661"/>
          </w:tcPr>
          <w:p>
            <w:pPr>
              <w:pStyle w:val="null3"/>
            </w:pPr>
            <w:r>
              <w:rPr/>
              <w:t>响应函</w:t>
            </w:r>
          </w:p>
        </w:tc>
      </w:tr>
      <w:tr>
        <w:tc>
          <w:tcPr>
            <w:tcW w:type="dxa" w:w="831"/>
          </w:tcPr>
          <w:p>
            <w:pPr>
              <w:pStyle w:val="null3"/>
            </w:pPr>
            <w:r>
              <w:rPr/>
              <w:t>11</w:t>
            </w:r>
          </w:p>
        </w:tc>
        <w:tc>
          <w:tcPr>
            <w:tcW w:type="dxa" w:w="2492"/>
          </w:tcPr>
          <w:p>
            <w:pPr>
              <w:pStyle w:val="null3"/>
            </w:pPr>
            <w:r>
              <w:rPr/>
              <w:t>付款条件</w:t>
            </w:r>
          </w:p>
        </w:tc>
        <w:tc>
          <w:tcPr>
            <w:tcW w:type="dxa" w:w="3322"/>
          </w:tcPr>
          <w:p>
            <w:pPr>
              <w:pStyle w:val="null3"/>
            </w:pPr>
            <w:r>
              <w:rPr/>
              <w:t>应满足磋商文件的要求</w:t>
            </w:r>
          </w:p>
        </w:tc>
        <w:tc>
          <w:tcPr>
            <w:tcW w:type="dxa" w:w="1661"/>
          </w:tcPr>
          <w:p>
            <w:pPr>
              <w:pStyle w:val="null3"/>
            </w:pPr>
            <w:r>
              <w:rPr/>
              <w:t>技术服务合同条款及其他商务要求应答表 响应函</w:t>
            </w:r>
          </w:p>
        </w:tc>
      </w:tr>
      <w:tr>
        <w:tc>
          <w:tcPr>
            <w:tcW w:type="dxa" w:w="831"/>
          </w:tcPr>
          <w:p>
            <w:pPr>
              <w:pStyle w:val="null3"/>
            </w:pPr>
            <w:r>
              <w:rPr/>
              <w:t>12</w:t>
            </w:r>
          </w:p>
        </w:tc>
        <w:tc>
          <w:tcPr>
            <w:tcW w:type="dxa" w:w="2492"/>
          </w:tcPr>
          <w:p>
            <w:pPr>
              <w:pStyle w:val="null3"/>
            </w:pPr>
            <w:r>
              <w:rPr/>
              <w:t>工程量</w:t>
            </w:r>
          </w:p>
        </w:tc>
        <w:tc>
          <w:tcPr>
            <w:tcW w:type="dxa" w:w="3322"/>
          </w:tcPr>
          <w:p>
            <w:pPr>
              <w:pStyle w:val="null3"/>
            </w:pPr>
            <w:r>
              <w:rPr/>
              <w:t>应符合磋商文件给出的范围和数量</w:t>
            </w:r>
          </w:p>
        </w:tc>
        <w:tc>
          <w:tcPr>
            <w:tcW w:type="dxa" w:w="1661"/>
          </w:tcPr>
          <w:p>
            <w:pPr>
              <w:pStyle w:val="null3"/>
            </w:pPr>
            <w:r>
              <w:rPr/>
              <w:t>已标价工程量清单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施工组织和项目管理机构</w:t>
            </w:r>
          </w:p>
        </w:tc>
        <w:tc>
          <w:tcPr>
            <w:tcW w:type="dxa" w:w="2492"/>
          </w:tcPr>
          <w:p>
            <w:pPr>
              <w:pStyle w:val="null3"/>
            </w:pPr>
            <w:r>
              <w:rPr/>
              <w:t>一、评审内容 针对本项目内容提出适用于本项目的施工组织和项目管理机构，方案包括：①施工组织方案；②项目管理机构组织方案。 二、评审标准 1、完整性：方案必须全面，对评审内容中的各项要求有详细描述； 2、针对性：方案能够紧扣项目实际情况，内容科学合理； 3、可实施性：切合本项目实际情况，提出步骤清晰、合理的方案。 二、赋分标准（满分6分） ①施工组织：每完全满足一个评审标准得1分；针对评审标准存在有不合理处的得0.5分；内容与本项目无关或未提供的得0分。 ②项目管理机构:每完全满足一个评审标准得1分；针对评审标准存在有不合理处的得0.5分；内容与本项目无关或未提供的得0分。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施工方案</w:t>
            </w:r>
          </w:p>
        </w:tc>
        <w:tc>
          <w:tcPr>
            <w:tcW w:type="dxa" w:w="2492"/>
          </w:tcPr>
          <w:p>
            <w:pPr>
              <w:pStyle w:val="null3"/>
            </w:pPr>
            <w:r>
              <w:rPr/>
              <w:t>一、评审内容 针对本项目内容提出适用于本项目的施工方案，方案包括：①水泥杆及光缆拆除方案；②水泥杆及光缆安装方案；③施工场地管理方案；④场地与人员管理方案。 二、评审标准 1、完整性：方案必须全面，对评审内容中的各项要求有详细描述； 2、针对性：方案能够紧扣项目实际情况，内容科学合理； 3、可实施性：切合本项目实际情况，提出步骤清晰、合理的方案。 三、赋分标准（满分12分） ①水泥杆及光缆拆除方案：每完全满足一个评审标准得1分；针对评审标准存在有不合理处的得0.5分；内容与本项目无关或未提供的得0分。 ②水泥杆及光缆安装方案：每完全满足一个评审标准得1分；针对评审标准存在有不合理处的得0.5分；内容与本项目无关或未提供的得0分。 ③施工场地管理方案：每完全满足一个评审标准得1分；针对评审标准存在有不合理处的得0.5分；内容与本项目无关或未提供的得0分。 ④场地与人员管理方案：每完全满足一个评审标准得1分；针对评审标准存在有不合理处的得0.5分；内容与本项目无关或未提供的得0分。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一、评审内容 针对本项目内容提出适用于本项目的投入本项目施工机械配备和材料投入计划，包括①施工机械配备方案；②材料投入计划。 二、评审标准 1、完整性：方案必须全面，对评审内容中的各项要求有详细描述； 2、针对性：方案能够紧扣项目实际情况，内容科学合理； 3、可实施性：切合本项目实际情况，提出步骤清晰、合理的方案。 三、赋分标准（满分6分） ①施工机械配备方案：每完全满足一个评审标准得1分；针对评审标准存在有不合理处的得0.5分；内容与本项目无关或未提供的得0分。 ②材料投入计划：每完全满足一个评审标准得1分；针对评审标准存在有不合理处的得0.5分；内容与本项目无关或未提供的得0分。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劳动力安排计划方案</w:t>
            </w:r>
          </w:p>
        </w:tc>
        <w:tc>
          <w:tcPr>
            <w:tcW w:type="dxa" w:w="2492"/>
          </w:tcPr>
          <w:p>
            <w:pPr>
              <w:pStyle w:val="null3"/>
            </w:pPr>
            <w:r>
              <w:rPr/>
              <w:t>一、评审内容 针对本项目内容提出适用于本项目的劳动力安排计划方案。 二、评审标准 1、完整性：方案必须全面，对评审内容中的各项要求有详细描述； 2、针对性：方案能够紧扣项目实际情况，内容科学合理； 3、可实施性：切合本项目实际情况，提出步骤清晰、合理的方案。 三、赋分标准（满分3分） 劳动力安排计划方案：每完全满足一个评审标准得1分；针对评审标准存在有不合理处的得0.5分；内容与本项目无关或未提供的得0分。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一、评审内容 针对本项目内容提出适用于本项目的确保工程质量的技术组织措施。 二、评审标准 1、完整性：方案必须全面，对评审内容中的各项要求有详细描述； 2、针对性：方案能够紧扣项目实际情况，内容科学合理； 3、可实施性：切合本项目实际情况，提出步骤清晰、合理的方案。 三、赋分标准（满分3分） 确保工程质量的技术组织措施：每完全满足一个评审标准得1分；针对评审标准存在有不合理处的得0.5分；内容与本项目无关或未提供的得0分。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确保安全生产技术组织措施</w:t>
            </w:r>
          </w:p>
        </w:tc>
        <w:tc>
          <w:tcPr>
            <w:tcW w:type="dxa" w:w="2492"/>
          </w:tcPr>
          <w:p>
            <w:pPr>
              <w:pStyle w:val="null3"/>
            </w:pPr>
            <w:r>
              <w:rPr/>
              <w:t>一、评审内容 针对本项目内容提出适用于本项目的确保安全生产技术组织措施，包括①施工人员安全培训措施；②设施安全检查措施。 二、评审标准 1、完整性：方案必须全面，对评审内容中的各项要求有详细描述； 2、针对性：方案能够紧扣项目实际情况，内容科学合理； 3、可实施性：切合本项目实际情况，提出步骤清晰、合理的方案。 三、赋分标准（满分6分） ①施工人员安全培训措施：每完全满足一个评审标准得1分；针对评审标准存在有不合理处的得0.5分；内容与本项目无关或未提供的得0分。 ②设施安全检查措施：每完全满足一个评审标准得1分；针对评审标准存在有不合理处的得0.5分；内容与本项目无关或未提供的得0分。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一、评审内容 针对本项目内容提出适用于本项目的确保文明施工的技术组织措施。 二、评审标准 1、完整性：方案必须全面，对评审内容中的各项要求有详细描述； 2、针对性：方案能够紧扣项目实际情况，内容科学合理； 3、可实施性：切合本项目实际情况，提出步骤清晰、合理的方案。 三、赋分标准（满分3分） 确保文明施工的技术组织措施：每完全满足一个评审标准得1分；针对评审标准存在有不合理处的得0.5分；内容与本项目无关或未提供的得0分。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确保环境保护的组织措施</w:t>
            </w:r>
          </w:p>
        </w:tc>
        <w:tc>
          <w:tcPr>
            <w:tcW w:type="dxa" w:w="2492"/>
          </w:tcPr>
          <w:p>
            <w:pPr>
              <w:pStyle w:val="null3"/>
            </w:pPr>
            <w:r>
              <w:rPr/>
              <w:t>一、评审内容 针对本项目内容提出适用于本项目的确保环境保护的组织措施，包括①治污减霾措施；②施工周围及施工场地的环境保护措施。 二、评审标准 1、完整性：方案必须全面，对评审内容中的各项要求有详细描述； 2、针对性：方案能够紧扣项目实际情况，内容科学合理； 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②施工周围及施工场地的环境保护措施：每完全满足一个评审标准得1分；针对评审标准存在有不合理处的得0.5分；内容与本项目无关或未提供的得0分。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确保工期的技术组织措施</w:t>
            </w:r>
          </w:p>
        </w:tc>
        <w:tc>
          <w:tcPr>
            <w:tcW w:type="dxa" w:w="2492"/>
          </w:tcPr>
          <w:p>
            <w:pPr>
              <w:pStyle w:val="null3"/>
            </w:pPr>
            <w:r>
              <w:rPr/>
              <w:t>一、评审内容 针对本项目内容提出适用于本项目的确保工期的技术组织措施。 二、评审标准 1、完整性：方案必须全面，对评审内容中的各项要求有详细描述 2、针对性：方案能够紧扣项目实际情况，内容科学合理； 3、可实施性：切合本项目实际情况，提出步骤清晰、合理的方案。 三、赋分标准（满分3分） 确保工期的技术组织措施：每完全满足一个评审标准得1分；针对评审标准存在有不合理处的得0.5分；内容与本项目无关或未提供的得0分。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应急预案</w:t>
            </w:r>
          </w:p>
        </w:tc>
        <w:tc>
          <w:tcPr>
            <w:tcW w:type="dxa" w:w="2492"/>
          </w:tcPr>
          <w:p>
            <w:pPr>
              <w:pStyle w:val="null3"/>
            </w:pPr>
            <w:r>
              <w:rPr/>
              <w:t>一、评审内容 针对本项目内容提出适用于本项目的应急预案，包括①人员安全等事故应急方案；②突发暴雨等特殊天气的应急方案。 二、评审标准 1、完整性：方案必须全面，对评审内容中的各项要求有详细描述； 2、针对性：方案能够紧扣项目实际情况，内容科学合理； 3、可实施性：切合本项目实际情况，提出步骤清晰、合理的方案。 三、赋分标准（满分6分） ①人员安全等事故应急方案：每完全满足一个评审标准得1分；针对评审标准存在有不合理处的得0.5分；内容与本项目无关或未提供的得0分。 ②突发暴雨等特殊天气的应急方案：每完全满足一个评审标准得1分；针对评审标准存在有不合理处的得0.5分；内容与本项目无关或未提供的得0分。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技术文件</w:t>
            </w:r>
          </w:p>
        </w:tc>
      </w:tr>
      <w:tr>
        <w:tc>
          <w:tcPr>
            <w:tcW w:type="dxa" w:w="831"/>
            <w:vMerge/>
          </w:tcPr>
          <w:p/>
        </w:tc>
        <w:tc>
          <w:tcPr>
            <w:tcW w:type="dxa" w:w="1661"/>
          </w:tcPr>
          <w:p>
            <w:pPr>
              <w:pStyle w:val="null3"/>
            </w:pPr>
            <w:r>
              <w:rPr/>
              <w:t>业绩</w:t>
            </w:r>
          </w:p>
        </w:tc>
        <w:tc>
          <w:tcPr>
            <w:tcW w:type="dxa" w:w="2492"/>
          </w:tcPr>
          <w:p>
            <w:pPr>
              <w:pStyle w:val="null3"/>
            </w:pPr>
            <w:r>
              <w:rPr/>
              <w:t>供应商提供近三年（2021年1月1日至今）类似项目业绩，业绩以合同为依据，响应文件中附有其证明资料，每提供一个业绩证明计1分，满分3分。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技术文件</w:t>
            </w:r>
          </w:p>
          <w:p>
            <w:pPr>
              <w:pStyle w:val="null3"/>
            </w:pPr>
            <w:r>
              <w:rPr/>
              <w:t>供应商类似项目业绩一览表</w:t>
            </w:r>
          </w:p>
        </w:tc>
      </w:tr>
      <w:tr>
        <w:tc>
          <w:tcPr>
            <w:tcW w:type="dxa" w:w="831"/>
            <w:vMerge/>
          </w:tcPr>
          <w:p/>
        </w:tc>
        <w:tc>
          <w:tcPr>
            <w:tcW w:type="dxa" w:w="1661"/>
          </w:tcPr>
          <w:p>
            <w:pPr>
              <w:pStyle w:val="null3"/>
            </w:pPr>
            <w:r>
              <w:rPr/>
              <w:t>节能环保产品</w:t>
            </w:r>
          </w:p>
        </w:tc>
        <w:tc>
          <w:tcPr>
            <w:tcW w:type="dxa" w:w="2492"/>
          </w:tcPr>
          <w:p>
            <w:pPr>
              <w:pStyle w:val="null3"/>
            </w:pPr>
            <w:r>
              <w:rPr/>
              <w:t>施工主要材料为节能产品或环境标志产品的，每种产品得0.5分，最高得1分，没有不得分；节能产品与环境标志产品可同时得分（供应商需提供所需主要原材料与设备经国家确定的认证机构出具的、处于有效期之内的节能产品、环境标志产品认证证书复印件。）</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技术文件</w:t>
            </w:r>
          </w:p>
        </w:tc>
      </w:tr>
      <w:tr>
        <w:tc>
          <w:tcPr>
            <w:tcW w:type="dxa" w:w="831"/>
            <w:vMerge/>
          </w:tcPr>
          <w:p/>
        </w:tc>
        <w:tc>
          <w:tcPr>
            <w:tcW w:type="dxa" w:w="1661"/>
          </w:tcPr>
          <w:p>
            <w:pPr>
              <w:pStyle w:val="null3"/>
            </w:pPr>
            <w:r>
              <w:rPr/>
              <w:t>承诺</w:t>
            </w:r>
          </w:p>
        </w:tc>
        <w:tc>
          <w:tcPr>
            <w:tcW w:type="dxa" w:w="2492"/>
          </w:tcPr>
          <w:p>
            <w:pPr>
              <w:pStyle w:val="null3"/>
            </w:pPr>
            <w:r>
              <w:rPr/>
              <w:t>一、评审内容 针对本项目内容提出适用于本项目的相关承诺，包括：①对实施过程中与采购人的沟通、协调等内容做出承诺；②供应商对施工过程产生的垃圾按规定倾倒、不随意抛洒等内容做出承诺；③供应商对工期时限、工程质量及进度等内容作出承诺；④施工过程中对施工人员安全及周边人员安全等安全保障的承诺。 二、评审标准 1、完整性：方案必须全面，对评审内容中的各项要求有详细描述； 2、针对性：方案能够紧扣项目实际情况，内容科学合理； 3、可实施性：切合本项目实际情况，提出步骤清晰、合理的方案。 三、赋分标准（满分12分） ①对实施过程中与采购人的沟通、协调等内容做出承诺：每完全满足一个评审标准得1分；针对评审标准存在有不合理处的得0.5分；内容与本项目无关或未提供的得0分。 ②供应商对施工过程产生的垃圾按规定倾倒、不随意抛洒等内容做出承诺：每完全满足一个评审标准得1分；针对评审标准存在有不合理处的得0.5分；内容与本项目无关或未提供的得0分。 ③供应商对工期时限、工程质量及进度等内容作出承诺：每完全满足一个评审标准得1分；针对评审标准存在有不合理处的得0.5分；内容与本项目无关或未提供的得0分。 ④施工过程中对施工人员安全及周边人员安全等安全保障的承诺：每完全满足一个评审标准得1分；针对评审标准存在有不合理处的得0.5分；内容内容与本项目无关或未提供的得0分。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满足磋商文件要求且最后报价最低的供应商的价格为磋商基准价，其价格分为满分。其他供应商的价格分统一按照下列公式计算：磋商报价得分=（磋商基准价/磋商评审价）×30%×100。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详见附件：标的清单</w:t>
      </w:r>
    </w:p>
    <w:p>
      <w:pPr>
        <w:pStyle w:val="null3"/>
        <w:ind w:firstLine="960"/>
      </w:pPr>
      <w:r>
        <w:rPr/>
        <w:t>详见附件：法定代表人身份证明及授权委托书</w:t>
      </w:r>
    </w:p>
    <w:p>
      <w:pPr>
        <w:pStyle w:val="null3"/>
        <w:ind w:firstLine="960"/>
      </w:pPr>
      <w:r>
        <w:rPr/>
        <w:t>详见附件：技术文件</w:t>
      </w:r>
    </w:p>
    <w:p>
      <w:pPr>
        <w:pStyle w:val="null3"/>
        <w:ind w:firstLine="960"/>
      </w:pPr>
      <w:r>
        <w:rPr/>
        <w:t>详见附件：供应商应提供的资格证明材料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