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058CE">
      <w:pPr>
        <w:rPr>
          <w:b/>
          <w:sz w:val="24"/>
          <w:szCs w:val="24"/>
          <w:highlight w:val="none"/>
        </w:rPr>
      </w:pPr>
      <w:r>
        <w:rPr>
          <w:b/>
          <w:sz w:val="24"/>
          <w:szCs w:val="24"/>
          <w:highlight w:val="none"/>
        </w:rPr>
        <w:t>采购项目编号：</w:t>
      </w:r>
      <w:r>
        <w:rPr>
          <w:rFonts w:hint="eastAsia"/>
          <w:b/>
          <w:sz w:val="24"/>
          <w:szCs w:val="24"/>
          <w:highlight w:val="none"/>
          <w:lang w:val="en-US" w:eastAsia="zh-CN"/>
        </w:rPr>
        <w:t>ZD0724-005G</w:t>
      </w:r>
    </w:p>
    <w:p w14:paraId="26F266A1">
      <w:pPr>
        <w:pStyle w:val="16"/>
        <w:rPr>
          <w:b/>
          <w:sz w:val="28"/>
          <w:highlight w:val="none"/>
        </w:rPr>
      </w:pPr>
    </w:p>
    <w:p w14:paraId="0DA27385">
      <w:pPr>
        <w:pStyle w:val="16"/>
        <w:rPr>
          <w:b/>
          <w:sz w:val="28"/>
          <w:highlight w:val="none"/>
        </w:rPr>
      </w:pPr>
    </w:p>
    <w:p w14:paraId="717B5C17">
      <w:pPr>
        <w:pStyle w:val="16"/>
        <w:spacing w:before="8"/>
        <w:rPr>
          <w:b/>
          <w:sz w:val="36"/>
          <w:highlight w:val="none"/>
        </w:rPr>
      </w:pPr>
    </w:p>
    <w:p w14:paraId="0DD5851C">
      <w:pPr>
        <w:pStyle w:val="20"/>
        <w:adjustRightInd w:val="0"/>
        <w:snapToGrid w:val="0"/>
        <w:spacing w:line="360" w:lineRule="auto"/>
        <w:jc w:val="center"/>
        <w:rPr>
          <w:rFonts w:hint="eastAsia" w:ascii="方正小标宋简体" w:hAnsi="宋体" w:eastAsia="方正小标宋简体" w:cs="Times New Roman"/>
          <w:b/>
          <w:bCs/>
          <w:color w:val="000000"/>
          <w:sz w:val="44"/>
          <w:szCs w:val="44"/>
          <w:highlight w:val="none"/>
          <w:lang w:eastAsia="zh-CN"/>
        </w:rPr>
      </w:pPr>
      <w:bookmarkStart w:id="0" w:name="西安市公安局警察训练支队公寓楼和训练馆"/>
      <w:bookmarkEnd w:id="0"/>
      <w:r>
        <w:rPr>
          <w:rFonts w:hint="eastAsia" w:ascii="方正小标宋简体" w:hAnsi="宋体" w:eastAsia="方正小标宋简体" w:cs="Times New Roman"/>
          <w:b/>
          <w:bCs/>
          <w:color w:val="000000"/>
          <w:sz w:val="44"/>
          <w:szCs w:val="44"/>
          <w:highlight w:val="none"/>
          <w:lang w:eastAsia="zh-CN"/>
        </w:rPr>
        <w:t>秦渡街道西南郊水厂二期一阶段项目</w:t>
      </w:r>
    </w:p>
    <w:p w14:paraId="41C31B0E">
      <w:pPr>
        <w:pStyle w:val="20"/>
        <w:adjustRightInd w:val="0"/>
        <w:snapToGrid w:val="0"/>
        <w:spacing w:line="360" w:lineRule="auto"/>
        <w:jc w:val="center"/>
        <w:rPr>
          <w:rFonts w:hint="eastAsia" w:ascii="方正小标宋简体" w:hAnsi="宋体" w:eastAsia="方正小标宋简体" w:cs="Times New Roman"/>
          <w:b/>
          <w:bCs/>
          <w:color w:val="000000"/>
          <w:sz w:val="44"/>
          <w:szCs w:val="44"/>
          <w:highlight w:val="none"/>
          <w:lang w:eastAsia="zh-CN"/>
        </w:rPr>
      </w:pPr>
      <w:r>
        <w:rPr>
          <w:rFonts w:hint="eastAsia" w:ascii="方正小标宋简体" w:hAnsi="宋体" w:eastAsia="方正小标宋简体" w:cs="Times New Roman"/>
          <w:b/>
          <w:bCs/>
          <w:color w:val="000000"/>
          <w:sz w:val="44"/>
          <w:szCs w:val="44"/>
          <w:highlight w:val="none"/>
          <w:lang w:eastAsia="zh-CN"/>
        </w:rPr>
        <w:t>清表及垃圾清运工程</w:t>
      </w:r>
    </w:p>
    <w:p w14:paraId="487C3489">
      <w:pPr>
        <w:pStyle w:val="16"/>
        <w:spacing w:before="10"/>
        <w:rPr>
          <w:b/>
          <w:sz w:val="47"/>
          <w:highlight w:val="none"/>
        </w:rPr>
      </w:pPr>
    </w:p>
    <w:p w14:paraId="38318348">
      <w:pPr>
        <w:pStyle w:val="16"/>
        <w:spacing w:before="10"/>
        <w:rPr>
          <w:b/>
          <w:sz w:val="47"/>
          <w:highlight w:val="none"/>
        </w:rPr>
      </w:pPr>
    </w:p>
    <w:p w14:paraId="027F6154">
      <w:pPr>
        <w:pStyle w:val="16"/>
        <w:spacing w:before="10"/>
        <w:rPr>
          <w:b/>
          <w:sz w:val="47"/>
          <w:highlight w:val="none"/>
        </w:rPr>
      </w:pPr>
    </w:p>
    <w:p w14:paraId="66482A06">
      <w:pPr>
        <w:ind w:left="955" w:right="1577"/>
        <w:jc w:val="center"/>
        <w:rPr>
          <w:b/>
          <w:sz w:val="90"/>
          <w:highlight w:val="none"/>
        </w:rPr>
      </w:pPr>
      <w:r>
        <w:rPr>
          <w:b/>
          <w:spacing w:val="-2"/>
          <w:sz w:val="90"/>
          <w:highlight w:val="none"/>
        </w:rPr>
        <w:t>招 标 文 件</w:t>
      </w:r>
    </w:p>
    <w:p w14:paraId="152B86A6">
      <w:pPr>
        <w:pStyle w:val="16"/>
        <w:rPr>
          <w:b/>
          <w:sz w:val="20"/>
          <w:highlight w:val="none"/>
        </w:rPr>
      </w:pPr>
    </w:p>
    <w:p w14:paraId="2BBBEB57">
      <w:pPr>
        <w:pStyle w:val="16"/>
        <w:rPr>
          <w:b/>
          <w:sz w:val="20"/>
          <w:highlight w:val="none"/>
        </w:rPr>
      </w:pPr>
    </w:p>
    <w:p w14:paraId="340CFC4F">
      <w:pPr>
        <w:pStyle w:val="16"/>
        <w:spacing w:before="1"/>
        <w:rPr>
          <w:b/>
          <w:sz w:val="14"/>
          <w:highlight w:val="none"/>
        </w:rPr>
      </w:pPr>
    </w:p>
    <w:p w14:paraId="5B324BDC">
      <w:pPr>
        <w:pStyle w:val="16"/>
        <w:spacing w:before="1"/>
        <w:rPr>
          <w:b/>
          <w:sz w:val="14"/>
          <w:highlight w:val="none"/>
        </w:rPr>
      </w:pPr>
    </w:p>
    <w:p w14:paraId="3D4F4FE0">
      <w:pPr>
        <w:pStyle w:val="16"/>
        <w:spacing w:before="1"/>
        <w:rPr>
          <w:b/>
          <w:sz w:val="14"/>
          <w:highlight w:val="none"/>
        </w:rPr>
      </w:pPr>
    </w:p>
    <w:p w14:paraId="1A759E90">
      <w:pPr>
        <w:pStyle w:val="16"/>
        <w:spacing w:before="1"/>
        <w:rPr>
          <w:b/>
          <w:sz w:val="14"/>
          <w:highlight w:val="none"/>
        </w:rPr>
      </w:pPr>
    </w:p>
    <w:p w14:paraId="679F1B39">
      <w:pPr>
        <w:pStyle w:val="16"/>
        <w:spacing w:before="1"/>
        <w:rPr>
          <w:b/>
          <w:sz w:val="14"/>
          <w:highlight w:val="none"/>
        </w:rPr>
      </w:pPr>
    </w:p>
    <w:p w14:paraId="01113766">
      <w:pPr>
        <w:pStyle w:val="16"/>
        <w:spacing w:before="1"/>
        <w:rPr>
          <w:b/>
          <w:sz w:val="14"/>
          <w:highlight w:val="none"/>
        </w:rPr>
      </w:pPr>
    </w:p>
    <w:p w14:paraId="0D9C4C7E">
      <w:pPr>
        <w:pStyle w:val="16"/>
        <w:spacing w:before="1"/>
        <w:rPr>
          <w:b/>
          <w:sz w:val="14"/>
          <w:highlight w:val="none"/>
        </w:rPr>
      </w:pPr>
    </w:p>
    <w:p w14:paraId="1D7EBD1C">
      <w:pPr>
        <w:pStyle w:val="16"/>
        <w:spacing w:before="1"/>
        <w:rPr>
          <w:b/>
          <w:sz w:val="14"/>
          <w:highlight w:val="none"/>
        </w:rPr>
      </w:pPr>
    </w:p>
    <w:p w14:paraId="3684858F">
      <w:pPr>
        <w:pStyle w:val="16"/>
        <w:spacing w:before="1"/>
        <w:rPr>
          <w:b/>
          <w:sz w:val="14"/>
          <w:highlight w:val="none"/>
        </w:rPr>
      </w:pPr>
    </w:p>
    <w:p w14:paraId="08C16DB1">
      <w:pPr>
        <w:pStyle w:val="16"/>
        <w:spacing w:before="1"/>
        <w:rPr>
          <w:b/>
          <w:sz w:val="14"/>
          <w:highlight w:val="none"/>
        </w:rPr>
      </w:pPr>
    </w:p>
    <w:p w14:paraId="0BE49D45">
      <w:pPr>
        <w:pStyle w:val="16"/>
        <w:spacing w:before="1"/>
        <w:rPr>
          <w:b/>
          <w:sz w:val="14"/>
          <w:highlight w:val="none"/>
        </w:rPr>
      </w:pPr>
    </w:p>
    <w:p w14:paraId="4BCEF339">
      <w:pPr>
        <w:pStyle w:val="16"/>
        <w:spacing w:before="1"/>
        <w:rPr>
          <w:b/>
          <w:sz w:val="14"/>
          <w:highlight w:val="none"/>
        </w:rPr>
      </w:pPr>
    </w:p>
    <w:p w14:paraId="2088C637">
      <w:pPr>
        <w:pStyle w:val="16"/>
        <w:spacing w:before="1"/>
        <w:rPr>
          <w:b/>
          <w:sz w:val="14"/>
          <w:highlight w:val="none"/>
        </w:rPr>
      </w:pPr>
    </w:p>
    <w:p w14:paraId="778F72A5">
      <w:pPr>
        <w:pStyle w:val="16"/>
        <w:spacing w:before="1"/>
        <w:rPr>
          <w:b/>
          <w:sz w:val="14"/>
          <w:highlight w:val="none"/>
        </w:rPr>
      </w:pPr>
    </w:p>
    <w:p w14:paraId="348FAE66">
      <w:pPr>
        <w:pStyle w:val="16"/>
        <w:spacing w:before="1"/>
        <w:rPr>
          <w:b/>
          <w:sz w:val="14"/>
          <w:highlight w:val="none"/>
        </w:rPr>
      </w:pPr>
    </w:p>
    <w:p w14:paraId="2E8EE9B1">
      <w:pPr>
        <w:pStyle w:val="16"/>
        <w:spacing w:before="1"/>
        <w:rPr>
          <w:b/>
          <w:sz w:val="14"/>
          <w:highlight w:val="none"/>
        </w:rPr>
      </w:pPr>
    </w:p>
    <w:p w14:paraId="75C67EB5">
      <w:pPr>
        <w:pStyle w:val="16"/>
        <w:spacing w:before="1"/>
        <w:rPr>
          <w:b/>
          <w:sz w:val="14"/>
          <w:highlight w:val="none"/>
        </w:rPr>
      </w:pPr>
    </w:p>
    <w:p w14:paraId="0097EB21">
      <w:pPr>
        <w:pStyle w:val="16"/>
        <w:spacing w:before="1"/>
        <w:rPr>
          <w:b/>
          <w:sz w:val="14"/>
          <w:highlight w:val="none"/>
        </w:rPr>
      </w:pPr>
    </w:p>
    <w:p w14:paraId="77B50A17">
      <w:pPr>
        <w:pStyle w:val="16"/>
        <w:spacing w:before="1"/>
        <w:rPr>
          <w:b/>
          <w:sz w:val="14"/>
          <w:highlight w:val="none"/>
        </w:rPr>
      </w:pPr>
    </w:p>
    <w:p w14:paraId="1CB3D595">
      <w:pPr>
        <w:pStyle w:val="16"/>
        <w:spacing w:before="1"/>
        <w:rPr>
          <w:b/>
          <w:sz w:val="14"/>
          <w:highlight w:val="none"/>
        </w:rPr>
      </w:pPr>
    </w:p>
    <w:p w14:paraId="3A60577A">
      <w:pPr>
        <w:pStyle w:val="16"/>
        <w:spacing w:before="1"/>
        <w:rPr>
          <w:b/>
          <w:sz w:val="14"/>
          <w:highlight w:val="none"/>
        </w:rPr>
      </w:pPr>
    </w:p>
    <w:p w14:paraId="3FF5F47E">
      <w:pPr>
        <w:pStyle w:val="16"/>
        <w:spacing w:before="1"/>
        <w:rPr>
          <w:b/>
          <w:sz w:val="14"/>
          <w:highlight w:val="none"/>
        </w:rPr>
      </w:pPr>
    </w:p>
    <w:p w14:paraId="14F8B3D0">
      <w:pPr>
        <w:pStyle w:val="16"/>
        <w:spacing w:before="1"/>
        <w:rPr>
          <w:b/>
          <w:sz w:val="14"/>
          <w:highlight w:val="none"/>
        </w:rPr>
      </w:pPr>
    </w:p>
    <w:p w14:paraId="27F3079D">
      <w:pPr>
        <w:pStyle w:val="16"/>
        <w:spacing w:before="1"/>
        <w:rPr>
          <w:b/>
          <w:sz w:val="14"/>
          <w:highlight w:val="none"/>
        </w:rPr>
      </w:pPr>
    </w:p>
    <w:p w14:paraId="1B9DE081">
      <w:pPr>
        <w:pStyle w:val="16"/>
        <w:spacing w:before="1"/>
        <w:rPr>
          <w:b/>
          <w:sz w:val="14"/>
          <w:highlight w:val="none"/>
        </w:rPr>
      </w:pPr>
    </w:p>
    <w:p w14:paraId="159346D7">
      <w:pPr>
        <w:pStyle w:val="20"/>
        <w:adjustRightInd w:val="0"/>
        <w:snapToGrid w:val="0"/>
        <w:spacing w:line="360" w:lineRule="auto"/>
        <w:ind w:firstLine="1940" w:firstLineChars="690"/>
        <w:rPr>
          <w:rFonts w:hAnsi="宋体" w:cs="宋体"/>
          <w:b/>
          <w:sz w:val="28"/>
          <w:szCs w:val="28"/>
          <w:highlight w:val="none"/>
        </w:rPr>
      </w:pPr>
      <w:r>
        <w:rPr>
          <w:rFonts w:hint="eastAsia" w:hAnsi="宋体" w:cs="宋体"/>
          <w:b/>
          <w:sz w:val="28"/>
          <w:szCs w:val="28"/>
          <w:highlight w:val="none"/>
        </w:rPr>
        <w:t>采   购   人：</w:t>
      </w:r>
      <w:r>
        <w:rPr>
          <w:rFonts w:hint="eastAsia" w:hAnsi="宋体" w:cs="宋体"/>
          <w:b/>
          <w:sz w:val="28"/>
          <w:szCs w:val="28"/>
          <w:highlight w:val="none"/>
          <w:lang w:eastAsia="zh-CN"/>
        </w:rPr>
        <w:t>西安市鄠邑区秦渡街道办事处</w:t>
      </w:r>
    </w:p>
    <w:p w14:paraId="16A88FE0">
      <w:pPr>
        <w:pStyle w:val="20"/>
        <w:adjustRightInd w:val="0"/>
        <w:snapToGrid w:val="0"/>
        <w:spacing w:line="360" w:lineRule="auto"/>
        <w:ind w:firstLine="1940" w:firstLineChars="690"/>
        <w:rPr>
          <w:rFonts w:hint="eastAsia" w:hAnsi="宋体" w:eastAsia="宋体" w:cs="宋体"/>
          <w:b/>
          <w:sz w:val="28"/>
          <w:szCs w:val="28"/>
          <w:highlight w:val="none"/>
          <w:lang w:eastAsia="zh-CN"/>
        </w:rPr>
      </w:pPr>
      <w:r>
        <w:rPr>
          <w:rFonts w:hint="eastAsia" w:hAnsi="宋体" w:cs="宋体"/>
          <w:b/>
          <w:sz w:val="28"/>
          <w:szCs w:val="28"/>
          <w:highlight w:val="none"/>
          <w:lang w:eastAsia="zh-CN"/>
        </w:rPr>
        <w:t>招标代理机构</w:t>
      </w:r>
      <w:r>
        <w:rPr>
          <w:rFonts w:hint="eastAsia" w:hAnsi="宋体" w:cs="宋体"/>
          <w:b/>
          <w:sz w:val="28"/>
          <w:szCs w:val="28"/>
          <w:highlight w:val="none"/>
        </w:rPr>
        <w:t>:</w:t>
      </w:r>
      <w:r>
        <w:rPr>
          <w:rFonts w:hint="eastAsia" w:hAnsi="宋体" w:cs="宋体"/>
          <w:b/>
          <w:sz w:val="28"/>
          <w:szCs w:val="28"/>
          <w:highlight w:val="none"/>
          <w:lang w:eastAsia="zh-CN"/>
        </w:rPr>
        <w:t>正大方略工程咨询有限公司</w:t>
      </w:r>
    </w:p>
    <w:p w14:paraId="495F21C5">
      <w:pPr>
        <w:pStyle w:val="16"/>
        <w:spacing w:before="10"/>
        <w:rPr>
          <w:b/>
          <w:sz w:val="32"/>
          <w:highlight w:val="none"/>
        </w:rPr>
      </w:pPr>
    </w:p>
    <w:p w14:paraId="75FD9886">
      <w:pPr>
        <w:ind w:firstLine="3600" w:firstLineChars="1200"/>
        <w:rPr>
          <w:sz w:val="30"/>
          <w:szCs w:val="30"/>
          <w:highlight w:val="none"/>
        </w:rPr>
      </w:pPr>
      <w:r>
        <w:rPr>
          <w:sz w:val="30"/>
          <w:szCs w:val="30"/>
          <w:highlight w:val="none"/>
        </w:rPr>
        <w:t>二〇二</w:t>
      </w:r>
      <w:r>
        <w:rPr>
          <w:rFonts w:hint="eastAsia"/>
          <w:sz w:val="30"/>
          <w:szCs w:val="30"/>
          <w:highlight w:val="none"/>
          <w:lang w:val="en-US" w:eastAsia="zh-CN"/>
        </w:rPr>
        <w:t>四</w:t>
      </w:r>
      <w:r>
        <w:rPr>
          <w:sz w:val="30"/>
          <w:szCs w:val="30"/>
          <w:highlight w:val="none"/>
        </w:rPr>
        <w:t>年</w:t>
      </w:r>
      <w:r>
        <w:rPr>
          <w:rFonts w:hint="eastAsia"/>
          <w:sz w:val="30"/>
          <w:szCs w:val="30"/>
          <w:highlight w:val="none"/>
          <w:lang w:val="en-US" w:eastAsia="zh-CN"/>
        </w:rPr>
        <w:t>六</w:t>
      </w:r>
      <w:r>
        <w:rPr>
          <w:sz w:val="30"/>
          <w:szCs w:val="30"/>
          <w:highlight w:val="none"/>
        </w:rPr>
        <w:t>月</w:t>
      </w:r>
    </w:p>
    <w:p w14:paraId="5BFE82AB">
      <w:pPr>
        <w:jc w:val="center"/>
        <w:rPr>
          <w:highlight w:val="none"/>
        </w:rPr>
        <w:sectPr>
          <w:type w:val="continuous"/>
          <w:pgSz w:w="11910" w:h="16840"/>
          <w:pgMar w:top="1380" w:right="180" w:bottom="280" w:left="800" w:header="720" w:footer="720" w:gutter="0"/>
          <w:cols w:space="720" w:num="1"/>
        </w:sectPr>
      </w:pPr>
    </w:p>
    <w:p w14:paraId="039E40B1">
      <w:pPr>
        <w:spacing w:before="21"/>
        <w:ind w:left="931" w:right="1577"/>
        <w:jc w:val="center"/>
        <w:rPr>
          <w:rFonts w:ascii="楷体" w:eastAsia="楷体"/>
          <w:b/>
          <w:sz w:val="48"/>
          <w:highlight w:val="none"/>
        </w:rPr>
      </w:pPr>
      <w:r>
        <w:rPr>
          <w:rFonts w:hint="eastAsia" w:ascii="楷体" w:eastAsia="楷体"/>
          <w:b/>
          <w:sz w:val="48"/>
          <w:highlight w:val="none"/>
          <w:u w:val="double"/>
        </w:rPr>
        <w:t>特 别 提 示</w:t>
      </w:r>
    </w:p>
    <w:p w14:paraId="237BF0F5">
      <w:pPr>
        <w:pStyle w:val="16"/>
        <w:rPr>
          <w:rFonts w:ascii="楷体"/>
          <w:b/>
          <w:sz w:val="20"/>
          <w:highlight w:val="none"/>
        </w:rPr>
      </w:pPr>
    </w:p>
    <w:p w14:paraId="4C9687CC">
      <w:pPr>
        <w:pStyle w:val="16"/>
        <w:spacing w:before="9"/>
        <w:rPr>
          <w:rFonts w:ascii="楷体"/>
          <w:b/>
          <w:sz w:val="19"/>
          <w:highlight w:val="none"/>
        </w:rPr>
      </w:pPr>
    </w:p>
    <w:p w14:paraId="7110C7B5">
      <w:pPr>
        <w:pStyle w:val="16"/>
        <w:spacing w:before="67"/>
        <w:ind w:left="460"/>
        <w:rPr>
          <w:highlight w:val="none"/>
        </w:rPr>
      </w:pPr>
      <w:r>
        <w:rPr>
          <w:b/>
          <w:highlight w:val="none"/>
        </w:rPr>
        <w:t>各</w:t>
      </w:r>
      <w:r>
        <w:rPr>
          <w:rFonts w:hint="eastAsia"/>
          <w:b/>
          <w:highlight w:val="none"/>
          <w:lang w:eastAsia="zh-CN"/>
        </w:rPr>
        <w:t>投标人</w:t>
      </w:r>
      <w:r>
        <w:rPr>
          <w:highlight w:val="none"/>
        </w:rPr>
        <w:t>：在此我们特别善意地提醒您注意！</w:t>
      </w:r>
    </w:p>
    <w:p w14:paraId="3DAAA0BF">
      <w:pPr>
        <w:pStyle w:val="16"/>
        <w:spacing w:before="9"/>
        <w:rPr>
          <w:highlight w:val="none"/>
        </w:rPr>
      </w:pPr>
    </w:p>
    <w:p w14:paraId="491F5DC1">
      <w:pPr>
        <w:pStyle w:val="16"/>
        <w:ind w:left="940"/>
        <w:rPr>
          <w:highlight w:val="none"/>
        </w:rPr>
      </w:pPr>
      <w:r>
        <w:rPr>
          <w:highlight w:val="none"/>
        </w:rPr>
        <w:t>1、请您仔细地阅读招标文件并正确理解招标文件中各项具体要求。</w:t>
      </w:r>
    </w:p>
    <w:p w14:paraId="1AD3C2A5">
      <w:pPr>
        <w:pStyle w:val="16"/>
        <w:spacing w:before="9"/>
        <w:rPr>
          <w:highlight w:val="none"/>
        </w:rPr>
      </w:pPr>
    </w:p>
    <w:p w14:paraId="2929D821">
      <w:pPr>
        <w:pStyle w:val="16"/>
        <w:ind w:left="940"/>
        <w:rPr>
          <w:highlight w:val="none"/>
        </w:rPr>
      </w:pPr>
      <w:r>
        <w:rPr>
          <w:highlight w:val="none"/>
        </w:rPr>
        <w:t>2、请您严格按照招标文件载明的投标文件格式要求编制投标文件。</w:t>
      </w:r>
    </w:p>
    <w:p w14:paraId="7F8450C8">
      <w:pPr>
        <w:pStyle w:val="16"/>
        <w:spacing w:before="9"/>
        <w:rPr>
          <w:highlight w:val="none"/>
        </w:rPr>
      </w:pPr>
    </w:p>
    <w:p w14:paraId="564F1737">
      <w:pPr>
        <w:pStyle w:val="16"/>
        <w:spacing w:line="487" w:lineRule="auto"/>
        <w:ind w:left="460" w:right="1105" w:firstLine="480"/>
        <w:jc w:val="both"/>
        <w:rPr>
          <w:highlight w:val="none"/>
        </w:rPr>
      </w:pPr>
      <w:r>
        <w:rPr>
          <w:highlight w:val="none"/>
        </w:rPr>
        <w:t>3</w:t>
      </w:r>
      <w:r>
        <w:rPr>
          <w:spacing w:val="-12"/>
          <w:highlight w:val="none"/>
        </w:rPr>
        <w:t>、根据西安市财政局《关于促进政府采购公平竞争优化营商环境的通知》要求。</w:t>
      </w:r>
      <w:r>
        <w:rPr>
          <w:rFonts w:hint="eastAsia"/>
          <w:spacing w:val="-12"/>
          <w:highlight w:val="none"/>
          <w:lang w:eastAsia="zh-CN"/>
        </w:rPr>
        <w:t>投标人</w:t>
      </w:r>
      <w:r>
        <w:rPr>
          <w:highlight w:val="none"/>
        </w:rPr>
        <w:t>若不参与项目投标，应在递交响应文件截止前一日以书面形式（签字盖章</w:t>
      </w:r>
      <w:r>
        <w:rPr>
          <w:spacing w:val="-13"/>
          <w:highlight w:val="none"/>
        </w:rPr>
        <w:t xml:space="preserve">后发送邮箱 </w:t>
      </w:r>
      <w:r>
        <w:rPr>
          <w:rFonts w:hint="eastAsia"/>
          <w:highlight w:val="none"/>
        </w:rPr>
        <w:t>zdfl321@163.com</w:t>
      </w:r>
      <w:r>
        <w:rPr>
          <w:highlight w:val="none"/>
        </w:rPr>
        <w:t>）</w:t>
      </w:r>
      <w:r>
        <w:rPr>
          <w:spacing w:val="-6"/>
          <w:highlight w:val="none"/>
        </w:rPr>
        <w:t>告知</w:t>
      </w:r>
      <w:r>
        <w:rPr>
          <w:rFonts w:hint="eastAsia"/>
          <w:spacing w:val="-6"/>
          <w:highlight w:val="none"/>
          <w:lang w:eastAsia="zh-CN"/>
        </w:rPr>
        <w:t>招标代理机构</w:t>
      </w:r>
      <w:r>
        <w:rPr>
          <w:spacing w:val="-6"/>
          <w:highlight w:val="none"/>
        </w:rPr>
        <w:t>。否则，</w:t>
      </w:r>
      <w:r>
        <w:rPr>
          <w:rFonts w:hint="eastAsia"/>
          <w:spacing w:val="-6"/>
          <w:highlight w:val="none"/>
          <w:lang w:eastAsia="zh-CN"/>
        </w:rPr>
        <w:t>招标代理机构</w:t>
      </w:r>
      <w:r>
        <w:rPr>
          <w:spacing w:val="-6"/>
          <w:highlight w:val="none"/>
        </w:rPr>
        <w:t>可以向财政部门</w:t>
      </w:r>
      <w:r>
        <w:rPr>
          <w:spacing w:val="-1"/>
          <w:highlight w:val="none"/>
        </w:rPr>
        <w:t>反映情况并提供相应的佐证。</w:t>
      </w:r>
      <w:r>
        <w:rPr>
          <w:rFonts w:hint="eastAsia"/>
          <w:spacing w:val="-1"/>
          <w:highlight w:val="none"/>
          <w:lang w:eastAsia="zh-CN"/>
        </w:rPr>
        <w:t>投标人</w:t>
      </w:r>
      <w:r>
        <w:rPr>
          <w:spacing w:val="-1"/>
          <w:highlight w:val="none"/>
        </w:rPr>
        <w:t>一年内出现累计三次该情形，将被监管部门记录为失</w:t>
      </w:r>
      <w:r>
        <w:rPr>
          <w:highlight w:val="none"/>
        </w:rPr>
        <w:t>信行为。</w:t>
      </w:r>
    </w:p>
    <w:p w14:paraId="08EAB1FE">
      <w:pPr>
        <w:spacing w:line="306" w:lineRule="exact"/>
        <w:ind w:left="940"/>
        <w:rPr>
          <w:sz w:val="24"/>
          <w:highlight w:val="none"/>
        </w:rPr>
      </w:pPr>
      <w:r>
        <w:rPr>
          <w:sz w:val="24"/>
          <w:highlight w:val="none"/>
        </w:rPr>
        <w:t xml:space="preserve">4、请您于 </w:t>
      </w:r>
      <w:r>
        <w:rPr>
          <w:b/>
          <w:sz w:val="24"/>
          <w:highlight w:val="none"/>
        </w:rPr>
        <w:t>202</w:t>
      </w:r>
      <w:r>
        <w:rPr>
          <w:rFonts w:hint="eastAsia"/>
          <w:b/>
          <w:sz w:val="24"/>
          <w:highlight w:val="none"/>
          <w:lang w:val="en-US" w:eastAsia="zh-CN"/>
        </w:rPr>
        <w:t>4</w:t>
      </w:r>
      <w:r>
        <w:rPr>
          <w:b/>
          <w:sz w:val="24"/>
          <w:highlight w:val="none"/>
        </w:rPr>
        <w:t>年</w:t>
      </w:r>
      <w:r>
        <w:rPr>
          <w:rFonts w:hint="eastAsia"/>
          <w:b/>
          <w:sz w:val="24"/>
          <w:highlight w:val="none"/>
          <w:lang w:val="en-US" w:eastAsia="zh-CN"/>
        </w:rPr>
        <w:t>7</w:t>
      </w:r>
      <w:r>
        <w:rPr>
          <w:b/>
          <w:sz w:val="24"/>
          <w:highlight w:val="none"/>
        </w:rPr>
        <w:t>月</w:t>
      </w:r>
      <w:r>
        <w:rPr>
          <w:rFonts w:hint="eastAsia"/>
          <w:b/>
          <w:sz w:val="24"/>
          <w:highlight w:val="none"/>
          <w:lang w:val="en-US" w:eastAsia="zh-CN"/>
        </w:rPr>
        <w:t>24</w:t>
      </w:r>
      <w:r>
        <w:rPr>
          <w:b/>
          <w:sz w:val="24"/>
          <w:highlight w:val="none"/>
        </w:rPr>
        <w:t>日 09:</w:t>
      </w:r>
      <w:r>
        <w:rPr>
          <w:rFonts w:hint="eastAsia"/>
          <w:b/>
          <w:sz w:val="24"/>
          <w:highlight w:val="none"/>
          <w:lang w:val="en-US" w:eastAsia="zh-CN"/>
        </w:rPr>
        <w:t>3</w:t>
      </w:r>
      <w:r>
        <w:rPr>
          <w:b/>
          <w:sz w:val="24"/>
          <w:highlight w:val="none"/>
        </w:rPr>
        <w:t>0:00</w:t>
      </w:r>
      <w:r>
        <w:rPr>
          <w:sz w:val="24"/>
          <w:highlight w:val="none"/>
        </w:rPr>
        <w:t xml:space="preserve"> 前，准时递交电子投标文件，避免迟误。</w:t>
      </w:r>
    </w:p>
    <w:p w14:paraId="4C5865C9">
      <w:pPr>
        <w:pStyle w:val="16"/>
        <w:spacing w:before="9"/>
        <w:rPr>
          <w:highlight w:val="none"/>
        </w:rPr>
      </w:pPr>
    </w:p>
    <w:p w14:paraId="48E1D3E6">
      <w:pPr>
        <w:pStyle w:val="16"/>
        <w:spacing w:line="487" w:lineRule="auto"/>
        <w:ind w:left="460" w:right="985" w:firstLine="480"/>
        <w:rPr>
          <w:highlight w:val="none"/>
        </w:rPr>
      </w:pPr>
      <w:r>
        <w:rPr>
          <w:highlight w:val="none"/>
        </w:rPr>
        <w:t>5</w:t>
      </w:r>
      <w:r>
        <w:rPr>
          <w:spacing w:val="-17"/>
          <w:highlight w:val="none"/>
        </w:rPr>
        <w:t>、请您按照《陕西省财政厅关于政府采购</w:t>
      </w:r>
      <w:r>
        <w:rPr>
          <w:rFonts w:hint="eastAsia"/>
          <w:spacing w:val="-17"/>
          <w:highlight w:val="none"/>
          <w:lang w:eastAsia="zh-CN"/>
        </w:rPr>
        <w:t>投标人</w:t>
      </w:r>
      <w:r>
        <w:rPr>
          <w:spacing w:val="-17"/>
          <w:highlight w:val="none"/>
        </w:rPr>
        <w:t xml:space="preserve">注册登记有关事项的通知》中的要求， </w:t>
      </w:r>
      <w:r>
        <w:rPr>
          <w:spacing w:val="-6"/>
          <w:highlight w:val="none"/>
        </w:rPr>
        <w:t>通过陕西省政府采购网</w:t>
      </w:r>
      <w:r>
        <w:rPr>
          <w:highlight w:val="none"/>
        </w:rPr>
        <w:fldChar w:fldCharType="begin"/>
      </w:r>
      <w:r>
        <w:rPr>
          <w:highlight w:val="none"/>
        </w:rPr>
        <w:instrText xml:space="preserve"> HYPERLINK "http://www.ccgp-shaanxi.gov.cn/" \h </w:instrText>
      </w:r>
      <w:r>
        <w:rPr>
          <w:highlight w:val="none"/>
        </w:rPr>
        <w:fldChar w:fldCharType="separate"/>
      </w:r>
      <w:r>
        <w:rPr>
          <w:highlight w:val="none"/>
        </w:rPr>
        <w:t>（http://www.ccgp-shaanxi.gov.cn/</w:t>
      </w:r>
      <w:r>
        <w:rPr>
          <w:highlight w:val="none"/>
        </w:rPr>
        <w:fldChar w:fldCharType="end"/>
      </w:r>
      <w:r>
        <w:rPr>
          <w:highlight w:val="none"/>
        </w:rPr>
        <w:t>）注册登记加入陕西省政府采购</w:t>
      </w:r>
      <w:r>
        <w:rPr>
          <w:rFonts w:hint="eastAsia"/>
          <w:highlight w:val="none"/>
          <w:lang w:eastAsia="zh-CN"/>
        </w:rPr>
        <w:t>投标人</w:t>
      </w:r>
      <w:r>
        <w:rPr>
          <w:highlight w:val="none"/>
        </w:rPr>
        <w:t>库，并接受财政部门的监督管理。</w:t>
      </w:r>
    </w:p>
    <w:p w14:paraId="39364271">
      <w:pPr>
        <w:pStyle w:val="16"/>
        <w:spacing w:line="487" w:lineRule="auto"/>
        <w:ind w:left="460" w:right="1105" w:firstLine="480"/>
        <w:rPr>
          <w:highlight w:val="none"/>
        </w:rPr>
      </w:pPr>
      <w:r>
        <w:rPr>
          <w:highlight w:val="none"/>
        </w:rPr>
        <w:t>谨记上述提示，将有助您顺利地参加投标。若有什么需要帮助，请您与我们的工作人员联系，我们将竭诚为您服务。</w:t>
      </w:r>
    </w:p>
    <w:p w14:paraId="19264F86">
      <w:pPr>
        <w:spacing w:line="487" w:lineRule="auto"/>
        <w:rPr>
          <w:highlight w:val="none"/>
        </w:rPr>
      </w:pPr>
    </w:p>
    <w:p w14:paraId="4915D5A8">
      <w:pPr>
        <w:pStyle w:val="17"/>
        <w:rPr>
          <w:highlight w:val="none"/>
        </w:rPr>
      </w:pPr>
    </w:p>
    <w:p w14:paraId="37610DDA">
      <w:pPr>
        <w:spacing w:line="360" w:lineRule="auto"/>
        <w:ind w:firstLine="904" w:firstLineChars="300"/>
        <w:rPr>
          <w:rFonts w:asciiTheme="minorEastAsia" w:hAnsiTheme="minorEastAsia" w:eastAsiaTheme="minorEastAsia" w:cstheme="minorEastAsia"/>
          <w:b/>
          <w:color w:val="000000"/>
          <w:sz w:val="30"/>
          <w:szCs w:val="30"/>
          <w:highlight w:val="none"/>
        </w:rPr>
      </w:pPr>
      <w:r>
        <w:rPr>
          <w:rFonts w:hint="eastAsia" w:asciiTheme="minorEastAsia" w:hAnsiTheme="minorEastAsia" w:eastAsiaTheme="minorEastAsia" w:cstheme="minorEastAsia"/>
          <w:b/>
          <w:color w:val="000000"/>
          <w:sz w:val="30"/>
          <w:szCs w:val="30"/>
          <w:highlight w:val="none"/>
        </w:rPr>
        <w:t>请将采购代理服务费汇至下列指定账户：</w:t>
      </w:r>
    </w:p>
    <w:p w14:paraId="3F0CD693">
      <w:pPr>
        <w:widowControl/>
        <w:spacing w:line="540" w:lineRule="exact"/>
        <w:ind w:right="-207" w:rightChars="-94" w:firstLine="1080" w:firstLineChars="450"/>
        <w:jc w:val="left"/>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开户名称：</w:t>
      </w:r>
      <w:r>
        <w:rPr>
          <w:rFonts w:hint="eastAsia" w:cs="宋体"/>
          <w:sz w:val="24"/>
          <w:szCs w:val="24"/>
          <w:highlight w:val="none"/>
          <w:lang w:val="zh-CN" w:eastAsia="zh-CN" w:bidi="zh-CN"/>
        </w:rPr>
        <w:t>正大方略工程咨询有限公司</w:t>
      </w:r>
    </w:p>
    <w:p w14:paraId="4AF92873">
      <w:pPr>
        <w:widowControl/>
        <w:spacing w:line="540" w:lineRule="exact"/>
        <w:ind w:right="-207" w:rightChars="-94" w:firstLine="1080" w:firstLineChars="450"/>
        <w:jc w:val="left"/>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开 户 行：西安银行</w:t>
      </w:r>
      <w:r>
        <w:rPr>
          <w:rFonts w:ascii="宋体" w:hAnsi="宋体" w:eastAsia="宋体" w:cs="宋体"/>
          <w:sz w:val="24"/>
          <w:szCs w:val="24"/>
          <w:highlight w:val="none"/>
          <w:lang w:val="zh-CN" w:eastAsia="zh-CN" w:bidi="zh-CN"/>
        </w:rPr>
        <w:t>东二环南段支行</w:t>
      </w:r>
    </w:p>
    <w:p w14:paraId="2E3CA03B">
      <w:pPr>
        <w:widowControl/>
        <w:spacing w:line="540" w:lineRule="exact"/>
        <w:ind w:right="-207" w:rightChars="-94" w:firstLine="1080" w:firstLineChars="450"/>
        <w:jc w:val="left"/>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账    号：</w:t>
      </w:r>
      <w:r>
        <w:rPr>
          <w:rFonts w:ascii="宋体" w:hAnsi="宋体" w:eastAsia="宋体" w:cs="宋体"/>
          <w:sz w:val="24"/>
          <w:szCs w:val="24"/>
          <w:highlight w:val="none"/>
          <w:lang w:val="zh-CN" w:eastAsia="zh-CN" w:bidi="zh-CN"/>
        </w:rPr>
        <w:t>209011580000076430</w:t>
      </w:r>
    </w:p>
    <w:p w14:paraId="0838AC82">
      <w:pPr>
        <w:pStyle w:val="16"/>
        <w:spacing w:before="9"/>
        <w:rPr>
          <w:sz w:val="27"/>
          <w:highlight w:val="none"/>
        </w:rPr>
      </w:pPr>
    </w:p>
    <w:p w14:paraId="18239660">
      <w:pPr>
        <w:rPr>
          <w:sz w:val="27"/>
          <w:highlight w:val="none"/>
        </w:rPr>
      </w:pPr>
    </w:p>
    <w:p w14:paraId="1B54CE72">
      <w:pPr>
        <w:pStyle w:val="23"/>
        <w:rPr>
          <w:highlight w:val="none"/>
        </w:rPr>
      </w:pPr>
    </w:p>
    <w:p w14:paraId="2A396F46">
      <w:pPr>
        <w:tabs>
          <w:tab w:val="left" w:pos="962"/>
        </w:tabs>
        <w:spacing w:before="33"/>
        <w:ind w:right="742"/>
        <w:jc w:val="center"/>
        <w:rPr>
          <w:b/>
          <w:sz w:val="48"/>
          <w:highlight w:val="none"/>
        </w:rPr>
      </w:pPr>
    </w:p>
    <w:p w14:paraId="258CB83D">
      <w:pPr>
        <w:tabs>
          <w:tab w:val="left" w:pos="962"/>
        </w:tabs>
        <w:spacing w:before="33"/>
        <w:ind w:right="742"/>
        <w:jc w:val="center"/>
        <w:rPr>
          <w:b/>
          <w:sz w:val="48"/>
          <w:highlight w:val="none"/>
        </w:rPr>
      </w:pPr>
      <w:r>
        <w:rPr>
          <w:b/>
          <w:sz w:val="48"/>
          <w:highlight w:val="none"/>
        </w:rPr>
        <w:t>目</w:t>
      </w:r>
      <w:r>
        <w:rPr>
          <w:b/>
          <w:sz w:val="48"/>
          <w:highlight w:val="none"/>
        </w:rPr>
        <w:tab/>
      </w:r>
      <w:r>
        <w:rPr>
          <w:b/>
          <w:sz w:val="48"/>
          <w:highlight w:val="none"/>
        </w:rPr>
        <w:t>录</w:t>
      </w:r>
    </w:p>
    <w:p w14:paraId="112D9C99">
      <w:pPr>
        <w:pStyle w:val="16"/>
        <w:rPr>
          <w:b/>
          <w:sz w:val="48"/>
          <w:highlight w:val="none"/>
        </w:rPr>
      </w:pPr>
    </w:p>
    <w:p w14:paraId="05FCF081">
      <w:pPr>
        <w:pStyle w:val="16"/>
        <w:spacing w:before="8"/>
        <w:rPr>
          <w:b/>
          <w:sz w:val="54"/>
          <w:highlight w:val="none"/>
        </w:rPr>
      </w:pPr>
    </w:p>
    <w:sdt>
      <w:sdtPr>
        <w:rPr>
          <w:highlight w:val="none"/>
        </w:rPr>
        <w:id w:val="1"/>
        <w:docPartObj>
          <w:docPartGallery w:val="Table of Contents"/>
          <w:docPartUnique/>
        </w:docPartObj>
      </w:sdtPr>
      <w:sdtEndPr>
        <w:rPr>
          <w:highlight w:val="none"/>
        </w:rPr>
      </w:sdtEndPr>
      <w:sdtContent>
        <w:p w14:paraId="49F0B7BE">
          <w:pPr>
            <w:pStyle w:val="27"/>
            <w:tabs>
              <w:tab w:val="left" w:pos="1911"/>
              <w:tab w:val="right" w:leader="dot" w:pos="9518"/>
            </w:tabs>
            <w:spacing w:before="0"/>
            <w:rPr>
              <w:highlight w:val="none"/>
            </w:rPr>
          </w:pPr>
          <w:r>
            <w:rPr>
              <w:highlight w:val="none"/>
            </w:rPr>
            <w:fldChar w:fldCharType="begin"/>
          </w:r>
          <w:r>
            <w:rPr>
              <w:highlight w:val="none"/>
            </w:rPr>
            <w:instrText xml:space="preserve"> HYPERLINK \l "_bookmark0" </w:instrText>
          </w:r>
          <w:r>
            <w:rPr>
              <w:highlight w:val="none"/>
            </w:rPr>
            <w:fldChar w:fldCharType="separate"/>
          </w:r>
          <w:r>
            <w:rPr>
              <w:highlight w:val="none"/>
            </w:rPr>
            <w:t>第一章</w:t>
          </w:r>
          <w:r>
            <w:rPr>
              <w:highlight w:val="none"/>
            </w:rPr>
            <w:tab/>
          </w:r>
          <w:r>
            <w:rPr>
              <w:highlight w:val="none"/>
            </w:rPr>
            <w:t>招标公告</w:t>
          </w:r>
          <w:r>
            <w:rPr>
              <w:highlight w:val="none"/>
            </w:rPr>
            <w:tab/>
          </w:r>
          <w:r>
            <w:rPr>
              <w:highlight w:val="none"/>
            </w:rPr>
            <w:t>1</w:t>
          </w:r>
          <w:r>
            <w:rPr>
              <w:highlight w:val="none"/>
            </w:rPr>
            <w:fldChar w:fldCharType="end"/>
          </w:r>
        </w:p>
        <w:p w14:paraId="3E32366C">
          <w:pPr>
            <w:pStyle w:val="27"/>
            <w:tabs>
              <w:tab w:val="left" w:pos="1911"/>
              <w:tab w:val="right" w:leader="dot" w:pos="9518"/>
            </w:tabs>
            <w:spacing w:before="386"/>
            <w:rPr>
              <w:highlight w:val="none"/>
            </w:rPr>
          </w:pPr>
          <w:r>
            <w:rPr>
              <w:highlight w:val="none"/>
            </w:rPr>
            <w:fldChar w:fldCharType="begin"/>
          </w:r>
          <w:r>
            <w:rPr>
              <w:highlight w:val="none"/>
            </w:rPr>
            <w:instrText xml:space="preserve"> HYPERLINK \l "_bookmark1" </w:instrText>
          </w:r>
          <w:r>
            <w:rPr>
              <w:highlight w:val="none"/>
            </w:rPr>
            <w:fldChar w:fldCharType="separate"/>
          </w:r>
          <w:r>
            <w:rPr>
              <w:highlight w:val="none"/>
            </w:rPr>
            <w:t>第二章</w:t>
          </w:r>
          <w:r>
            <w:rPr>
              <w:highlight w:val="none"/>
            </w:rPr>
            <w:tab/>
          </w:r>
          <w:r>
            <w:rPr>
              <w:highlight w:val="none"/>
            </w:rPr>
            <w:t>投标人须知及前附表</w:t>
          </w:r>
          <w:r>
            <w:rPr>
              <w:highlight w:val="none"/>
            </w:rPr>
            <w:tab/>
          </w:r>
          <w:r>
            <w:rPr>
              <w:highlight w:val="none"/>
            </w:rPr>
            <w:t>5</w:t>
          </w:r>
          <w:r>
            <w:rPr>
              <w:highlight w:val="none"/>
            </w:rPr>
            <w:fldChar w:fldCharType="end"/>
          </w:r>
        </w:p>
        <w:p w14:paraId="5FA524AC">
          <w:pPr>
            <w:pStyle w:val="27"/>
            <w:tabs>
              <w:tab w:val="left" w:pos="1911"/>
              <w:tab w:val="right" w:leader="dot" w:pos="9518"/>
            </w:tabs>
            <w:rPr>
              <w:highlight w:val="none"/>
            </w:rPr>
          </w:pPr>
          <w:r>
            <w:rPr>
              <w:highlight w:val="none"/>
            </w:rPr>
            <w:fldChar w:fldCharType="begin"/>
          </w:r>
          <w:r>
            <w:rPr>
              <w:highlight w:val="none"/>
            </w:rPr>
            <w:instrText xml:space="preserve"> HYPERLINK \l "_bookmark2" </w:instrText>
          </w:r>
          <w:r>
            <w:rPr>
              <w:highlight w:val="none"/>
            </w:rPr>
            <w:fldChar w:fldCharType="separate"/>
          </w:r>
          <w:r>
            <w:rPr>
              <w:highlight w:val="none"/>
            </w:rPr>
            <w:t>第三章</w:t>
          </w:r>
          <w:r>
            <w:rPr>
              <w:highlight w:val="none"/>
            </w:rPr>
            <w:tab/>
          </w:r>
          <w:r>
            <w:rPr>
              <w:highlight w:val="none"/>
            </w:rPr>
            <w:t>评标办法</w:t>
          </w:r>
          <w:r>
            <w:rPr>
              <w:highlight w:val="none"/>
            </w:rPr>
            <w:tab/>
          </w:r>
          <w:r>
            <w:rPr>
              <w:highlight w:val="none"/>
            </w:rPr>
            <w:t>27</w:t>
          </w:r>
          <w:r>
            <w:rPr>
              <w:highlight w:val="none"/>
            </w:rPr>
            <w:fldChar w:fldCharType="end"/>
          </w:r>
        </w:p>
        <w:p w14:paraId="4DA6A29B">
          <w:pPr>
            <w:pStyle w:val="27"/>
            <w:tabs>
              <w:tab w:val="left" w:pos="1911"/>
              <w:tab w:val="right" w:leader="dot" w:pos="9518"/>
            </w:tabs>
            <w:rPr>
              <w:highlight w:val="none"/>
            </w:rPr>
          </w:pPr>
          <w:r>
            <w:rPr>
              <w:highlight w:val="none"/>
            </w:rPr>
            <w:fldChar w:fldCharType="begin"/>
          </w:r>
          <w:r>
            <w:rPr>
              <w:highlight w:val="none"/>
            </w:rPr>
            <w:instrText xml:space="preserve"> HYPERLINK \l "_bookmark3" </w:instrText>
          </w:r>
          <w:r>
            <w:rPr>
              <w:highlight w:val="none"/>
            </w:rPr>
            <w:fldChar w:fldCharType="separate"/>
          </w:r>
          <w:r>
            <w:rPr>
              <w:highlight w:val="none"/>
            </w:rPr>
            <w:t>第四章</w:t>
          </w:r>
          <w:r>
            <w:rPr>
              <w:highlight w:val="none"/>
            </w:rPr>
            <w:tab/>
          </w:r>
          <w:r>
            <w:rPr>
              <w:highlight w:val="none"/>
            </w:rPr>
            <w:t>合同文本及条款</w:t>
          </w:r>
          <w:r>
            <w:rPr>
              <w:highlight w:val="none"/>
            </w:rPr>
            <w:tab/>
          </w:r>
          <w:r>
            <w:rPr>
              <w:highlight w:val="none"/>
            </w:rPr>
            <w:t>33</w:t>
          </w:r>
          <w:r>
            <w:rPr>
              <w:highlight w:val="none"/>
            </w:rPr>
            <w:fldChar w:fldCharType="end"/>
          </w:r>
        </w:p>
        <w:p w14:paraId="5A5BCA02">
          <w:pPr>
            <w:pStyle w:val="27"/>
            <w:tabs>
              <w:tab w:val="left" w:pos="1911"/>
              <w:tab w:val="right" w:leader="dot" w:pos="9518"/>
            </w:tabs>
            <w:rPr>
              <w:highlight w:val="none"/>
            </w:rPr>
          </w:pPr>
          <w:r>
            <w:rPr>
              <w:highlight w:val="none"/>
            </w:rPr>
            <w:fldChar w:fldCharType="begin"/>
          </w:r>
          <w:r>
            <w:rPr>
              <w:highlight w:val="none"/>
            </w:rPr>
            <w:instrText xml:space="preserve"> HYPERLINK \l "_bookmark4" </w:instrText>
          </w:r>
          <w:r>
            <w:rPr>
              <w:highlight w:val="none"/>
            </w:rPr>
            <w:fldChar w:fldCharType="separate"/>
          </w:r>
          <w:r>
            <w:rPr>
              <w:highlight w:val="none"/>
            </w:rPr>
            <w:t>第五章</w:t>
          </w:r>
          <w:r>
            <w:rPr>
              <w:highlight w:val="none"/>
            </w:rPr>
            <w:tab/>
          </w:r>
          <w:r>
            <w:rPr>
              <w:highlight w:val="none"/>
            </w:rPr>
            <w:t>工程量清单</w:t>
          </w:r>
          <w:r>
            <w:rPr>
              <w:highlight w:val="none"/>
            </w:rPr>
            <w:tab/>
          </w:r>
          <w:r>
            <w:rPr>
              <w:highlight w:val="none"/>
            </w:rPr>
            <w:t>77</w:t>
          </w:r>
          <w:r>
            <w:rPr>
              <w:highlight w:val="none"/>
            </w:rPr>
            <w:fldChar w:fldCharType="end"/>
          </w:r>
        </w:p>
        <w:p w14:paraId="7D375162">
          <w:pPr>
            <w:pStyle w:val="27"/>
            <w:tabs>
              <w:tab w:val="left" w:pos="1911"/>
              <w:tab w:val="right" w:leader="dot" w:pos="9518"/>
            </w:tabs>
            <w:spacing w:before="386"/>
            <w:rPr>
              <w:highlight w:val="none"/>
            </w:rPr>
          </w:pPr>
          <w:r>
            <w:rPr>
              <w:highlight w:val="none"/>
            </w:rPr>
            <w:fldChar w:fldCharType="begin"/>
          </w:r>
          <w:r>
            <w:rPr>
              <w:highlight w:val="none"/>
            </w:rPr>
            <w:instrText xml:space="preserve"> HYPERLINK \l "_bookmark5" </w:instrText>
          </w:r>
          <w:r>
            <w:rPr>
              <w:highlight w:val="none"/>
            </w:rPr>
            <w:fldChar w:fldCharType="separate"/>
          </w:r>
          <w:r>
            <w:rPr>
              <w:highlight w:val="none"/>
            </w:rPr>
            <w:t>第六章</w:t>
          </w:r>
          <w:r>
            <w:rPr>
              <w:highlight w:val="none"/>
            </w:rPr>
            <w:tab/>
          </w:r>
          <w:r>
            <w:rPr>
              <w:highlight w:val="none"/>
            </w:rPr>
            <w:t>图纸</w:t>
          </w:r>
          <w:r>
            <w:rPr>
              <w:highlight w:val="none"/>
            </w:rPr>
            <w:tab/>
          </w:r>
          <w:r>
            <w:rPr>
              <w:highlight w:val="none"/>
            </w:rPr>
            <w:t>78</w:t>
          </w:r>
          <w:r>
            <w:rPr>
              <w:highlight w:val="none"/>
            </w:rPr>
            <w:fldChar w:fldCharType="end"/>
          </w:r>
        </w:p>
        <w:p w14:paraId="3397966E">
          <w:pPr>
            <w:pStyle w:val="27"/>
            <w:tabs>
              <w:tab w:val="left" w:pos="1911"/>
              <w:tab w:val="right" w:leader="dot" w:pos="9518"/>
            </w:tabs>
            <w:rPr>
              <w:highlight w:val="none"/>
            </w:rPr>
          </w:pPr>
          <w:r>
            <w:rPr>
              <w:highlight w:val="none"/>
            </w:rPr>
            <w:fldChar w:fldCharType="begin"/>
          </w:r>
          <w:r>
            <w:rPr>
              <w:highlight w:val="none"/>
            </w:rPr>
            <w:instrText xml:space="preserve"> HYPERLINK \l "_bookmark6" </w:instrText>
          </w:r>
          <w:r>
            <w:rPr>
              <w:highlight w:val="none"/>
            </w:rPr>
            <w:fldChar w:fldCharType="separate"/>
          </w:r>
          <w:r>
            <w:rPr>
              <w:highlight w:val="none"/>
            </w:rPr>
            <w:t>第七章</w:t>
          </w:r>
          <w:r>
            <w:rPr>
              <w:highlight w:val="none"/>
            </w:rPr>
            <w:tab/>
          </w:r>
          <w:r>
            <w:rPr>
              <w:highlight w:val="none"/>
            </w:rPr>
            <w:t>技术部分标准和要求</w:t>
          </w:r>
          <w:r>
            <w:rPr>
              <w:highlight w:val="none"/>
            </w:rPr>
            <w:tab/>
          </w:r>
          <w:r>
            <w:rPr>
              <w:highlight w:val="none"/>
            </w:rPr>
            <w:t>79</w:t>
          </w:r>
          <w:r>
            <w:rPr>
              <w:highlight w:val="none"/>
            </w:rPr>
            <w:fldChar w:fldCharType="end"/>
          </w:r>
        </w:p>
        <w:p w14:paraId="1F5D4A6F">
          <w:pPr>
            <w:pStyle w:val="27"/>
            <w:tabs>
              <w:tab w:val="left" w:pos="1911"/>
              <w:tab w:val="right" w:leader="dot" w:pos="9518"/>
            </w:tabs>
            <w:rPr>
              <w:highlight w:val="none"/>
            </w:rPr>
          </w:pPr>
          <w:r>
            <w:rPr>
              <w:highlight w:val="none"/>
            </w:rPr>
            <w:fldChar w:fldCharType="begin"/>
          </w:r>
          <w:r>
            <w:rPr>
              <w:highlight w:val="none"/>
            </w:rPr>
            <w:instrText xml:space="preserve"> HYPERLINK \l "_bookmark7" </w:instrText>
          </w:r>
          <w:r>
            <w:rPr>
              <w:highlight w:val="none"/>
            </w:rPr>
            <w:fldChar w:fldCharType="separate"/>
          </w:r>
          <w:r>
            <w:rPr>
              <w:highlight w:val="none"/>
            </w:rPr>
            <w:t>第八章</w:t>
          </w:r>
          <w:r>
            <w:rPr>
              <w:highlight w:val="none"/>
            </w:rPr>
            <w:tab/>
          </w:r>
          <w:r>
            <w:rPr>
              <w:highlight w:val="none"/>
            </w:rPr>
            <w:t>投标文件格式</w:t>
          </w:r>
          <w:r>
            <w:rPr>
              <w:highlight w:val="none"/>
            </w:rPr>
            <w:tab/>
          </w:r>
          <w:r>
            <w:rPr>
              <w:highlight w:val="none"/>
            </w:rPr>
            <w:t>80</w:t>
          </w:r>
          <w:r>
            <w:rPr>
              <w:highlight w:val="none"/>
            </w:rPr>
            <w:fldChar w:fldCharType="end"/>
          </w:r>
        </w:p>
      </w:sdtContent>
    </w:sdt>
    <w:p w14:paraId="187FC2A5">
      <w:pPr>
        <w:rPr>
          <w:highlight w:val="none"/>
        </w:rPr>
        <w:sectPr>
          <w:footerReference r:id="rId3" w:type="default"/>
          <w:pgSz w:w="11910" w:h="16840"/>
          <w:pgMar w:top="1600" w:right="181" w:bottom="280" w:left="800" w:header="0" w:footer="0" w:gutter="0"/>
          <w:cols w:space="720" w:num="1"/>
        </w:sectPr>
      </w:pPr>
    </w:p>
    <w:p w14:paraId="046C2264">
      <w:pPr>
        <w:pStyle w:val="36"/>
        <w:spacing w:before="120" w:beforeAutospacing="0" w:after="360" w:afterAutospacing="0" w:line="360" w:lineRule="auto"/>
        <w:jc w:val="center"/>
        <w:outlineLvl w:val="0"/>
        <w:rPr>
          <w:b/>
          <w:bCs/>
          <w:sz w:val="36"/>
          <w:szCs w:val="36"/>
          <w:highlight w:val="none"/>
        </w:rPr>
      </w:pPr>
      <w:bookmarkStart w:id="1" w:name="_bookmark0"/>
      <w:bookmarkEnd w:id="1"/>
      <w:bookmarkStart w:id="2" w:name="第一章__招标公告"/>
      <w:bookmarkEnd w:id="2"/>
      <w:r>
        <w:rPr>
          <w:b/>
          <w:bCs/>
          <w:sz w:val="36"/>
          <w:szCs w:val="36"/>
          <w:highlight w:val="none"/>
        </w:rPr>
        <w:t>第一章</w:t>
      </w:r>
      <w:r>
        <w:rPr>
          <w:b/>
          <w:bCs/>
          <w:sz w:val="36"/>
          <w:szCs w:val="36"/>
          <w:highlight w:val="none"/>
        </w:rPr>
        <w:tab/>
      </w:r>
      <w:r>
        <w:rPr>
          <w:b/>
          <w:bCs/>
          <w:sz w:val="36"/>
          <w:szCs w:val="36"/>
          <w:highlight w:val="none"/>
        </w:rPr>
        <w:t>招标公告</w:t>
      </w:r>
      <w:bookmarkStart w:id="3" w:name="_bookmark1"/>
      <w:bookmarkEnd w:id="3"/>
      <w:bookmarkStart w:id="4" w:name="第二章_投标人须知及前附表"/>
      <w:bookmarkEnd w:id="4"/>
    </w:p>
    <w:p w14:paraId="4F8A7751">
      <w:pPr>
        <w:pStyle w:val="7"/>
        <w:widowControl/>
        <w:wordWrap w:val="0"/>
        <w:spacing w:before="150" w:after="150" w:line="240" w:lineRule="atLeast"/>
        <w:rPr>
          <w:b w:val="0"/>
          <w:bCs w:val="0"/>
          <w:color w:val="auto"/>
          <w:sz w:val="21"/>
          <w:szCs w:val="21"/>
          <w:highlight w:val="none"/>
        </w:rPr>
      </w:pPr>
      <w:r>
        <w:rPr>
          <w:rStyle w:val="240"/>
          <w:rFonts w:hint="eastAsia" w:ascii="宋体" w:hAnsi="宋体"/>
          <w:b/>
          <w:color w:val="auto"/>
          <w:sz w:val="21"/>
          <w:szCs w:val="21"/>
          <w:highlight w:val="none"/>
          <w:shd w:val="clear" w:color="auto" w:fill="FFFFFF"/>
        </w:rPr>
        <w:t>项目概况</w:t>
      </w:r>
    </w:p>
    <w:p w14:paraId="2636414B">
      <w:pPr>
        <w:pStyle w:val="36"/>
        <w:wordWrap w:val="0"/>
        <w:spacing w:before="150" w:beforeAutospacing="0" w:after="150" w:afterAutospacing="0" w:line="480" w:lineRule="atLeast"/>
        <w:ind w:firstLine="480"/>
        <w:jc w:val="both"/>
        <w:rPr>
          <w:rFonts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lang w:eastAsia="zh-CN"/>
        </w:rPr>
        <w:t>秦渡街道西南郊水厂二期一阶段项目清表及垃圾清运工程</w:t>
      </w:r>
      <w:r>
        <w:rPr>
          <w:rFonts w:hint="eastAsia" w:ascii="微软雅黑" w:hAnsi="微软雅黑" w:eastAsia="微软雅黑"/>
          <w:color w:val="auto"/>
          <w:sz w:val="21"/>
          <w:szCs w:val="21"/>
          <w:highlight w:val="none"/>
          <w:shd w:val="clear" w:color="auto" w:fill="FFFFFF"/>
        </w:rPr>
        <w:t>招标项目的潜在投标人应在全国公共资源交易平台（陕西省·西安市）网站〖首页〉电子交易平台〉陕西政府采购交易系统〉企业端〗获取招标文件，并于 202</w:t>
      </w:r>
      <w:r>
        <w:rPr>
          <w:rFonts w:hint="eastAsia" w:ascii="微软雅黑" w:hAnsi="微软雅黑" w:eastAsia="微软雅黑"/>
          <w:color w:val="auto"/>
          <w:sz w:val="21"/>
          <w:szCs w:val="21"/>
          <w:highlight w:val="none"/>
          <w:shd w:val="clear" w:color="auto" w:fill="FFFFFF"/>
          <w:lang w:val="en-US" w:eastAsia="zh-CN"/>
        </w:rPr>
        <w:t>4</w:t>
      </w:r>
      <w:r>
        <w:rPr>
          <w:rFonts w:hint="eastAsia" w:ascii="微软雅黑" w:hAnsi="微软雅黑" w:eastAsia="微软雅黑"/>
          <w:color w:val="auto"/>
          <w:sz w:val="21"/>
          <w:szCs w:val="21"/>
          <w:highlight w:val="none"/>
          <w:shd w:val="clear" w:color="auto" w:fill="FFFFFF"/>
        </w:rPr>
        <w:t>年</w:t>
      </w:r>
      <w:r>
        <w:rPr>
          <w:rFonts w:hint="eastAsia" w:ascii="微软雅黑" w:hAnsi="微软雅黑" w:eastAsia="微软雅黑"/>
          <w:color w:val="auto"/>
          <w:sz w:val="21"/>
          <w:szCs w:val="21"/>
          <w:highlight w:val="none"/>
          <w:shd w:val="clear" w:color="auto" w:fill="FFFFFF"/>
          <w:lang w:val="en-US" w:eastAsia="zh-CN"/>
        </w:rPr>
        <w:t>7</w:t>
      </w:r>
      <w:r>
        <w:rPr>
          <w:rFonts w:hint="eastAsia" w:ascii="微软雅黑" w:hAnsi="微软雅黑" w:eastAsia="微软雅黑"/>
          <w:color w:val="auto"/>
          <w:sz w:val="21"/>
          <w:szCs w:val="21"/>
          <w:highlight w:val="none"/>
          <w:shd w:val="clear" w:color="auto" w:fill="FFFFFF"/>
        </w:rPr>
        <w:t>月</w:t>
      </w:r>
      <w:r>
        <w:rPr>
          <w:rFonts w:hint="eastAsia" w:ascii="微软雅黑" w:hAnsi="微软雅黑" w:eastAsia="微软雅黑"/>
          <w:color w:val="auto"/>
          <w:sz w:val="21"/>
          <w:szCs w:val="21"/>
          <w:highlight w:val="none"/>
          <w:shd w:val="clear" w:color="auto" w:fill="FFFFFF"/>
          <w:lang w:val="en-US" w:eastAsia="zh-CN"/>
        </w:rPr>
        <w:t>24</w:t>
      </w:r>
      <w:r>
        <w:rPr>
          <w:rFonts w:hint="eastAsia" w:ascii="微软雅黑" w:hAnsi="微软雅黑" w:eastAsia="微软雅黑"/>
          <w:color w:val="auto"/>
          <w:sz w:val="21"/>
          <w:szCs w:val="21"/>
          <w:highlight w:val="none"/>
          <w:shd w:val="clear" w:color="auto" w:fill="FFFFFF"/>
        </w:rPr>
        <w:t>日 09时</w:t>
      </w:r>
      <w:r>
        <w:rPr>
          <w:rFonts w:hint="eastAsia" w:ascii="微软雅黑" w:hAnsi="微软雅黑" w:eastAsia="微软雅黑"/>
          <w:color w:val="auto"/>
          <w:sz w:val="21"/>
          <w:szCs w:val="21"/>
          <w:highlight w:val="none"/>
          <w:shd w:val="clear" w:color="auto" w:fill="FFFFFF"/>
          <w:lang w:val="en-US" w:eastAsia="zh-CN"/>
        </w:rPr>
        <w:t>3</w:t>
      </w:r>
      <w:r>
        <w:rPr>
          <w:rFonts w:hint="eastAsia" w:ascii="微软雅黑" w:hAnsi="微软雅黑" w:eastAsia="微软雅黑"/>
          <w:color w:val="auto"/>
          <w:sz w:val="21"/>
          <w:szCs w:val="21"/>
          <w:highlight w:val="none"/>
          <w:shd w:val="clear" w:color="auto" w:fill="FFFFFF"/>
        </w:rPr>
        <w:t>0分 （北京时间）前递交投标文件。</w:t>
      </w:r>
    </w:p>
    <w:p w14:paraId="1864A20F">
      <w:pPr>
        <w:pStyle w:val="36"/>
        <w:wordWrap w:val="0"/>
        <w:spacing w:before="150" w:beforeAutospacing="0" w:after="150" w:afterAutospacing="0" w:line="480" w:lineRule="atLeast"/>
        <w:ind w:firstLine="480"/>
        <w:jc w:val="both"/>
        <w:rPr>
          <w:rFonts w:ascii="Calibri" w:hAnsi="Calibri"/>
          <w:color w:val="auto"/>
          <w:sz w:val="21"/>
          <w:szCs w:val="21"/>
          <w:highlight w:val="none"/>
        </w:rPr>
      </w:pPr>
      <w:r>
        <w:rPr>
          <w:rStyle w:val="240"/>
          <w:rFonts w:ascii="宋体" w:hAnsi="宋体"/>
          <w:bCs/>
          <w:color w:val="auto"/>
          <w:sz w:val="21"/>
          <w:szCs w:val="21"/>
          <w:highlight w:val="none"/>
          <w:shd w:val="clear" w:color="auto" w:fill="FFFFFF"/>
        </w:rPr>
        <w:t>一、项目基本情况</w:t>
      </w:r>
    </w:p>
    <w:p w14:paraId="50F14833">
      <w:pPr>
        <w:pStyle w:val="36"/>
        <w:wordWrap w:val="0"/>
        <w:spacing w:before="0" w:beforeAutospacing="0" w:after="0" w:afterAutospacing="0" w:line="480" w:lineRule="atLeast"/>
        <w:ind w:firstLine="480"/>
        <w:jc w:val="both"/>
        <w:rPr>
          <w:color w:val="auto"/>
          <w:sz w:val="21"/>
          <w:szCs w:val="21"/>
          <w:highlight w:val="none"/>
        </w:rPr>
      </w:pPr>
      <w:r>
        <w:rPr>
          <w:rFonts w:hint="eastAsia" w:ascii="微软雅黑" w:hAnsi="微软雅黑" w:eastAsia="微软雅黑"/>
          <w:color w:val="auto"/>
          <w:sz w:val="21"/>
          <w:szCs w:val="21"/>
          <w:highlight w:val="none"/>
          <w:shd w:val="clear" w:color="auto" w:fill="FFFFFF"/>
        </w:rPr>
        <w:t>项目编号：</w:t>
      </w:r>
      <w:r>
        <w:rPr>
          <w:rFonts w:hint="eastAsia" w:ascii="微软雅黑" w:hAnsi="微软雅黑" w:eastAsia="微软雅黑"/>
          <w:color w:val="auto"/>
          <w:sz w:val="21"/>
          <w:szCs w:val="21"/>
          <w:highlight w:val="none"/>
          <w:shd w:val="clear" w:color="auto" w:fill="FFFFFF"/>
          <w:lang w:val="en-US" w:eastAsia="zh-CN"/>
        </w:rPr>
        <w:t>ZD0724-005G</w:t>
      </w:r>
    </w:p>
    <w:p w14:paraId="25247E8E">
      <w:pPr>
        <w:pStyle w:val="36"/>
        <w:wordWrap w:val="0"/>
        <w:spacing w:before="0" w:beforeAutospacing="0" w:after="0" w:afterAutospacing="0" w:line="480" w:lineRule="atLeast"/>
        <w:ind w:firstLine="480"/>
        <w:jc w:val="both"/>
        <w:rPr>
          <w:rFonts w:hint="eastAsia" w:eastAsia="微软雅黑"/>
          <w:color w:val="auto"/>
          <w:sz w:val="21"/>
          <w:szCs w:val="21"/>
          <w:highlight w:val="none"/>
          <w:lang w:eastAsia="zh-CN"/>
        </w:rPr>
      </w:pPr>
      <w:r>
        <w:rPr>
          <w:rFonts w:hint="eastAsia" w:ascii="微软雅黑" w:hAnsi="微软雅黑" w:eastAsia="微软雅黑"/>
          <w:color w:val="auto"/>
          <w:sz w:val="21"/>
          <w:szCs w:val="21"/>
          <w:highlight w:val="none"/>
          <w:shd w:val="clear" w:color="auto" w:fill="FFFFFF"/>
        </w:rPr>
        <w:t>项目名称：</w:t>
      </w:r>
      <w:r>
        <w:rPr>
          <w:rFonts w:hint="eastAsia" w:ascii="微软雅黑" w:hAnsi="微软雅黑" w:eastAsia="微软雅黑"/>
          <w:color w:val="auto"/>
          <w:sz w:val="21"/>
          <w:szCs w:val="21"/>
          <w:highlight w:val="none"/>
          <w:shd w:val="clear" w:color="auto" w:fill="FFFFFF"/>
          <w:lang w:eastAsia="zh-CN"/>
        </w:rPr>
        <w:t>秦渡街道西南郊水厂二期一阶段项目清表及垃圾清运工程</w:t>
      </w:r>
    </w:p>
    <w:p w14:paraId="4ECB9542">
      <w:pPr>
        <w:pStyle w:val="36"/>
        <w:wordWrap w:val="0"/>
        <w:spacing w:before="0" w:beforeAutospacing="0" w:after="0" w:afterAutospacing="0" w:line="480" w:lineRule="atLeast"/>
        <w:ind w:firstLine="480"/>
        <w:jc w:val="both"/>
        <w:rPr>
          <w:color w:val="auto"/>
          <w:sz w:val="21"/>
          <w:szCs w:val="21"/>
          <w:highlight w:val="none"/>
        </w:rPr>
      </w:pPr>
      <w:r>
        <w:rPr>
          <w:rFonts w:hint="eastAsia" w:ascii="微软雅黑" w:hAnsi="微软雅黑" w:eastAsia="微软雅黑"/>
          <w:color w:val="auto"/>
          <w:sz w:val="21"/>
          <w:szCs w:val="21"/>
          <w:highlight w:val="none"/>
          <w:shd w:val="clear" w:color="auto" w:fill="FFFFFF"/>
        </w:rPr>
        <w:t>采购方式：公开招标</w:t>
      </w:r>
    </w:p>
    <w:p w14:paraId="1978A142">
      <w:pPr>
        <w:pStyle w:val="36"/>
        <w:wordWrap w:val="0"/>
        <w:spacing w:before="0" w:beforeAutospacing="0" w:after="0" w:afterAutospacing="0" w:line="480" w:lineRule="atLeast"/>
        <w:ind w:firstLine="480"/>
        <w:jc w:val="both"/>
        <w:rPr>
          <w:color w:val="auto"/>
          <w:sz w:val="21"/>
          <w:szCs w:val="21"/>
          <w:highlight w:val="none"/>
        </w:rPr>
      </w:pPr>
      <w:r>
        <w:rPr>
          <w:rFonts w:hint="eastAsia" w:ascii="微软雅黑" w:hAnsi="微软雅黑" w:eastAsia="微软雅黑"/>
          <w:color w:val="auto"/>
          <w:sz w:val="21"/>
          <w:szCs w:val="21"/>
          <w:highlight w:val="none"/>
          <w:shd w:val="clear" w:color="auto" w:fill="FFFFFF"/>
        </w:rPr>
        <w:t>预算金额：</w:t>
      </w:r>
      <w:r>
        <w:rPr>
          <w:rFonts w:hint="eastAsia" w:ascii="微软雅黑" w:hAnsi="微软雅黑" w:eastAsia="微软雅黑"/>
          <w:color w:val="auto"/>
          <w:sz w:val="21"/>
          <w:szCs w:val="21"/>
          <w:highlight w:val="none"/>
          <w:shd w:val="clear" w:color="auto" w:fill="FFFFFF"/>
          <w:lang w:val="en-US" w:eastAsia="zh-CN"/>
        </w:rPr>
        <w:t>534.187058万</w:t>
      </w:r>
      <w:r>
        <w:rPr>
          <w:rFonts w:hint="eastAsia" w:ascii="微软雅黑" w:hAnsi="微软雅黑" w:eastAsia="微软雅黑"/>
          <w:color w:val="auto"/>
          <w:sz w:val="21"/>
          <w:szCs w:val="21"/>
          <w:highlight w:val="none"/>
          <w:shd w:val="clear" w:color="auto" w:fill="FFFFFF"/>
        </w:rPr>
        <w:t>元</w:t>
      </w:r>
    </w:p>
    <w:p w14:paraId="3CA37F25">
      <w:pPr>
        <w:pStyle w:val="36"/>
        <w:wordWrap w:val="0"/>
        <w:spacing w:before="0" w:beforeAutospacing="0" w:after="0" w:afterAutospacing="0" w:line="480" w:lineRule="atLeast"/>
        <w:ind w:firstLine="480"/>
        <w:jc w:val="both"/>
        <w:rPr>
          <w:color w:val="auto"/>
          <w:sz w:val="21"/>
          <w:szCs w:val="21"/>
          <w:highlight w:val="none"/>
        </w:rPr>
      </w:pPr>
      <w:r>
        <w:rPr>
          <w:rFonts w:hint="eastAsia" w:ascii="微软雅黑" w:hAnsi="微软雅黑" w:eastAsia="微软雅黑"/>
          <w:color w:val="auto"/>
          <w:sz w:val="21"/>
          <w:szCs w:val="21"/>
          <w:highlight w:val="none"/>
          <w:shd w:val="clear" w:color="auto" w:fill="FFFFFF"/>
        </w:rPr>
        <w:t>采购需求：</w:t>
      </w:r>
    </w:p>
    <w:p w14:paraId="410BB182">
      <w:pPr>
        <w:pStyle w:val="36"/>
        <w:wordWrap w:val="0"/>
        <w:spacing w:before="0" w:beforeAutospacing="0" w:after="0" w:afterAutospacing="0" w:line="480" w:lineRule="atLeast"/>
        <w:ind w:firstLine="420" w:firstLineChars="200"/>
        <w:jc w:val="both"/>
        <w:rPr>
          <w:rFonts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合同包1(</w:t>
      </w:r>
      <w:r>
        <w:rPr>
          <w:rFonts w:hint="eastAsia" w:ascii="微软雅黑" w:hAnsi="微软雅黑" w:eastAsia="微软雅黑"/>
          <w:color w:val="auto"/>
          <w:sz w:val="21"/>
          <w:szCs w:val="21"/>
          <w:highlight w:val="none"/>
          <w:shd w:val="clear" w:color="auto" w:fill="FFFFFF"/>
          <w:lang w:eastAsia="zh-CN"/>
        </w:rPr>
        <w:t>秦渡街道西南郊水厂二期一阶段项目清表及垃圾清运工程第1包</w:t>
      </w:r>
      <w:r>
        <w:rPr>
          <w:rFonts w:hint="eastAsia" w:ascii="微软雅黑" w:hAnsi="微软雅黑" w:eastAsia="微软雅黑"/>
          <w:color w:val="auto"/>
          <w:sz w:val="21"/>
          <w:szCs w:val="21"/>
          <w:highlight w:val="none"/>
          <w:shd w:val="clear" w:color="auto" w:fill="FFFFFF"/>
        </w:rPr>
        <w:t>):</w:t>
      </w:r>
    </w:p>
    <w:tbl>
      <w:tblPr>
        <w:tblStyle w:val="41"/>
        <w:tblW w:w="9393" w:type="dxa"/>
        <w:tblInd w:w="-168"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Layout w:type="fixed"/>
        <w:tblCellMar>
          <w:top w:w="0" w:type="dxa"/>
          <w:left w:w="0" w:type="dxa"/>
          <w:bottom w:w="0" w:type="dxa"/>
          <w:right w:w="0" w:type="dxa"/>
        </w:tblCellMar>
      </w:tblPr>
      <w:tblGrid>
        <w:gridCol w:w="984"/>
        <w:gridCol w:w="1075"/>
        <w:gridCol w:w="1191"/>
        <w:gridCol w:w="1134"/>
        <w:gridCol w:w="1677"/>
        <w:gridCol w:w="1700"/>
        <w:gridCol w:w="1632"/>
      </w:tblGrid>
      <w:tr w14:paraId="2B3440DC">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1051" w:hRule="atLeast"/>
        </w:trPr>
        <w:tc>
          <w:tcPr>
            <w:tcW w:w="984" w:type="dxa"/>
            <w:tcBorders>
              <w:top w:val="single" w:color="333333" w:sz="4" w:space="0"/>
              <w:left w:val="single" w:color="333333" w:sz="4" w:space="0"/>
              <w:bottom w:val="single" w:color="333333" w:sz="4" w:space="0"/>
              <w:right w:val="single" w:color="333333" w:sz="4" w:space="0"/>
            </w:tcBorders>
            <w:tcMar>
              <w:top w:w="50" w:type="dxa"/>
              <w:left w:w="80" w:type="dxa"/>
              <w:bottom w:w="50" w:type="dxa"/>
              <w:right w:w="80" w:type="dxa"/>
            </w:tcMar>
            <w:vAlign w:val="center"/>
          </w:tcPr>
          <w:p w14:paraId="145F2FF8">
            <w:pPr>
              <w:widowControl/>
              <w:adjustRightInd w:val="0"/>
              <w:spacing w:line="440" w:lineRule="exact"/>
              <w:ind w:right="-226"/>
              <w:rPr>
                <w:rFonts w:ascii="Calibri" w:hAnsi="Calibri"/>
                <w:color w:val="auto"/>
                <w:kern w:val="2"/>
                <w:sz w:val="21"/>
                <w:szCs w:val="21"/>
                <w:highlight w:val="none"/>
              </w:rPr>
            </w:pPr>
            <w:r>
              <w:rPr>
                <w:rFonts w:hint="eastAsia"/>
                <w:color w:val="auto"/>
                <w:sz w:val="24"/>
                <w:szCs w:val="24"/>
                <w:highlight w:val="none"/>
              </w:rPr>
              <w:t>品目号</w:t>
            </w:r>
          </w:p>
        </w:tc>
        <w:tc>
          <w:tcPr>
            <w:tcW w:w="1075"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058B0A4D">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品目</w:t>
            </w:r>
          </w:p>
          <w:p w14:paraId="651DDBEC">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名称</w:t>
            </w:r>
          </w:p>
        </w:tc>
        <w:tc>
          <w:tcPr>
            <w:tcW w:w="1191"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6318A3EE">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采购标的</w:t>
            </w:r>
          </w:p>
        </w:tc>
        <w:tc>
          <w:tcPr>
            <w:tcW w:w="1134"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6D9F22E7">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数量</w:t>
            </w:r>
          </w:p>
          <w:p w14:paraId="02858D7F">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（单位）</w:t>
            </w:r>
          </w:p>
        </w:tc>
        <w:tc>
          <w:tcPr>
            <w:tcW w:w="1677"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661F0D07">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技术规格、参数及要求</w:t>
            </w:r>
          </w:p>
        </w:tc>
        <w:tc>
          <w:tcPr>
            <w:tcW w:w="1700"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206727C5">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品目预算</w:t>
            </w:r>
          </w:p>
          <w:p w14:paraId="5E4F6F7D">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(元)</w:t>
            </w:r>
          </w:p>
        </w:tc>
        <w:tc>
          <w:tcPr>
            <w:tcW w:w="1632"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71545DCB">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最高限价</w:t>
            </w:r>
          </w:p>
          <w:p w14:paraId="05E1BE94">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(元)</w:t>
            </w:r>
          </w:p>
        </w:tc>
      </w:tr>
      <w:tr w14:paraId="1691ECE5">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1683" w:hRule="atLeast"/>
        </w:trPr>
        <w:tc>
          <w:tcPr>
            <w:tcW w:w="984" w:type="dxa"/>
            <w:tcBorders>
              <w:top w:val="single" w:color="333333" w:sz="4" w:space="0"/>
              <w:left w:val="single" w:color="333333" w:sz="4" w:space="0"/>
              <w:bottom w:val="single" w:color="333333" w:sz="4" w:space="0"/>
              <w:right w:val="single" w:color="333333" w:sz="4" w:space="0"/>
            </w:tcBorders>
            <w:tcMar>
              <w:top w:w="50" w:type="dxa"/>
              <w:left w:w="80" w:type="dxa"/>
              <w:bottom w:w="50" w:type="dxa"/>
              <w:right w:w="80" w:type="dxa"/>
            </w:tcMar>
            <w:vAlign w:val="center"/>
          </w:tcPr>
          <w:p w14:paraId="5C1566A5">
            <w:pPr>
              <w:widowControl/>
              <w:adjustRightInd w:val="0"/>
              <w:spacing w:line="440" w:lineRule="exact"/>
              <w:jc w:val="center"/>
              <w:rPr>
                <w:rFonts w:hint="eastAsia"/>
                <w:color w:val="auto"/>
                <w:sz w:val="24"/>
                <w:szCs w:val="24"/>
                <w:highlight w:val="none"/>
              </w:rPr>
            </w:pPr>
            <w:r>
              <w:rPr>
                <w:rFonts w:hint="eastAsia"/>
                <w:color w:val="auto"/>
                <w:sz w:val="24"/>
                <w:szCs w:val="24"/>
                <w:highlight w:val="none"/>
              </w:rPr>
              <w:t>1-1</w:t>
            </w:r>
          </w:p>
        </w:tc>
        <w:tc>
          <w:tcPr>
            <w:tcW w:w="1075"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24E827E5">
            <w:pPr>
              <w:widowControl/>
              <w:adjustRightInd w:val="0"/>
              <w:spacing w:line="44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其他建筑工程</w:t>
            </w:r>
          </w:p>
        </w:tc>
        <w:tc>
          <w:tcPr>
            <w:tcW w:w="1191"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518304E3">
            <w:pPr>
              <w:widowControl/>
              <w:adjustRightInd w:val="0"/>
              <w:spacing w:line="440" w:lineRule="exact"/>
              <w:jc w:val="center"/>
              <w:rPr>
                <w:rFonts w:hint="eastAsia"/>
                <w:color w:val="auto"/>
                <w:sz w:val="24"/>
                <w:szCs w:val="24"/>
                <w:highlight w:val="none"/>
              </w:rPr>
            </w:pPr>
            <w:r>
              <w:rPr>
                <w:rFonts w:hint="eastAsia"/>
                <w:color w:val="auto"/>
                <w:sz w:val="24"/>
                <w:szCs w:val="24"/>
                <w:highlight w:val="none"/>
                <w:lang w:eastAsia="zh-CN"/>
              </w:rPr>
              <w:t>秦渡街道西南郊水厂二期一阶段项目清表及垃圾清运工程第1包</w:t>
            </w:r>
          </w:p>
        </w:tc>
        <w:tc>
          <w:tcPr>
            <w:tcW w:w="1134"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1D9964FF">
            <w:pPr>
              <w:widowControl/>
              <w:adjustRightInd w:val="0"/>
              <w:spacing w:line="440" w:lineRule="exact"/>
              <w:jc w:val="center"/>
              <w:rPr>
                <w:rFonts w:hint="eastAsia"/>
                <w:color w:val="auto"/>
                <w:sz w:val="24"/>
                <w:szCs w:val="24"/>
                <w:highlight w:val="none"/>
              </w:rPr>
            </w:pPr>
            <w:r>
              <w:rPr>
                <w:rFonts w:hint="eastAsia"/>
                <w:color w:val="auto"/>
                <w:sz w:val="24"/>
                <w:szCs w:val="24"/>
                <w:highlight w:val="none"/>
              </w:rPr>
              <w:t>1(项)</w:t>
            </w:r>
          </w:p>
        </w:tc>
        <w:tc>
          <w:tcPr>
            <w:tcW w:w="1677"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46DA0A80">
            <w:pPr>
              <w:widowControl/>
              <w:adjustRightInd w:val="0"/>
              <w:spacing w:line="440" w:lineRule="exact"/>
              <w:jc w:val="center"/>
              <w:rPr>
                <w:rFonts w:hint="eastAsia"/>
                <w:color w:val="auto"/>
                <w:sz w:val="24"/>
                <w:szCs w:val="24"/>
                <w:highlight w:val="none"/>
              </w:rPr>
            </w:pPr>
            <w:r>
              <w:rPr>
                <w:rFonts w:hint="eastAsia"/>
                <w:color w:val="auto"/>
                <w:sz w:val="24"/>
                <w:szCs w:val="24"/>
                <w:highlight w:val="none"/>
              </w:rPr>
              <w:t>详见采购文件</w:t>
            </w:r>
          </w:p>
        </w:tc>
        <w:tc>
          <w:tcPr>
            <w:tcW w:w="1700"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243EE79E">
            <w:pPr>
              <w:widowControl/>
              <w:adjustRightInd w:val="0"/>
              <w:spacing w:line="440" w:lineRule="exact"/>
              <w:jc w:val="center"/>
              <w:rPr>
                <w:rFonts w:hint="eastAsia"/>
                <w:color w:val="auto"/>
                <w:sz w:val="24"/>
                <w:szCs w:val="24"/>
                <w:highlight w:val="none"/>
              </w:rPr>
            </w:pPr>
            <w:r>
              <w:rPr>
                <w:rFonts w:hint="eastAsia"/>
                <w:color w:val="auto"/>
                <w:sz w:val="24"/>
                <w:szCs w:val="24"/>
                <w:highlight w:val="none"/>
                <w:lang w:val="en-US" w:eastAsia="zh-CN"/>
              </w:rPr>
              <w:t>3,097,517.08</w:t>
            </w:r>
          </w:p>
        </w:tc>
        <w:tc>
          <w:tcPr>
            <w:tcW w:w="1632"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22547E1E">
            <w:pPr>
              <w:widowControl/>
              <w:adjustRightInd w:val="0"/>
              <w:spacing w:line="440" w:lineRule="exact"/>
              <w:jc w:val="center"/>
              <w:rPr>
                <w:rFonts w:hint="eastAsia"/>
                <w:color w:val="auto"/>
                <w:sz w:val="24"/>
                <w:szCs w:val="24"/>
                <w:highlight w:val="none"/>
              </w:rPr>
            </w:pPr>
            <w:r>
              <w:rPr>
                <w:rFonts w:hint="eastAsia"/>
                <w:color w:val="auto"/>
                <w:sz w:val="24"/>
                <w:szCs w:val="24"/>
                <w:highlight w:val="none"/>
                <w:lang w:val="en-US" w:eastAsia="zh-CN"/>
              </w:rPr>
              <w:t>3,097,517.08</w:t>
            </w:r>
          </w:p>
        </w:tc>
      </w:tr>
    </w:tbl>
    <w:p w14:paraId="62511A0F">
      <w:pPr>
        <w:pStyle w:val="36"/>
        <w:wordWrap w:val="0"/>
        <w:spacing w:before="0" w:beforeAutospacing="0" w:after="0" w:afterAutospacing="0" w:line="480" w:lineRule="atLeast"/>
        <w:ind w:firstLine="420" w:firstLineChars="20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合同包预算金额：</w:t>
      </w:r>
      <w:r>
        <w:rPr>
          <w:rFonts w:hint="eastAsia" w:ascii="微软雅黑" w:hAnsi="微软雅黑" w:eastAsia="微软雅黑"/>
          <w:color w:val="auto"/>
          <w:sz w:val="21"/>
          <w:szCs w:val="21"/>
          <w:highlight w:val="none"/>
          <w:shd w:val="clear" w:color="auto" w:fill="FFFFFF"/>
          <w:lang w:val="en-US" w:eastAsia="zh-CN"/>
        </w:rPr>
        <w:t>3,097,517.08</w:t>
      </w:r>
      <w:r>
        <w:rPr>
          <w:rFonts w:hint="eastAsia" w:ascii="微软雅黑" w:hAnsi="微软雅黑" w:eastAsia="微软雅黑"/>
          <w:color w:val="auto"/>
          <w:sz w:val="21"/>
          <w:szCs w:val="21"/>
          <w:highlight w:val="none"/>
          <w:shd w:val="clear" w:color="auto" w:fill="FFFFFF"/>
        </w:rPr>
        <w:t>元</w:t>
      </w:r>
    </w:p>
    <w:p w14:paraId="45083AB3">
      <w:pPr>
        <w:ind w:firstLine="420" w:firstLineChars="200"/>
        <w:rPr>
          <w:rFonts w:hint="eastAsia"/>
          <w:highlight w:val="none"/>
        </w:rPr>
      </w:pPr>
      <w:r>
        <w:rPr>
          <w:rFonts w:hint="eastAsia" w:ascii="微软雅黑" w:hAnsi="微软雅黑" w:eastAsia="微软雅黑"/>
          <w:color w:val="auto"/>
          <w:sz w:val="21"/>
          <w:szCs w:val="21"/>
          <w:highlight w:val="none"/>
          <w:shd w:val="clear" w:color="auto" w:fill="FFFFFF"/>
        </w:rPr>
        <w:t>本合同包不接受联合体投标</w:t>
      </w:r>
    </w:p>
    <w:p w14:paraId="5C0D089A">
      <w:pPr>
        <w:pStyle w:val="36"/>
        <w:wordWrap w:val="0"/>
        <w:spacing w:before="0" w:beforeAutospacing="0" w:after="0" w:afterAutospacing="0" w:line="480" w:lineRule="atLeast"/>
        <w:ind w:firstLine="420" w:firstLineChars="200"/>
        <w:jc w:val="both"/>
        <w:rPr>
          <w:rFonts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合同包</w:t>
      </w:r>
      <w:r>
        <w:rPr>
          <w:rFonts w:hint="eastAsia" w:ascii="微软雅黑" w:hAnsi="微软雅黑" w:eastAsia="微软雅黑"/>
          <w:color w:val="auto"/>
          <w:sz w:val="21"/>
          <w:szCs w:val="21"/>
          <w:highlight w:val="none"/>
          <w:shd w:val="clear" w:color="auto" w:fill="FFFFFF"/>
          <w:lang w:val="en-US" w:eastAsia="zh-CN"/>
        </w:rPr>
        <w:t>2</w:t>
      </w:r>
      <w:r>
        <w:rPr>
          <w:rFonts w:hint="eastAsia" w:ascii="微软雅黑" w:hAnsi="微软雅黑" w:eastAsia="微软雅黑"/>
          <w:color w:val="auto"/>
          <w:sz w:val="21"/>
          <w:szCs w:val="21"/>
          <w:highlight w:val="none"/>
          <w:shd w:val="clear" w:color="auto" w:fill="FFFFFF"/>
        </w:rPr>
        <w:t>(</w:t>
      </w:r>
      <w:r>
        <w:rPr>
          <w:rFonts w:hint="eastAsia" w:ascii="微软雅黑" w:hAnsi="微软雅黑" w:eastAsia="微软雅黑"/>
          <w:color w:val="auto"/>
          <w:sz w:val="21"/>
          <w:szCs w:val="21"/>
          <w:highlight w:val="none"/>
          <w:shd w:val="clear" w:color="auto" w:fill="FFFFFF"/>
          <w:lang w:eastAsia="zh-CN"/>
        </w:rPr>
        <w:t>秦渡街道西南郊水厂二期一阶段项目清表及垃圾清运工程第2包</w:t>
      </w:r>
      <w:r>
        <w:rPr>
          <w:rFonts w:hint="eastAsia" w:ascii="微软雅黑" w:hAnsi="微软雅黑" w:eastAsia="微软雅黑"/>
          <w:color w:val="auto"/>
          <w:sz w:val="21"/>
          <w:szCs w:val="21"/>
          <w:highlight w:val="none"/>
          <w:shd w:val="clear" w:color="auto" w:fill="FFFFFF"/>
        </w:rPr>
        <w:t>):</w:t>
      </w:r>
    </w:p>
    <w:tbl>
      <w:tblPr>
        <w:tblStyle w:val="41"/>
        <w:tblW w:w="9393" w:type="dxa"/>
        <w:tblInd w:w="-168"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Layout w:type="fixed"/>
        <w:tblCellMar>
          <w:top w:w="0" w:type="dxa"/>
          <w:left w:w="0" w:type="dxa"/>
          <w:bottom w:w="0" w:type="dxa"/>
          <w:right w:w="0" w:type="dxa"/>
        </w:tblCellMar>
      </w:tblPr>
      <w:tblGrid>
        <w:gridCol w:w="984"/>
        <w:gridCol w:w="1075"/>
        <w:gridCol w:w="1191"/>
        <w:gridCol w:w="1134"/>
        <w:gridCol w:w="1677"/>
        <w:gridCol w:w="1642"/>
        <w:gridCol w:w="1690"/>
      </w:tblGrid>
      <w:tr w14:paraId="3B778ACA">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1051" w:hRule="atLeast"/>
        </w:trPr>
        <w:tc>
          <w:tcPr>
            <w:tcW w:w="984" w:type="dxa"/>
            <w:tcBorders>
              <w:top w:val="single" w:color="333333" w:sz="4" w:space="0"/>
              <w:left w:val="single" w:color="333333" w:sz="4" w:space="0"/>
              <w:bottom w:val="single" w:color="333333" w:sz="4" w:space="0"/>
              <w:right w:val="single" w:color="333333" w:sz="4" w:space="0"/>
            </w:tcBorders>
            <w:tcMar>
              <w:top w:w="50" w:type="dxa"/>
              <w:left w:w="80" w:type="dxa"/>
              <w:bottom w:w="50" w:type="dxa"/>
              <w:right w:w="80" w:type="dxa"/>
            </w:tcMar>
            <w:vAlign w:val="center"/>
          </w:tcPr>
          <w:p w14:paraId="1BAAF170">
            <w:pPr>
              <w:widowControl/>
              <w:adjustRightInd w:val="0"/>
              <w:spacing w:line="440" w:lineRule="exact"/>
              <w:ind w:right="-226"/>
              <w:rPr>
                <w:rFonts w:ascii="Calibri" w:hAnsi="Calibri"/>
                <w:color w:val="auto"/>
                <w:kern w:val="2"/>
                <w:sz w:val="21"/>
                <w:szCs w:val="21"/>
                <w:highlight w:val="none"/>
              </w:rPr>
            </w:pPr>
            <w:r>
              <w:rPr>
                <w:rFonts w:hint="eastAsia"/>
                <w:color w:val="auto"/>
                <w:sz w:val="24"/>
                <w:szCs w:val="24"/>
                <w:highlight w:val="none"/>
              </w:rPr>
              <w:t>品目号</w:t>
            </w:r>
          </w:p>
        </w:tc>
        <w:tc>
          <w:tcPr>
            <w:tcW w:w="1075"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0B6C4104">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品目</w:t>
            </w:r>
          </w:p>
          <w:p w14:paraId="6E098367">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名称</w:t>
            </w:r>
          </w:p>
        </w:tc>
        <w:tc>
          <w:tcPr>
            <w:tcW w:w="1191"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1DD70A26">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采购标的</w:t>
            </w:r>
          </w:p>
        </w:tc>
        <w:tc>
          <w:tcPr>
            <w:tcW w:w="1134"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492D9328">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数量</w:t>
            </w:r>
          </w:p>
          <w:p w14:paraId="723A9881">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（单位）</w:t>
            </w:r>
          </w:p>
        </w:tc>
        <w:tc>
          <w:tcPr>
            <w:tcW w:w="1677"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63EA1683">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技术规格、参数及要求</w:t>
            </w:r>
          </w:p>
        </w:tc>
        <w:tc>
          <w:tcPr>
            <w:tcW w:w="1642"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5429062C">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品目预算</w:t>
            </w:r>
          </w:p>
          <w:p w14:paraId="2EBB8581">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(元)</w:t>
            </w:r>
          </w:p>
        </w:tc>
        <w:tc>
          <w:tcPr>
            <w:tcW w:w="1690"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34699061">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最高限价</w:t>
            </w:r>
          </w:p>
          <w:p w14:paraId="23478890">
            <w:pPr>
              <w:widowControl/>
              <w:adjustRightInd w:val="0"/>
              <w:spacing w:line="440" w:lineRule="exact"/>
              <w:jc w:val="center"/>
              <w:rPr>
                <w:rFonts w:ascii="Calibri" w:hAnsi="Calibri"/>
                <w:color w:val="auto"/>
                <w:kern w:val="2"/>
                <w:sz w:val="21"/>
                <w:szCs w:val="21"/>
                <w:highlight w:val="none"/>
              </w:rPr>
            </w:pPr>
            <w:r>
              <w:rPr>
                <w:rFonts w:hint="eastAsia"/>
                <w:color w:val="auto"/>
                <w:sz w:val="24"/>
                <w:szCs w:val="24"/>
                <w:highlight w:val="none"/>
              </w:rPr>
              <w:t>(元)</w:t>
            </w:r>
          </w:p>
        </w:tc>
      </w:tr>
      <w:tr w14:paraId="131B9BD7">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1683" w:hRule="atLeast"/>
        </w:trPr>
        <w:tc>
          <w:tcPr>
            <w:tcW w:w="984" w:type="dxa"/>
            <w:tcBorders>
              <w:top w:val="single" w:color="333333" w:sz="4" w:space="0"/>
              <w:left w:val="single" w:color="333333" w:sz="4" w:space="0"/>
              <w:bottom w:val="single" w:color="333333" w:sz="4" w:space="0"/>
              <w:right w:val="single" w:color="333333" w:sz="4" w:space="0"/>
            </w:tcBorders>
            <w:tcMar>
              <w:top w:w="50" w:type="dxa"/>
              <w:left w:w="80" w:type="dxa"/>
              <w:bottom w:w="50" w:type="dxa"/>
              <w:right w:w="80" w:type="dxa"/>
            </w:tcMar>
            <w:vAlign w:val="center"/>
          </w:tcPr>
          <w:p w14:paraId="7A4803AD">
            <w:pPr>
              <w:widowControl/>
              <w:adjustRightInd w:val="0"/>
              <w:spacing w:line="440" w:lineRule="exact"/>
              <w:jc w:val="center"/>
              <w:rPr>
                <w:rFonts w:hint="eastAsia" w:eastAsia="宋体"/>
                <w:color w:val="auto"/>
                <w:sz w:val="24"/>
                <w:szCs w:val="24"/>
                <w:highlight w:val="none"/>
                <w:lang w:eastAsia="zh-CN"/>
              </w:rPr>
            </w:pPr>
            <w:r>
              <w:rPr>
                <w:rFonts w:hint="eastAsia"/>
                <w:color w:val="auto"/>
                <w:sz w:val="24"/>
                <w:szCs w:val="24"/>
                <w:highlight w:val="none"/>
                <w:lang w:val="en-US" w:eastAsia="zh-CN"/>
              </w:rPr>
              <w:t>2</w:t>
            </w:r>
            <w:r>
              <w:rPr>
                <w:rFonts w:hint="eastAsia"/>
                <w:color w:val="auto"/>
                <w:sz w:val="24"/>
                <w:szCs w:val="24"/>
                <w:highlight w:val="none"/>
              </w:rPr>
              <w:t>-</w:t>
            </w:r>
            <w:r>
              <w:rPr>
                <w:rFonts w:hint="eastAsia"/>
                <w:color w:val="auto"/>
                <w:sz w:val="24"/>
                <w:szCs w:val="24"/>
                <w:highlight w:val="none"/>
                <w:lang w:val="en-US" w:eastAsia="zh-CN"/>
              </w:rPr>
              <w:t>1</w:t>
            </w:r>
          </w:p>
        </w:tc>
        <w:tc>
          <w:tcPr>
            <w:tcW w:w="1075"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1D8AC19C">
            <w:pPr>
              <w:widowControl/>
              <w:adjustRightInd w:val="0"/>
              <w:spacing w:line="44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其他建筑工程</w:t>
            </w:r>
          </w:p>
        </w:tc>
        <w:tc>
          <w:tcPr>
            <w:tcW w:w="1191"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0B768306">
            <w:pPr>
              <w:widowControl/>
              <w:adjustRightInd w:val="0"/>
              <w:spacing w:line="440" w:lineRule="exact"/>
              <w:jc w:val="center"/>
              <w:rPr>
                <w:rFonts w:hint="eastAsia"/>
                <w:color w:val="auto"/>
                <w:sz w:val="24"/>
                <w:szCs w:val="24"/>
                <w:highlight w:val="none"/>
              </w:rPr>
            </w:pPr>
            <w:r>
              <w:rPr>
                <w:rFonts w:hint="eastAsia"/>
                <w:color w:val="auto"/>
                <w:sz w:val="24"/>
                <w:szCs w:val="24"/>
                <w:highlight w:val="none"/>
                <w:lang w:eastAsia="zh-CN"/>
              </w:rPr>
              <w:t>秦渡街道西南郊水厂二期一阶段项目清表及垃圾清运工程第2包</w:t>
            </w:r>
          </w:p>
        </w:tc>
        <w:tc>
          <w:tcPr>
            <w:tcW w:w="1134"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0B1504C7">
            <w:pPr>
              <w:widowControl/>
              <w:adjustRightInd w:val="0"/>
              <w:spacing w:line="440" w:lineRule="exact"/>
              <w:jc w:val="center"/>
              <w:rPr>
                <w:rFonts w:hint="eastAsia"/>
                <w:color w:val="auto"/>
                <w:sz w:val="24"/>
                <w:szCs w:val="24"/>
                <w:highlight w:val="none"/>
              </w:rPr>
            </w:pPr>
            <w:r>
              <w:rPr>
                <w:rFonts w:hint="eastAsia"/>
                <w:color w:val="auto"/>
                <w:sz w:val="24"/>
                <w:szCs w:val="24"/>
                <w:highlight w:val="none"/>
              </w:rPr>
              <w:t>1(项)</w:t>
            </w:r>
          </w:p>
        </w:tc>
        <w:tc>
          <w:tcPr>
            <w:tcW w:w="1677"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7D977116">
            <w:pPr>
              <w:widowControl/>
              <w:adjustRightInd w:val="0"/>
              <w:spacing w:line="440" w:lineRule="exact"/>
              <w:jc w:val="center"/>
              <w:rPr>
                <w:rFonts w:hint="eastAsia"/>
                <w:color w:val="auto"/>
                <w:sz w:val="24"/>
                <w:szCs w:val="24"/>
                <w:highlight w:val="none"/>
              </w:rPr>
            </w:pPr>
            <w:r>
              <w:rPr>
                <w:rFonts w:hint="eastAsia"/>
                <w:color w:val="auto"/>
                <w:sz w:val="24"/>
                <w:szCs w:val="24"/>
                <w:highlight w:val="none"/>
              </w:rPr>
              <w:t>详见采购文件</w:t>
            </w:r>
          </w:p>
        </w:tc>
        <w:tc>
          <w:tcPr>
            <w:tcW w:w="1642"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31444A0A">
            <w:pPr>
              <w:widowControl/>
              <w:adjustRightInd w:val="0"/>
              <w:spacing w:line="440" w:lineRule="exact"/>
              <w:jc w:val="center"/>
              <w:rPr>
                <w:rFonts w:hint="eastAsia"/>
                <w:color w:val="auto"/>
                <w:sz w:val="24"/>
                <w:szCs w:val="24"/>
                <w:highlight w:val="none"/>
              </w:rPr>
            </w:pPr>
            <w:r>
              <w:rPr>
                <w:rFonts w:hint="eastAsia"/>
                <w:color w:val="auto"/>
                <w:sz w:val="24"/>
                <w:szCs w:val="24"/>
                <w:highlight w:val="none"/>
                <w:lang w:val="en-US" w:eastAsia="zh-CN"/>
              </w:rPr>
              <w:t>2,244,353.50</w:t>
            </w:r>
          </w:p>
        </w:tc>
        <w:tc>
          <w:tcPr>
            <w:tcW w:w="1690" w:type="dxa"/>
            <w:tcBorders>
              <w:top w:val="single" w:color="333333" w:sz="4" w:space="0"/>
              <w:left w:val="nil"/>
              <w:bottom w:val="single" w:color="333333" w:sz="4" w:space="0"/>
              <w:right w:val="single" w:color="333333" w:sz="4" w:space="0"/>
            </w:tcBorders>
            <w:tcMar>
              <w:top w:w="50" w:type="dxa"/>
              <w:left w:w="80" w:type="dxa"/>
              <w:bottom w:w="50" w:type="dxa"/>
              <w:right w:w="80" w:type="dxa"/>
            </w:tcMar>
            <w:vAlign w:val="center"/>
          </w:tcPr>
          <w:p w14:paraId="04E9B752">
            <w:pPr>
              <w:widowControl/>
              <w:adjustRightInd w:val="0"/>
              <w:spacing w:line="440" w:lineRule="exact"/>
              <w:jc w:val="center"/>
              <w:rPr>
                <w:rFonts w:hint="eastAsia"/>
                <w:color w:val="auto"/>
                <w:sz w:val="24"/>
                <w:szCs w:val="24"/>
                <w:highlight w:val="none"/>
              </w:rPr>
            </w:pPr>
            <w:r>
              <w:rPr>
                <w:rFonts w:hint="eastAsia"/>
                <w:color w:val="auto"/>
                <w:sz w:val="24"/>
                <w:szCs w:val="24"/>
                <w:highlight w:val="none"/>
                <w:lang w:val="en-US" w:eastAsia="zh-CN"/>
              </w:rPr>
              <w:t>2,244,353.50</w:t>
            </w:r>
          </w:p>
        </w:tc>
      </w:tr>
    </w:tbl>
    <w:p w14:paraId="40B58C23">
      <w:pPr>
        <w:ind w:firstLine="630" w:firstLineChars="300"/>
        <w:rPr>
          <w:highlight w:val="none"/>
        </w:rPr>
      </w:pPr>
      <w:r>
        <w:rPr>
          <w:rFonts w:hint="eastAsia" w:ascii="微软雅黑" w:hAnsi="微软雅黑" w:eastAsia="微软雅黑"/>
          <w:color w:val="auto"/>
          <w:sz w:val="21"/>
          <w:szCs w:val="21"/>
          <w:highlight w:val="none"/>
          <w:shd w:val="clear" w:color="auto" w:fill="FFFFFF"/>
        </w:rPr>
        <w:t>合同包预算金额：</w:t>
      </w:r>
      <w:r>
        <w:rPr>
          <w:rFonts w:hint="eastAsia" w:ascii="微软雅黑" w:hAnsi="微软雅黑" w:eastAsia="微软雅黑"/>
          <w:color w:val="auto"/>
          <w:sz w:val="21"/>
          <w:szCs w:val="21"/>
          <w:highlight w:val="none"/>
          <w:shd w:val="clear" w:color="auto" w:fill="FFFFFF"/>
          <w:lang w:val="en-US" w:eastAsia="zh-CN"/>
        </w:rPr>
        <w:t>2,244,353.50</w:t>
      </w:r>
      <w:r>
        <w:rPr>
          <w:rFonts w:hint="eastAsia" w:ascii="微软雅黑" w:hAnsi="微软雅黑" w:eastAsia="微软雅黑"/>
          <w:color w:val="auto"/>
          <w:sz w:val="21"/>
          <w:szCs w:val="21"/>
          <w:highlight w:val="none"/>
          <w:shd w:val="clear" w:color="auto" w:fill="FFFFFF"/>
        </w:rPr>
        <w:t>元</w:t>
      </w:r>
    </w:p>
    <w:p w14:paraId="412419BB">
      <w:pPr>
        <w:pStyle w:val="36"/>
        <w:wordWrap w:val="0"/>
        <w:spacing w:before="0" w:beforeAutospacing="0" w:after="0" w:afterAutospacing="0" w:line="480" w:lineRule="atLeast"/>
        <w:ind w:firstLine="630"/>
        <w:jc w:val="both"/>
        <w:rPr>
          <w:color w:val="auto"/>
          <w:sz w:val="21"/>
          <w:szCs w:val="21"/>
          <w:highlight w:val="none"/>
        </w:rPr>
      </w:pPr>
      <w:r>
        <w:rPr>
          <w:rFonts w:hint="eastAsia" w:ascii="微软雅黑" w:hAnsi="微软雅黑" w:eastAsia="微软雅黑"/>
          <w:color w:val="auto"/>
          <w:sz w:val="21"/>
          <w:szCs w:val="21"/>
          <w:highlight w:val="none"/>
          <w:shd w:val="clear" w:color="auto" w:fill="FFFFFF"/>
        </w:rPr>
        <w:t>本合同包不接受联合体投标</w:t>
      </w:r>
    </w:p>
    <w:p w14:paraId="6870F656">
      <w:pPr>
        <w:pStyle w:val="36"/>
        <w:wordWrap w:val="0"/>
        <w:spacing w:before="0" w:beforeAutospacing="0" w:after="0" w:afterAutospacing="0" w:line="480" w:lineRule="atLeast"/>
        <w:ind w:firstLine="630"/>
        <w:jc w:val="both"/>
        <w:rPr>
          <w:rFonts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合同履行期限：</w:t>
      </w:r>
      <w:r>
        <w:rPr>
          <w:rFonts w:hint="eastAsia" w:ascii="微软雅黑" w:hAnsi="微软雅黑" w:eastAsia="微软雅黑"/>
          <w:color w:val="auto"/>
          <w:sz w:val="21"/>
          <w:szCs w:val="21"/>
          <w:highlight w:val="none"/>
          <w:shd w:val="clear" w:color="auto" w:fill="FFFFFF"/>
          <w:lang w:val="en-US" w:eastAsia="zh-CN"/>
        </w:rPr>
        <w:t xml:space="preserve"> 45</w:t>
      </w:r>
      <w:r>
        <w:rPr>
          <w:rFonts w:hint="eastAsia" w:ascii="微软雅黑" w:hAnsi="微软雅黑" w:eastAsia="微软雅黑"/>
          <w:color w:val="auto"/>
          <w:sz w:val="21"/>
          <w:szCs w:val="21"/>
          <w:highlight w:val="none"/>
          <w:shd w:val="clear" w:color="auto" w:fill="FFFFFF"/>
        </w:rPr>
        <w:t>日历天</w:t>
      </w:r>
    </w:p>
    <w:p w14:paraId="323D395C">
      <w:pPr>
        <w:pStyle w:val="36"/>
        <w:wordWrap w:val="0"/>
        <w:spacing w:before="0" w:beforeAutospacing="0" w:after="0" w:afterAutospacing="0" w:line="480" w:lineRule="atLeast"/>
        <w:jc w:val="both"/>
        <w:rPr>
          <w:rFonts w:ascii="Calibri" w:hAnsi="Calibri"/>
          <w:color w:val="auto"/>
          <w:sz w:val="21"/>
          <w:szCs w:val="21"/>
          <w:highlight w:val="none"/>
        </w:rPr>
      </w:pPr>
      <w:r>
        <w:rPr>
          <w:rStyle w:val="240"/>
          <w:rFonts w:ascii="宋体" w:hAnsi="宋体"/>
          <w:bCs/>
          <w:color w:val="auto"/>
          <w:sz w:val="21"/>
          <w:szCs w:val="21"/>
          <w:highlight w:val="none"/>
          <w:shd w:val="clear" w:color="auto" w:fill="FFFFFF"/>
        </w:rPr>
        <w:t>二、申请人的资格要求：</w:t>
      </w:r>
    </w:p>
    <w:p w14:paraId="31EE0794">
      <w:pPr>
        <w:pStyle w:val="36"/>
        <w:wordWrap w:val="0"/>
        <w:spacing w:before="0" w:beforeAutospacing="0" w:after="0" w:afterAutospacing="0" w:line="480" w:lineRule="atLeast"/>
        <w:ind w:firstLine="480"/>
        <w:jc w:val="both"/>
        <w:rPr>
          <w:color w:val="auto"/>
          <w:sz w:val="21"/>
          <w:szCs w:val="21"/>
          <w:highlight w:val="none"/>
        </w:rPr>
      </w:pPr>
      <w:r>
        <w:rPr>
          <w:rFonts w:hint="eastAsia" w:ascii="微软雅黑" w:hAnsi="微软雅黑" w:eastAsia="微软雅黑"/>
          <w:color w:val="auto"/>
          <w:sz w:val="21"/>
          <w:szCs w:val="21"/>
          <w:highlight w:val="none"/>
          <w:shd w:val="clear" w:color="auto" w:fill="FFFFFF"/>
        </w:rPr>
        <w:t>1.满足《中华人民共和国政府采购法》第二十二条规定;</w:t>
      </w:r>
    </w:p>
    <w:p w14:paraId="210EBD55">
      <w:pPr>
        <w:pStyle w:val="36"/>
        <w:wordWrap w:val="0"/>
        <w:spacing w:before="0" w:beforeAutospacing="0" w:after="0" w:afterAutospacing="0" w:line="480" w:lineRule="atLeast"/>
        <w:ind w:firstLine="480"/>
        <w:jc w:val="both"/>
        <w:rPr>
          <w:color w:val="auto"/>
          <w:sz w:val="21"/>
          <w:szCs w:val="21"/>
          <w:highlight w:val="none"/>
        </w:rPr>
      </w:pPr>
      <w:r>
        <w:rPr>
          <w:rFonts w:hint="eastAsia" w:ascii="微软雅黑" w:hAnsi="微软雅黑" w:eastAsia="微软雅黑"/>
          <w:color w:val="auto"/>
          <w:sz w:val="21"/>
          <w:szCs w:val="21"/>
          <w:highlight w:val="none"/>
          <w:shd w:val="clear" w:color="auto" w:fill="FFFFFF"/>
        </w:rPr>
        <w:t>2.落实政府采购政策需满足的资格要求：</w:t>
      </w:r>
    </w:p>
    <w:p w14:paraId="33CCC055">
      <w:pPr>
        <w:pStyle w:val="36"/>
        <w:wordWrap w:val="0"/>
        <w:spacing w:before="0" w:beforeAutospacing="0" w:after="0" w:afterAutospacing="0" w:line="480" w:lineRule="atLeast"/>
        <w:ind w:firstLine="480"/>
        <w:jc w:val="both"/>
        <w:rPr>
          <w:color w:val="auto"/>
          <w:sz w:val="21"/>
          <w:szCs w:val="21"/>
          <w:highlight w:val="none"/>
        </w:rPr>
      </w:pPr>
      <w:r>
        <w:rPr>
          <w:rFonts w:hint="eastAsia" w:ascii="微软雅黑" w:hAnsi="微软雅黑" w:eastAsia="微软雅黑"/>
          <w:color w:val="auto"/>
          <w:sz w:val="21"/>
          <w:szCs w:val="21"/>
          <w:highlight w:val="none"/>
          <w:shd w:val="clear" w:color="auto" w:fill="FFFFFF"/>
        </w:rPr>
        <w:t>合同包1(</w:t>
      </w:r>
      <w:r>
        <w:rPr>
          <w:rFonts w:hint="eastAsia" w:ascii="微软雅黑" w:hAnsi="微软雅黑" w:eastAsia="微软雅黑"/>
          <w:color w:val="auto"/>
          <w:sz w:val="21"/>
          <w:szCs w:val="21"/>
          <w:highlight w:val="none"/>
          <w:shd w:val="clear" w:color="auto" w:fill="FFFFFF"/>
          <w:lang w:eastAsia="zh-CN"/>
        </w:rPr>
        <w:t>秦渡街道西南郊水厂二期一阶段项目清表及垃圾清运工程第1包</w:t>
      </w:r>
      <w:r>
        <w:rPr>
          <w:rFonts w:hint="eastAsia" w:ascii="微软雅黑" w:hAnsi="微软雅黑" w:eastAsia="微软雅黑"/>
          <w:color w:val="auto"/>
          <w:sz w:val="21"/>
          <w:szCs w:val="21"/>
          <w:highlight w:val="none"/>
          <w:shd w:val="clear" w:color="auto" w:fill="FFFFFF"/>
        </w:rPr>
        <w:t>)落实政府采购政策需满足的资格要求如下:</w:t>
      </w:r>
    </w:p>
    <w:p w14:paraId="75217174">
      <w:pPr>
        <w:pStyle w:val="36"/>
        <w:wordWrap w:val="0"/>
        <w:spacing w:before="0" w:beforeAutospacing="0" w:after="0" w:afterAutospacing="0" w:line="480" w:lineRule="atLeast"/>
        <w:ind w:left="480"/>
        <w:jc w:val="both"/>
        <w:rPr>
          <w:color w:val="auto"/>
          <w:sz w:val="21"/>
          <w:szCs w:val="21"/>
          <w:highlight w:val="none"/>
        </w:rPr>
      </w:pPr>
      <w:r>
        <w:rPr>
          <w:rFonts w:hint="eastAsia" w:ascii="微软雅黑" w:hAnsi="微软雅黑" w:eastAsia="微软雅黑"/>
          <w:color w:val="auto"/>
          <w:sz w:val="21"/>
          <w:szCs w:val="21"/>
          <w:highlight w:val="none"/>
          <w:shd w:val="clear" w:color="auto" w:fill="FFFFFF"/>
        </w:rPr>
        <w:t>本项目专门面向中小企业采购，</w:t>
      </w:r>
      <w:r>
        <w:rPr>
          <w:rFonts w:hint="eastAsia" w:ascii="微软雅黑" w:hAnsi="微软雅黑" w:eastAsia="微软雅黑"/>
          <w:color w:val="auto"/>
          <w:sz w:val="21"/>
          <w:szCs w:val="21"/>
          <w:highlight w:val="none"/>
          <w:shd w:val="clear" w:color="auto" w:fill="FFFFFF"/>
          <w:lang w:eastAsia="zh-CN"/>
        </w:rPr>
        <w:t>投标人</w:t>
      </w:r>
      <w:r>
        <w:rPr>
          <w:rFonts w:hint="eastAsia" w:ascii="微软雅黑" w:hAnsi="微软雅黑" w:eastAsia="微软雅黑"/>
          <w:color w:val="auto"/>
          <w:sz w:val="21"/>
          <w:szCs w:val="21"/>
          <w:highlight w:val="none"/>
          <w:shd w:val="clear" w:color="auto" w:fill="FFFFFF"/>
        </w:rPr>
        <w:t>应当为中小企业（含残疾人福利性单位、监狱企业）。</w:t>
      </w:r>
    </w:p>
    <w:p w14:paraId="0CDD4AB4">
      <w:pPr>
        <w:pStyle w:val="36"/>
        <w:wordWrap w:val="0"/>
        <w:spacing w:before="0" w:beforeAutospacing="0" w:after="0" w:afterAutospacing="0" w:line="480" w:lineRule="atLeast"/>
        <w:ind w:firstLine="480"/>
        <w:jc w:val="both"/>
        <w:rPr>
          <w:color w:val="auto"/>
          <w:sz w:val="21"/>
          <w:szCs w:val="21"/>
          <w:highlight w:val="none"/>
        </w:rPr>
      </w:pPr>
      <w:r>
        <w:rPr>
          <w:rFonts w:hint="eastAsia" w:ascii="微软雅黑" w:hAnsi="微软雅黑" w:eastAsia="微软雅黑"/>
          <w:color w:val="auto"/>
          <w:sz w:val="21"/>
          <w:szCs w:val="21"/>
          <w:highlight w:val="none"/>
          <w:shd w:val="clear" w:color="auto" w:fill="FFFFFF"/>
        </w:rPr>
        <w:t>合同包</w:t>
      </w:r>
      <w:r>
        <w:rPr>
          <w:rFonts w:hint="eastAsia" w:ascii="微软雅黑" w:hAnsi="微软雅黑" w:eastAsia="微软雅黑"/>
          <w:color w:val="auto"/>
          <w:sz w:val="21"/>
          <w:szCs w:val="21"/>
          <w:highlight w:val="none"/>
          <w:shd w:val="clear" w:color="auto" w:fill="FFFFFF"/>
          <w:lang w:val="en-US" w:eastAsia="zh-CN"/>
        </w:rPr>
        <w:t>2</w:t>
      </w:r>
      <w:r>
        <w:rPr>
          <w:rFonts w:hint="eastAsia" w:ascii="微软雅黑" w:hAnsi="微软雅黑" w:eastAsia="微软雅黑"/>
          <w:color w:val="auto"/>
          <w:sz w:val="21"/>
          <w:szCs w:val="21"/>
          <w:highlight w:val="none"/>
          <w:shd w:val="clear" w:color="auto" w:fill="FFFFFF"/>
        </w:rPr>
        <w:t>(</w:t>
      </w:r>
      <w:r>
        <w:rPr>
          <w:rFonts w:hint="eastAsia" w:ascii="微软雅黑" w:hAnsi="微软雅黑" w:eastAsia="微软雅黑"/>
          <w:color w:val="auto"/>
          <w:sz w:val="21"/>
          <w:szCs w:val="21"/>
          <w:highlight w:val="none"/>
          <w:shd w:val="clear" w:color="auto" w:fill="FFFFFF"/>
          <w:lang w:eastAsia="zh-CN"/>
        </w:rPr>
        <w:t>秦渡街道西南郊水厂二期一阶段项目清表及垃圾清运工程第2包</w:t>
      </w:r>
      <w:r>
        <w:rPr>
          <w:rFonts w:hint="eastAsia" w:ascii="微软雅黑" w:hAnsi="微软雅黑" w:eastAsia="微软雅黑"/>
          <w:color w:val="auto"/>
          <w:sz w:val="21"/>
          <w:szCs w:val="21"/>
          <w:highlight w:val="none"/>
          <w:shd w:val="clear" w:color="auto" w:fill="FFFFFF"/>
        </w:rPr>
        <w:t>)落实政府采购政策需满足的资格要求如下:</w:t>
      </w:r>
    </w:p>
    <w:p w14:paraId="5303BF77">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本项目专门面向中小企业采购，</w:t>
      </w:r>
      <w:r>
        <w:rPr>
          <w:rFonts w:hint="eastAsia" w:ascii="微软雅黑" w:hAnsi="微软雅黑" w:eastAsia="微软雅黑"/>
          <w:color w:val="auto"/>
          <w:sz w:val="21"/>
          <w:szCs w:val="21"/>
          <w:highlight w:val="none"/>
          <w:shd w:val="clear" w:color="auto" w:fill="FFFFFF"/>
          <w:lang w:eastAsia="zh-CN"/>
        </w:rPr>
        <w:t>投标人</w:t>
      </w:r>
      <w:r>
        <w:rPr>
          <w:rFonts w:hint="eastAsia" w:ascii="微软雅黑" w:hAnsi="微软雅黑" w:eastAsia="微软雅黑"/>
          <w:color w:val="auto"/>
          <w:sz w:val="21"/>
          <w:szCs w:val="21"/>
          <w:highlight w:val="none"/>
          <w:shd w:val="clear" w:color="auto" w:fill="FFFFFF"/>
        </w:rPr>
        <w:t>应当为中小企业（含残疾人福利性单位、监狱企业）。</w:t>
      </w:r>
    </w:p>
    <w:p w14:paraId="3FB7F27E">
      <w:pPr>
        <w:pStyle w:val="36"/>
        <w:wordWrap w:val="0"/>
        <w:spacing w:before="0" w:beforeAutospacing="0" w:after="0" w:afterAutospacing="0" w:line="480" w:lineRule="atLeast"/>
        <w:ind w:firstLine="480"/>
        <w:jc w:val="both"/>
        <w:rPr>
          <w:color w:val="auto"/>
          <w:sz w:val="21"/>
          <w:szCs w:val="21"/>
          <w:highlight w:val="none"/>
        </w:rPr>
      </w:pPr>
      <w:r>
        <w:rPr>
          <w:rFonts w:hint="eastAsia" w:ascii="微软雅黑" w:hAnsi="微软雅黑" w:eastAsia="微软雅黑"/>
          <w:color w:val="auto"/>
          <w:sz w:val="21"/>
          <w:szCs w:val="21"/>
          <w:highlight w:val="none"/>
          <w:shd w:val="clear" w:color="auto" w:fill="FFFFFF"/>
        </w:rPr>
        <w:t>3.本项目的特定资格要求：</w:t>
      </w:r>
    </w:p>
    <w:p w14:paraId="155F880A">
      <w:pPr>
        <w:pStyle w:val="36"/>
        <w:wordWrap w:val="0"/>
        <w:spacing w:before="0" w:beforeAutospacing="0" w:after="0" w:afterAutospacing="0" w:line="480" w:lineRule="atLeast"/>
        <w:ind w:firstLine="480"/>
        <w:jc w:val="both"/>
        <w:rPr>
          <w:color w:val="auto"/>
          <w:sz w:val="21"/>
          <w:szCs w:val="21"/>
          <w:highlight w:val="none"/>
        </w:rPr>
      </w:pPr>
      <w:r>
        <w:rPr>
          <w:rFonts w:hint="eastAsia" w:ascii="微软雅黑" w:hAnsi="微软雅黑" w:eastAsia="微软雅黑"/>
          <w:color w:val="auto"/>
          <w:sz w:val="21"/>
          <w:szCs w:val="21"/>
          <w:highlight w:val="none"/>
          <w:shd w:val="clear" w:color="auto" w:fill="FFFFFF"/>
        </w:rPr>
        <w:t>合同包1(</w:t>
      </w:r>
      <w:r>
        <w:rPr>
          <w:rFonts w:hint="eastAsia" w:ascii="微软雅黑" w:hAnsi="微软雅黑" w:eastAsia="微软雅黑"/>
          <w:color w:val="auto"/>
          <w:sz w:val="21"/>
          <w:szCs w:val="21"/>
          <w:highlight w:val="none"/>
          <w:shd w:val="clear" w:color="auto" w:fill="FFFFFF"/>
          <w:lang w:eastAsia="zh-CN"/>
        </w:rPr>
        <w:t>秦渡街道西南郊水厂二期一阶段项目清表及垃圾清运工程第1包</w:t>
      </w:r>
      <w:r>
        <w:rPr>
          <w:rFonts w:hint="eastAsia" w:ascii="微软雅黑" w:hAnsi="微软雅黑" w:eastAsia="微软雅黑"/>
          <w:color w:val="auto"/>
          <w:sz w:val="21"/>
          <w:szCs w:val="21"/>
          <w:highlight w:val="none"/>
          <w:shd w:val="clear" w:color="auto" w:fill="FFFFFF"/>
        </w:rPr>
        <w:t>)特定资格要求如下:</w:t>
      </w:r>
    </w:p>
    <w:p w14:paraId="7F8146AF">
      <w:pPr>
        <w:pStyle w:val="36"/>
        <w:numPr>
          <w:ilvl w:val="0"/>
          <w:numId w:val="3"/>
        </w:numPr>
        <w:wordWrap w:val="0"/>
        <w:autoSpaceDE/>
        <w:autoSpaceDN/>
        <w:spacing w:before="0" w:beforeAutospacing="0" w:after="0" w:afterAutospacing="0" w:line="480" w:lineRule="atLeast"/>
        <w:ind w:left="480"/>
        <w:jc w:val="both"/>
        <w:rPr>
          <w:rFonts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投标人具有建筑</w:t>
      </w:r>
      <w:r>
        <w:rPr>
          <w:rFonts w:hint="eastAsia" w:ascii="微软雅黑" w:hAnsi="微软雅黑" w:eastAsia="微软雅黑"/>
          <w:color w:val="auto"/>
          <w:sz w:val="21"/>
          <w:szCs w:val="21"/>
          <w:highlight w:val="none"/>
          <w:shd w:val="clear" w:color="auto" w:fill="FFFFFF"/>
          <w:lang w:val="en-US" w:eastAsia="zh-CN"/>
        </w:rPr>
        <w:t>工程</w:t>
      </w:r>
      <w:r>
        <w:rPr>
          <w:rFonts w:hint="eastAsia" w:ascii="微软雅黑" w:hAnsi="微软雅黑" w:eastAsia="微软雅黑"/>
          <w:color w:val="auto"/>
          <w:sz w:val="21"/>
          <w:szCs w:val="21"/>
          <w:highlight w:val="none"/>
          <w:shd w:val="clear" w:color="auto" w:fill="FFFFFF"/>
        </w:rPr>
        <w:t>施工总承包三级以上</w:t>
      </w:r>
      <w:r>
        <w:rPr>
          <w:rFonts w:hint="eastAsia" w:ascii="微软雅黑" w:hAnsi="微软雅黑" w:eastAsia="微软雅黑"/>
          <w:color w:val="auto"/>
          <w:sz w:val="21"/>
          <w:szCs w:val="21"/>
          <w:highlight w:val="none"/>
          <w:shd w:val="clear" w:color="auto" w:fill="FFFFFF"/>
          <w:lang w:eastAsia="zh-CN"/>
        </w:rPr>
        <w:t>（</w:t>
      </w:r>
      <w:r>
        <w:rPr>
          <w:rFonts w:hint="eastAsia" w:ascii="微软雅黑" w:hAnsi="微软雅黑" w:eastAsia="微软雅黑"/>
          <w:color w:val="auto"/>
          <w:sz w:val="21"/>
          <w:szCs w:val="21"/>
          <w:highlight w:val="none"/>
          <w:shd w:val="clear" w:color="auto" w:fill="FFFFFF"/>
          <w:lang w:val="en-US" w:eastAsia="zh-CN"/>
        </w:rPr>
        <w:t>含三级</w:t>
      </w:r>
      <w:r>
        <w:rPr>
          <w:rFonts w:hint="eastAsia" w:ascii="微软雅黑" w:hAnsi="微软雅黑" w:eastAsia="微软雅黑"/>
          <w:color w:val="auto"/>
          <w:sz w:val="21"/>
          <w:szCs w:val="21"/>
          <w:highlight w:val="none"/>
          <w:shd w:val="clear" w:color="auto" w:fill="FFFFFF"/>
          <w:lang w:eastAsia="zh-CN"/>
        </w:rPr>
        <w:t>）</w:t>
      </w:r>
      <w:r>
        <w:rPr>
          <w:rFonts w:hint="eastAsia" w:ascii="微软雅黑" w:hAnsi="微软雅黑" w:eastAsia="微软雅黑"/>
          <w:color w:val="auto"/>
          <w:sz w:val="21"/>
          <w:szCs w:val="21"/>
          <w:highlight w:val="none"/>
          <w:shd w:val="clear" w:color="auto" w:fill="FFFFFF"/>
        </w:rPr>
        <w:t>资质；具备有效的安全生产许可证；</w:t>
      </w:r>
    </w:p>
    <w:p w14:paraId="183B2B19">
      <w:pPr>
        <w:pStyle w:val="36"/>
        <w:numPr>
          <w:ilvl w:val="0"/>
          <w:numId w:val="3"/>
        </w:numPr>
        <w:wordWrap w:val="0"/>
        <w:autoSpaceDE/>
        <w:autoSpaceDN/>
        <w:spacing w:before="0" w:beforeAutospacing="0" w:after="0" w:afterAutospacing="0" w:line="480" w:lineRule="atLeast"/>
        <w:ind w:left="480"/>
        <w:jc w:val="both"/>
        <w:rPr>
          <w:rFonts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投标人拟派项目经理具有建筑工程专业二级</w:t>
      </w:r>
      <w:r>
        <w:rPr>
          <w:rFonts w:hint="eastAsia" w:ascii="微软雅黑" w:hAnsi="微软雅黑" w:eastAsia="微软雅黑"/>
          <w:color w:val="auto"/>
          <w:sz w:val="21"/>
          <w:szCs w:val="21"/>
          <w:highlight w:val="none"/>
          <w:shd w:val="clear" w:color="auto" w:fill="FFFFFF"/>
          <w:lang w:val="en-US" w:eastAsia="zh-CN"/>
        </w:rPr>
        <w:t>以上</w:t>
      </w:r>
      <w:r>
        <w:rPr>
          <w:rFonts w:hint="eastAsia" w:ascii="微软雅黑" w:hAnsi="微软雅黑" w:eastAsia="微软雅黑"/>
          <w:color w:val="auto"/>
          <w:sz w:val="21"/>
          <w:szCs w:val="21"/>
          <w:highlight w:val="none"/>
          <w:shd w:val="clear" w:color="auto" w:fill="FFFFFF"/>
          <w:lang w:eastAsia="zh-CN"/>
        </w:rPr>
        <w:t>（</w:t>
      </w:r>
      <w:r>
        <w:rPr>
          <w:rFonts w:hint="eastAsia" w:ascii="微软雅黑" w:hAnsi="微软雅黑" w:eastAsia="微软雅黑"/>
          <w:color w:val="auto"/>
          <w:sz w:val="21"/>
          <w:szCs w:val="21"/>
          <w:highlight w:val="none"/>
          <w:shd w:val="clear" w:color="auto" w:fill="FFFFFF"/>
          <w:lang w:val="en-US" w:eastAsia="zh-CN"/>
        </w:rPr>
        <w:t>含二级）注册</w:t>
      </w:r>
      <w:r>
        <w:rPr>
          <w:rFonts w:hint="eastAsia" w:ascii="微软雅黑" w:hAnsi="微软雅黑" w:eastAsia="微软雅黑"/>
          <w:color w:val="auto"/>
          <w:sz w:val="21"/>
          <w:szCs w:val="21"/>
          <w:highlight w:val="none"/>
          <w:shd w:val="clear" w:color="auto" w:fill="FFFFFF"/>
        </w:rPr>
        <w:t>建造师资质，具备有效的安全生产考核合格证书（B 证），无在建工程</w:t>
      </w:r>
      <w:r>
        <w:rPr>
          <w:rFonts w:hint="eastAsia" w:ascii="微软雅黑" w:hAnsi="微软雅黑" w:eastAsia="微软雅黑"/>
          <w:color w:val="auto"/>
          <w:sz w:val="21"/>
          <w:szCs w:val="21"/>
          <w:highlight w:val="none"/>
          <w:shd w:val="clear" w:color="auto" w:fill="FFFFFF"/>
          <w:lang w:val="en-US" w:eastAsia="zh-CN"/>
        </w:rPr>
        <w:t>（提供承诺书）</w:t>
      </w:r>
      <w:r>
        <w:rPr>
          <w:rFonts w:hint="eastAsia" w:ascii="微软雅黑" w:hAnsi="微软雅黑" w:eastAsia="微软雅黑"/>
          <w:color w:val="auto"/>
          <w:sz w:val="21"/>
          <w:szCs w:val="21"/>
          <w:highlight w:val="none"/>
          <w:shd w:val="clear" w:color="auto" w:fill="FFFFFF"/>
        </w:rPr>
        <w:t xml:space="preserve">； </w:t>
      </w:r>
    </w:p>
    <w:p w14:paraId="3C1C6AE2">
      <w:pPr>
        <w:pStyle w:val="36"/>
        <w:numPr>
          <w:ilvl w:val="0"/>
          <w:numId w:val="3"/>
        </w:numPr>
        <w:wordWrap w:val="0"/>
        <w:autoSpaceDE/>
        <w:autoSpaceDN/>
        <w:spacing w:before="0" w:beforeAutospacing="0" w:after="0" w:afterAutospacing="0" w:line="480" w:lineRule="atLeast"/>
        <w:ind w:left="480"/>
        <w:jc w:val="both"/>
        <w:rPr>
          <w:rFonts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投标人和项目负责人在陕西省建筑市场监管与诚信信息一体化平台登记；</w:t>
      </w:r>
    </w:p>
    <w:p w14:paraId="71D1D059">
      <w:pPr>
        <w:pStyle w:val="36"/>
        <w:numPr>
          <w:ilvl w:val="0"/>
          <w:numId w:val="3"/>
        </w:numPr>
        <w:wordWrap w:val="0"/>
        <w:autoSpaceDE/>
        <w:autoSpaceDN/>
        <w:spacing w:before="0" w:beforeAutospacing="0" w:after="0" w:afterAutospacing="0" w:line="480" w:lineRule="atLeast"/>
        <w:ind w:left="480"/>
        <w:jc w:val="both"/>
        <w:rPr>
          <w:rFonts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lang w:eastAsia="zh-CN"/>
        </w:rPr>
        <w:t>投标</w:t>
      </w:r>
      <w:r>
        <w:rPr>
          <w:rFonts w:hint="eastAsia" w:ascii="微软雅黑" w:hAnsi="微软雅黑" w:eastAsia="微软雅黑"/>
          <w:color w:val="auto"/>
          <w:sz w:val="21"/>
          <w:szCs w:val="21"/>
          <w:highlight w:val="none"/>
          <w:shd w:val="clear" w:color="auto" w:fill="FFFFFF"/>
          <w:lang w:val="en-US" w:eastAsia="zh-CN"/>
        </w:rPr>
        <w:t>人</w:t>
      </w:r>
      <w:r>
        <w:rPr>
          <w:rFonts w:hint="eastAsia" w:ascii="微软雅黑" w:hAnsi="微软雅黑" w:eastAsia="微软雅黑"/>
          <w:color w:val="auto"/>
          <w:sz w:val="21"/>
          <w:szCs w:val="21"/>
          <w:highlight w:val="none"/>
          <w:shd w:val="clear" w:color="auto" w:fill="FFFFFF"/>
          <w:lang w:eastAsia="zh-CN"/>
        </w:rPr>
        <w:t>不得被“信用中国”（www.creditchina.gov.cn）列入重大税收违法失信主体；不得被“中国执行信息公开网”（www.zxgk.court.gov.cn）列入失信被执行人名单；不得被“中国政府采购网”（www.ccgp.gov.cn）列入政府采购严重违法失信行为记录名单</w:t>
      </w:r>
      <w:r>
        <w:rPr>
          <w:rFonts w:hint="eastAsia" w:ascii="微软雅黑" w:hAnsi="微软雅黑" w:eastAsia="微软雅黑"/>
          <w:color w:val="auto"/>
          <w:sz w:val="21"/>
          <w:szCs w:val="21"/>
          <w:highlight w:val="none"/>
          <w:shd w:val="clear" w:color="auto" w:fill="FFFFFF"/>
        </w:rPr>
        <w:t xml:space="preserve">； </w:t>
      </w:r>
    </w:p>
    <w:p w14:paraId="7C988A38">
      <w:pPr>
        <w:pStyle w:val="36"/>
        <w:numPr>
          <w:ilvl w:val="0"/>
          <w:numId w:val="0"/>
        </w:numPr>
        <w:wordWrap w:val="0"/>
        <w:autoSpaceDE/>
        <w:autoSpaceDN/>
        <w:spacing w:before="0" w:beforeAutospacing="0" w:after="0" w:afterAutospacing="0" w:line="480" w:lineRule="atLeast"/>
        <w:ind w:left="480" w:leftChars="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合同包</w:t>
      </w:r>
      <w:r>
        <w:rPr>
          <w:rFonts w:hint="eastAsia" w:ascii="微软雅黑" w:hAnsi="微软雅黑" w:eastAsia="微软雅黑"/>
          <w:color w:val="auto"/>
          <w:sz w:val="21"/>
          <w:szCs w:val="21"/>
          <w:highlight w:val="none"/>
          <w:shd w:val="clear" w:color="auto" w:fill="FFFFFF"/>
          <w:lang w:val="en-US" w:eastAsia="zh-CN"/>
        </w:rPr>
        <w:t>2</w:t>
      </w:r>
      <w:r>
        <w:rPr>
          <w:rFonts w:hint="eastAsia" w:ascii="微软雅黑" w:hAnsi="微软雅黑" w:eastAsia="微软雅黑"/>
          <w:color w:val="auto"/>
          <w:sz w:val="21"/>
          <w:szCs w:val="21"/>
          <w:highlight w:val="none"/>
          <w:shd w:val="clear" w:color="auto" w:fill="FFFFFF"/>
        </w:rPr>
        <w:t>(</w:t>
      </w:r>
      <w:r>
        <w:rPr>
          <w:rFonts w:hint="eastAsia" w:ascii="微软雅黑" w:hAnsi="微软雅黑" w:eastAsia="微软雅黑"/>
          <w:color w:val="auto"/>
          <w:sz w:val="21"/>
          <w:szCs w:val="21"/>
          <w:highlight w:val="none"/>
          <w:shd w:val="clear" w:color="auto" w:fill="FFFFFF"/>
          <w:lang w:eastAsia="zh-CN"/>
        </w:rPr>
        <w:t>秦渡街道西南郊水厂二期一阶段项目清表及垃圾清运工程第2包</w:t>
      </w:r>
      <w:r>
        <w:rPr>
          <w:rFonts w:hint="eastAsia" w:ascii="微软雅黑" w:hAnsi="微软雅黑" w:eastAsia="微软雅黑"/>
          <w:color w:val="auto"/>
          <w:sz w:val="21"/>
          <w:szCs w:val="21"/>
          <w:highlight w:val="none"/>
          <w:shd w:val="clear" w:color="auto" w:fill="FFFFFF"/>
        </w:rPr>
        <w:t>)特定资格要求如下:</w:t>
      </w:r>
    </w:p>
    <w:p w14:paraId="2C0B778B">
      <w:pPr>
        <w:pStyle w:val="36"/>
        <w:numPr>
          <w:ilvl w:val="0"/>
          <w:numId w:val="4"/>
        </w:numPr>
        <w:wordWrap w:val="0"/>
        <w:autoSpaceDE/>
        <w:autoSpaceDN/>
        <w:spacing w:before="0" w:beforeAutospacing="0" w:after="0" w:afterAutospacing="0" w:line="480" w:lineRule="atLeast"/>
        <w:ind w:left="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投标人具有建筑</w:t>
      </w:r>
      <w:r>
        <w:rPr>
          <w:rFonts w:hint="eastAsia" w:ascii="微软雅黑" w:hAnsi="微软雅黑" w:eastAsia="微软雅黑"/>
          <w:color w:val="auto"/>
          <w:sz w:val="21"/>
          <w:szCs w:val="21"/>
          <w:highlight w:val="none"/>
          <w:shd w:val="clear" w:color="auto" w:fill="FFFFFF"/>
          <w:lang w:val="en-US" w:eastAsia="zh-CN"/>
        </w:rPr>
        <w:t>工程</w:t>
      </w:r>
      <w:r>
        <w:rPr>
          <w:rFonts w:hint="eastAsia" w:ascii="微软雅黑" w:hAnsi="微软雅黑" w:eastAsia="微软雅黑"/>
          <w:color w:val="auto"/>
          <w:sz w:val="21"/>
          <w:szCs w:val="21"/>
          <w:highlight w:val="none"/>
          <w:shd w:val="clear" w:color="auto" w:fill="FFFFFF"/>
        </w:rPr>
        <w:t>施工总承包三级以上</w:t>
      </w:r>
      <w:r>
        <w:rPr>
          <w:rFonts w:hint="eastAsia" w:ascii="微软雅黑" w:hAnsi="微软雅黑" w:eastAsia="微软雅黑"/>
          <w:color w:val="auto"/>
          <w:sz w:val="21"/>
          <w:szCs w:val="21"/>
          <w:highlight w:val="none"/>
          <w:shd w:val="clear" w:color="auto" w:fill="FFFFFF"/>
          <w:lang w:eastAsia="zh-CN"/>
        </w:rPr>
        <w:t>（</w:t>
      </w:r>
      <w:r>
        <w:rPr>
          <w:rFonts w:hint="eastAsia" w:ascii="微软雅黑" w:hAnsi="微软雅黑" w:eastAsia="微软雅黑"/>
          <w:color w:val="auto"/>
          <w:sz w:val="21"/>
          <w:szCs w:val="21"/>
          <w:highlight w:val="none"/>
          <w:shd w:val="clear" w:color="auto" w:fill="FFFFFF"/>
          <w:lang w:val="en-US" w:eastAsia="zh-CN"/>
        </w:rPr>
        <w:t>含三级</w:t>
      </w:r>
      <w:r>
        <w:rPr>
          <w:rFonts w:hint="eastAsia" w:ascii="微软雅黑" w:hAnsi="微软雅黑" w:eastAsia="微软雅黑"/>
          <w:color w:val="auto"/>
          <w:sz w:val="21"/>
          <w:szCs w:val="21"/>
          <w:highlight w:val="none"/>
          <w:shd w:val="clear" w:color="auto" w:fill="FFFFFF"/>
          <w:lang w:eastAsia="zh-CN"/>
        </w:rPr>
        <w:t>）</w:t>
      </w:r>
      <w:r>
        <w:rPr>
          <w:rFonts w:hint="eastAsia" w:ascii="微软雅黑" w:hAnsi="微软雅黑" w:eastAsia="微软雅黑"/>
          <w:color w:val="auto"/>
          <w:sz w:val="21"/>
          <w:szCs w:val="21"/>
          <w:highlight w:val="none"/>
          <w:shd w:val="clear" w:color="auto" w:fill="FFFFFF"/>
        </w:rPr>
        <w:t>资质；具备有效的安全生产许可证；</w:t>
      </w:r>
    </w:p>
    <w:p w14:paraId="0F89D865">
      <w:pPr>
        <w:pStyle w:val="36"/>
        <w:numPr>
          <w:ilvl w:val="0"/>
          <w:numId w:val="4"/>
        </w:numPr>
        <w:wordWrap w:val="0"/>
        <w:autoSpaceDE/>
        <w:autoSpaceDN/>
        <w:spacing w:before="0" w:beforeAutospacing="0" w:after="0" w:afterAutospacing="0" w:line="480" w:lineRule="atLeast"/>
        <w:ind w:left="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投标人拟派项目经理具有建筑工程专业二级</w:t>
      </w:r>
      <w:r>
        <w:rPr>
          <w:rFonts w:hint="eastAsia" w:ascii="微软雅黑" w:hAnsi="微软雅黑" w:eastAsia="微软雅黑"/>
          <w:color w:val="auto"/>
          <w:sz w:val="21"/>
          <w:szCs w:val="21"/>
          <w:highlight w:val="none"/>
          <w:shd w:val="clear" w:color="auto" w:fill="FFFFFF"/>
          <w:lang w:val="en-US" w:eastAsia="zh-CN"/>
        </w:rPr>
        <w:t>以上</w:t>
      </w:r>
      <w:r>
        <w:rPr>
          <w:rFonts w:hint="eastAsia" w:ascii="微软雅黑" w:hAnsi="微软雅黑" w:eastAsia="微软雅黑"/>
          <w:color w:val="auto"/>
          <w:sz w:val="21"/>
          <w:szCs w:val="21"/>
          <w:highlight w:val="none"/>
          <w:shd w:val="clear" w:color="auto" w:fill="FFFFFF"/>
          <w:lang w:eastAsia="zh-CN"/>
        </w:rPr>
        <w:t>（</w:t>
      </w:r>
      <w:r>
        <w:rPr>
          <w:rFonts w:hint="eastAsia" w:ascii="微软雅黑" w:hAnsi="微软雅黑" w:eastAsia="微软雅黑"/>
          <w:color w:val="auto"/>
          <w:sz w:val="21"/>
          <w:szCs w:val="21"/>
          <w:highlight w:val="none"/>
          <w:shd w:val="clear" w:color="auto" w:fill="FFFFFF"/>
          <w:lang w:val="en-US" w:eastAsia="zh-CN"/>
        </w:rPr>
        <w:t>含二级）注册</w:t>
      </w:r>
      <w:r>
        <w:rPr>
          <w:rFonts w:hint="eastAsia" w:ascii="微软雅黑" w:hAnsi="微软雅黑" w:eastAsia="微软雅黑"/>
          <w:color w:val="auto"/>
          <w:sz w:val="21"/>
          <w:szCs w:val="21"/>
          <w:highlight w:val="none"/>
          <w:shd w:val="clear" w:color="auto" w:fill="FFFFFF"/>
        </w:rPr>
        <w:t>建造师资质，具备有效的安全生产考核合格证书（B 证），无在建工程</w:t>
      </w:r>
      <w:r>
        <w:rPr>
          <w:rFonts w:hint="eastAsia" w:ascii="微软雅黑" w:hAnsi="微软雅黑" w:eastAsia="微软雅黑"/>
          <w:color w:val="auto"/>
          <w:sz w:val="21"/>
          <w:szCs w:val="21"/>
          <w:highlight w:val="none"/>
          <w:shd w:val="clear" w:color="auto" w:fill="FFFFFF"/>
          <w:lang w:val="en-US" w:eastAsia="zh-CN"/>
        </w:rPr>
        <w:t>（提供承诺书）</w:t>
      </w:r>
      <w:r>
        <w:rPr>
          <w:rFonts w:hint="eastAsia" w:ascii="微软雅黑" w:hAnsi="微软雅黑" w:eastAsia="微软雅黑"/>
          <w:color w:val="auto"/>
          <w:sz w:val="21"/>
          <w:szCs w:val="21"/>
          <w:highlight w:val="none"/>
          <w:shd w:val="clear" w:color="auto" w:fill="FFFFFF"/>
        </w:rPr>
        <w:t xml:space="preserve">； </w:t>
      </w:r>
    </w:p>
    <w:p w14:paraId="263F8455">
      <w:pPr>
        <w:pStyle w:val="36"/>
        <w:numPr>
          <w:ilvl w:val="0"/>
          <w:numId w:val="4"/>
        </w:numPr>
        <w:wordWrap w:val="0"/>
        <w:autoSpaceDE/>
        <w:autoSpaceDN/>
        <w:spacing w:before="0" w:beforeAutospacing="0" w:after="0" w:afterAutospacing="0" w:line="480" w:lineRule="atLeast"/>
        <w:ind w:left="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lang w:val="en-US" w:eastAsia="zh-CN"/>
        </w:rPr>
        <w:t>投标人</w:t>
      </w:r>
      <w:r>
        <w:rPr>
          <w:rFonts w:hint="eastAsia" w:ascii="微软雅黑" w:hAnsi="微软雅黑" w:eastAsia="微软雅黑"/>
          <w:color w:val="auto"/>
          <w:sz w:val="21"/>
          <w:szCs w:val="21"/>
          <w:highlight w:val="none"/>
          <w:shd w:val="clear" w:color="auto" w:fill="FFFFFF"/>
        </w:rPr>
        <w:t>和项目负责人在陕西省建筑市场监管与诚信信息一体化平台登记；</w:t>
      </w:r>
    </w:p>
    <w:p w14:paraId="23815DC6">
      <w:pPr>
        <w:pStyle w:val="36"/>
        <w:numPr>
          <w:ilvl w:val="0"/>
          <w:numId w:val="4"/>
        </w:numPr>
        <w:wordWrap w:val="0"/>
        <w:autoSpaceDE/>
        <w:autoSpaceDN/>
        <w:spacing w:before="0" w:beforeAutospacing="0" w:after="0" w:afterAutospacing="0" w:line="480" w:lineRule="atLeast"/>
        <w:ind w:left="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lang w:eastAsia="zh-CN"/>
        </w:rPr>
        <w:t>投标</w:t>
      </w:r>
      <w:r>
        <w:rPr>
          <w:rFonts w:hint="eastAsia" w:ascii="微软雅黑" w:hAnsi="微软雅黑" w:eastAsia="微软雅黑"/>
          <w:color w:val="auto"/>
          <w:sz w:val="21"/>
          <w:szCs w:val="21"/>
          <w:highlight w:val="none"/>
          <w:shd w:val="clear" w:color="auto" w:fill="FFFFFF"/>
          <w:lang w:val="en-US" w:eastAsia="zh-CN"/>
        </w:rPr>
        <w:t>人</w:t>
      </w:r>
      <w:r>
        <w:rPr>
          <w:rFonts w:hint="eastAsia" w:ascii="微软雅黑" w:hAnsi="微软雅黑" w:eastAsia="微软雅黑"/>
          <w:color w:val="auto"/>
          <w:sz w:val="21"/>
          <w:szCs w:val="21"/>
          <w:highlight w:val="none"/>
          <w:shd w:val="clear" w:color="auto" w:fill="FFFFFF"/>
          <w:lang w:eastAsia="zh-CN"/>
        </w:rPr>
        <w:t>不得被“信用中国”（www.creditchina.gov.cn）列入重大税收违法失信主体；不得被“中国执行信息公开网”（www.zxgk.court.gov.cn）列入失信被执行人名单；不得被“中国政府采购网”（www.ccgp.gov.cn）列入政府采购严重违法失信行为记录名单</w:t>
      </w:r>
      <w:r>
        <w:rPr>
          <w:rFonts w:hint="eastAsia" w:ascii="微软雅黑" w:hAnsi="微软雅黑" w:eastAsia="微软雅黑"/>
          <w:color w:val="auto"/>
          <w:sz w:val="21"/>
          <w:szCs w:val="21"/>
          <w:highlight w:val="none"/>
          <w:shd w:val="clear" w:color="auto" w:fill="FFFFFF"/>
        </w:rPr>
        <w:t>；</w:t>
      </w:r>
    </w:p>
    <w:p w14:paraId="67E4D9CA">
      <w:pPr>
        <w:pStyle w:val="36"/>
        <w:wordWrap w:val="0"/>
        <w:spacing w:before="0" w:beforeAutospacing="0" w:after="0" w:afterAutospacing="0" w:line="480" w:lineRule="atLeast"/>
        <w:jc w:val="both"/>
        <w:rPr>
          <w:rFonts w:ascii="Calibri" w:hAnsi="Calibri"/>
          <w:color w:val="auto"/>
          <w:sz w:val="21"/>
          <w:szCs w:val="21"/>
          <w:highlight w:val="none"/>
        </w:rPr>
      </w:pPr>
      <w:r>
        <w:rPr>
          <w:rStyle w:val="240"/>
          <w:rFonts w:ascii="宋体" w:hAnsi="宋体"/>
          <w:bCs/>
          <w:color w:val="auto"/>
          <w:sz w:val="21"/>
          <w:szCs w:val="21"/>
          <w:highlight w:val="none"/>
          <w:shd w:val="clear" w:color="auto" w:fill="FFFFFF"/>
        </w:rPr>
        <w:t>三、获取招标文件</w:t>
      </w:r>
    </w:p>
    <w:p w14:paraId="23EE8EE5">
      <w:pPr>
        <w:pStyle w:val="36"/>
        <w:wordWrap w:val="0"/>
        <w:spacing w:before="0" w:beforeAutospacing="0" w:after="0" w:afterAutospacing="0" w:line="480" w:lineRule="atLeast"/>
        <w:ind w:firstLine="480"/>
        <w:jc w:val="both"/>
        <w:rPr>
          <w:color w:val="auto"/>
          <w:sz w:val="21"/>
          <w:szCs w:val="21"/>
          <w:highlight w:val="none"/>
        </w:rPr>
      </w:pPr>
      <w:r>
        <w:rPr>
          <w:rFonts w:hint="eastAsia" w:ascii="微软雅黑" w:hAnsi="微软雅黑" w:eastAsia="微软雅黑"/>
          <w:color w:val="auto"/>
          <w:sz w:val="21"/>
          <w:szCs w:val="21"/>
          <w:highlight w:val="none"/>
          <w:shd w:val="clear" w:color="auto" w:fill="FFFFFF"/>
        </w:rPr>
        <w:t>时间： 202</w:t>
      </w:r>
      <w:r>
        <w:rPr>
          <w:rFonts w:hint="eastAsia" w:ascii="微软雅黑" w:hAnsi="微软雅黑" w:eastAsia="微软雅黑"/>
          <w:color w:val="auto"/>
          <w:sz w:val="21"/>
          <w:szCs w:val="21"/>
          <w:highlight w:val="none"/>
          <w:shd w:val="clear" w:color="auto" w:fill="FFFFFF"/>
          <w:lang w:val="en-US" w:eastAsia="zh-CN"/>
        </w:rPr>
        <w:t>4</w:t>
      </w:r>
      <w:r>
        <w:rPr>
          <w:rFonts w:hint="eastAsia" w:ascii="微软雅黑" w:hAnsi="微软雅黑" w:eastAsia="微软雅黑"/>
          <w:color w:val="auto"/>
          <w:sz w:val="21"/>
          <w:szCs w:val="21"/>
          <w:highlight w:val="none"/>
          <w:shd w:val="clear" w:color="auto" w:fill="FFFFFF"/>
        </w:rPr>
        <w:t>年</w:t>
      </w:r>
      <w:r>
        <w:rPr>
          <w:rFonts w:hint="eastAsia" w:ascii="微软雅黑" w:hAnsi="微软雅黑" w:eastAsia="微软雅黑"/>
          <w:color w:val="auto"/>
          <w:sz w:val="21"/>
          <w:szCs w:val="21"/>
          <w:highlight w:val="none"/>
          <w:shd w:val="clear" w:color="auto" w:fill="FFFFFF"/>
          <w:lang w:val="en-US" w:eastAsia="zh-CN"/>
        </w:rPr>
        <w:t>6</w:t>
      </w:r>
      <w:r>
        <w:rPr>
          <w:rFonts w:hint="eastAsia" w:ascii="微软雅黑" w:hAnsi="微软雅黑" w:eastAsia="微软雅黑"/>
          <w:color w:val="auto"/>
          <w:sz w:val="21"/>
          <w:szCs w:val="21"/>
          <w:highlight w:val="none"/>
          <w:shd w:val="clear" w:color="auto" w:fill="FFFFFF"/>
        </w:rPr>
        <w:t>月</w:t>
      </w:r>
      <w:r>
        <w:rPr>
          <w:rFonts w:hint="eastAsia" w:ascii="微软雅黑" w:hAnsi="微软雅黑" w:eastAsia="微软雅黑"/>
          <w:color w:val="auto"/>
          <w:sz w:val="21"/>
          <w:szCs w:val="21"/>
          <w:highlight w:val="none"/>
          <w:shd w:val="clear" w:color="auto" w:fill="FFFFFF"/>
          <w:lang w:val="en-US" w:eastAsia="zh-CN"/>
        </w:rPr>
        <w:t>28</w:t>
      </w:r>
      <w:r>
        <w:rPr>
          <w:rFonts w:hint="eastAsia" w:ascii="微软雅黑" w:hAnsi="微软雅黑" w:eastAsia="微软雅黑"/>
          <w:color w:val="auto"/>
          <w:sz w:val="21"/>
          <w:szCs w:val="21"/>
          <w:highlight w:val="none"/>
          <w:shd w:val="clear" w:color="auto" w:fill="FFFFFF"/>
        </w:rPr>
        <w:t>日 至 202</w:t>
      </w:r>
      <w:r>
        <w:rPr>
          <w:rFonts w:hint="eastAsia" w:ascii="微软雅黑" w:hAnsi="微软雅黑" w:eastAsia="微软雅黑"/>
          <w:color w:val="auto"/>
          <w:sz w:val="21"/>
          <w:szCs w:val="21"/>
          <w:highlight w:val="none"/>
          <w:shd w:val="clear" w:color="auto" w:fill="FFFFFF"/>
          <w:lang w:val="en-US" w:eastAsia="zh-CN"/>
        </w:rPr>
        <w:t>4</w:t>
      </w:r>
      <w:r>
        <w:rPr>
          <w:rFonts w:hint="eastAsia" w:ascii="微软雅黑" w:hAnsi="微软雅黑" w:eastAsia="微软雅黑"/>
          <w:color w:val="auto"/>
          <w:sz w:val="21"/>
          <w:szCs w:val="21"/>
          <w:highlight w:val="none"/>
          <w:shd w:val="clear" w:color="auto" w:fill="FFFFFF"/>
        </w:rPr>
        <w:t>年</w:t>
      </w:r>
      <w:r>
        <w:rPr>
          <w:rFonts w:hint="eastAsia" w:ascii="微软雅黑" w:hAnsi="微软雅黑" w:eastAsia="微软雅黑"/>
          <w:color w:val="auto"/>
          <w:sz w:val="21"/>
          <w:szCs w:val="21"/>
          <w:highlight w:val="none"/>
          <w:shd w:val="clear" w:color="auto" w:fill="FFFFFF"/>
          <w:lang w:val="en-US" w:eastAsia="zh-CN"/>
        </w:rPr>
        <w:t>7</w:t>
      </w:r>
      <w:r>
        <w:rPr>
          <w:rFonts w:hint="eastAsia" w:ascii="微软雅黑" w:hAnsi="微软雅黑" w:eastAsia="微软雅黑"/>
          <w:color w:val="auto"/>
          <w:sz w:val="21"/>
          <w:szCs w:val="21"/>
          <w:highlight w:val="none"/>
          <w:shd w:val="clear" w:color="auto" w:fill="FFFFFF"/>
        </w:rPr>
        <w:t>月</w:t>
      </w:r>
      <w:r>
        <w:rPr>
          <w:rFonts w:hint="eastAsia" w:ascii="微软雅黑" w:hAnsi="微软雅黑" w:eastAsia="微软雅黑"/>
          <w:color w:val="auto"/>
          <w:sz w:val="21"/>
          <w:szCs w:val="21"/>
          <w:highlight w:val="none"/>
          <w:shd w:val="clear" w:color="auto" w:fill="FFFFFF"/>
          <w:lang w:val="en-US" w:eastAsia="zh-CN"/>
        </w:rPr>
        <w:t>4</w:t>
      </w:r>
      <w:r>
        <w:rPr>
          <w:rFonts w:hint="eastAsia" w:ascii="微软雅黑" w:hAnsi="微软雅黑" w:eastAsia="微软雅黑"/>
          <w:color w:val="auto"/>
          <w:sz w:val="21"/>
          <w:szCs w:val="21"/>
          <w:highlight w:val="none"/>
          <w:shd w:val="clear" w:color="auto" w:fill="FFFFFF"/>
        </w:rPr>
        <w:t>日 ，每天上午 00:00:00 至 12:00:00 ，下午 12:00:00 至 23:59:59 （北京时间）</w:t>
      </w:r>
    </w:p>
    <w:p w14:paraId="20A82D37">
      <w:pPr>
        <w:pStyle w:val="36"/>
        <w:wordWrap w:val="0"/>
        <w:spacing w:before="0" w:beforeAutospacing="0" w:after="0" w:afterAutospacing="0" w:line="480" w:lineRule="atLeast"/>
        <w:ind w:firstLine="480"/>
        <w:jc w:val="both"/>
        <w:rPr>
          <w:color w:val="auto"/>
          <w:sz w:val="21"/>
          <w:szCs w:val="21"/>
          <w:highlight w:val="none"/>
        </w:rPr>
      </w:pPr>
      <w:r>
        <w:rPr>
          <w:rFonts w:hint="eastAsia" w:ascii="微软雅黑" w:hAnsi="微软雅黑" w:eastAsia="微软雅黑"/>
          <w:color w:val="auto"/>
          <w:sz w:val="21"/>
          <w:szCs w:val="21"/>
          <w:highlight w:val="none"/>
          <w:shd w:val="clear" w:color="auto" w:fill="FFFFFF"/>
        </w:rPr>
        <w:t>途径：全国公共资源交易平台（陕西省·西安市）网站〖首页〉电子交易平台〉陕西政府采购交易系统〉企业端〗</w:t>
      </w:r>
    </w:p>
    <w:p w14:paraId="603CD408">
      <w:pPr>
        <w:pStyle w:val="36"/>
        <w:wordWrap w:val="0"/>
        <w:spacing w:before="0" w:beforeAutospacing="0" w:after="0" w:afterAutospacing="0" w:line="480" w:lineRule="atLeast"/>
        <w:ind w:firstLine="480"/>
        <w:jc w:val="both"/>
        <w:rPr>
          <w:color w:val="auto"/>
          <w:sz w:val="21"/>
          <w:szCs w:val="21"/>
          <w:highlight w:val="none"/>
        </w:rPr>
      </w:pPr>
      <w:r>
        <w:rPr>
          <w:rFonts w:hint="eastAsia" w:ascii="微软雅黑" w:hAnsi="微软雅黑" w:eastAsia="微软雅黑"/>
          <w:color w:val="auto"/>
          <w:sz w:val="21"/>
          <w:szCs w:val="21"/>
          <w:highlight w:val="none"/>
          <w:shd w:val="clear" w:color="auto" w:fill="FFFFFF"/>
        </w:rPr>
        <w:t>方式：在线获取</w:t>
      </w:r>
    </w:p>
    <w:p w14:paraId="38680EFD">
      <w:pPr>
        <w:pStyle w:val="36"/>
        <w:wordWrap w:val="0"/>
        <w:spacing w:before="0" w:beforeAutospacing="0" w:after="0" w:afterAutospacing="0" w:line="480" w:lineRule="atLeast"/>
        <w:ind w:firstLine="480"/>
        <w:jc w:val="both"/>
        <w:rPr>
          <w:rFonts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售价： 0元</w:t>
      </w:r>
    </w:p>
    <w:p w14:paraId="53E8B94D">
      <w:pPr>
        <w:pStyle w:val="36"/>
        <w:wordWrap w:val="0"/>
        <w:spacing w:before="0" w:beforeAutospacing="0" w:after="0" w:afterAutospacing="0" w:line="480" w:lineRule="atLeast"/>
        <w:jc w:val="both"/>
        <w:rPr>
          <w:rFonts w:ascii="Calibri" w:hAnsi="Calibri"/>
          <w:color w:val="auto"/>
          <w:sz w:val="21"/>
          <w:szCs w:val="21"/>
          <w:highlight w:val="none"/>
        </w:rPr>
      </w:pPr>
      <w:r>
        <w:rPr>
          <w:rStyle w:val="240"/>
          <w:rFonts w:ascii="宋体" w:hAnsi="宋体"/>
          <w:bCs/>
          <w:color w:val="auto"/>
          <w:sz w:val="21"/>
          <w:szCs w:val="21"/>
          <w:highlight w:val="none"/>
          <w:shd w:val="clear" w:color="auto" w:fill="FFFFFF"/>
        </w:rPr>
        <w:t>四、提交投标文件截止时间、开标时间和地点</w:t>
      </w:r>
    </w:p>
    <w:p w14:paraId="6C5CE371">
      <w:pPr>
        <w:pStyle w:val="36"/>
        <w:wordWrap w:val="0"/>
        <w:spacing w:before="0" w:beforeAutospacing="0" w:after="0" w:afterAutospacing="0" w:line="480" w:lineRule="atLeast"/>
        <w:ind w:firstLine="480"/>
        <w:jc w:val="both"/>
        <w:rPr>
          <w:color w:val="auto"/>
          <w:sz w:val="21"/>
          <w:szCs w:val="21"/>
          <w:highlight w:val="none"/>
        </w:rPr>
      </w:pPr>
      <w:r>
        <w:rPr>
          <w:rFonts w:hint="eastAsia" w:ascii="微软雅黑" w:hAnsi="微软雅黑" w:eastAsia="微软雅黑"/>
          <w:color w:val="auto"/>
          <w:sz w:val="21"/>
          <w:szCs w:val="21"/>
          <w:highlight w:val="none"/>
          <w:shd w:val="clear" w:color="auto" w:fill="FFFFFF"/>
        </w:rPr>
        <w:t>时间： 202</w:t>
      </w:r>
      <w:r>
        <w:rPr>
          <w:rFonts w:hint="eastAsia" w:ascii="微软雅黑" w:hAnsi="微软雅黑" w:eastAsia="微软雅黑"/>
          <w:color w:val="auto"/>
          <w:sz w:val="21"/>
          <w:szCs w:val="21"/>
          <w:highlight w:val="none"/>
          <w:shd w:val="clear" w:color="auto" w:fill="FFFFFF"/>
          <w:lang w:val="en-US" w:eastAsia="zh-CN"/>
        </w:rPr>
        <w:t>4</w:t>
      </w:r>
      <w:r>
        <w:rPr>
          <w:rFonts w:hint="eastAsia" w:ascii="微软雅黑" w:hAnsi="微软雅黑" w:eastAsia="微软雅黑"/>
          <w:color w:val="auto"/>
          <w:sz w:val="21"/>
          <w:szCs w:val="21"/>
          <w:highlight w:val="none"/>
          <w:shd w:val="clear" w:color="auto" w:fill="FFFFFF"/>
        </w:rPr>
        <w:t>年</w:t>
      </w:r>
      <w:r>
        <w:rPr>
          <w:rFonts w:hint="eastAsia" w:ascii="微软雅黑" w:hAnsi="微软雅黑" w:eastAsia="微软雅黑"/>
          <w:color w:val="auto"/>
          <w:sz w:val="21"/>
          <w:szCs w:val="21"/>
          <w:highlight w:val="none"/>
          <w:shd w:val="clear" w:color="auto" w:fill="FFFFFF"/>
          <w:lang w:val="en-US" w:eastAsia="zh-CN"/>
        </w:rPr>
        <w:t>7</w:t>
      </w:r>
      <w:r>
        <w:rPr>
          <w:rFonts w:hint="eastAsia" w:ascii="微软雅黑" w:hAnsi="微软雅黑" w:eastAsia="微软雅黑"/>
          <w:color w:val="auto"/>
          <w:sz w:val="21"/>
          <w:szCs w:val="21"/>
          <w:highlight w:val="none"/>
          <w:shd w:val="clear" w:color="auto" w:fill="FFFFFF"/>
        </w:rPr>
        <w:t>月</w:t>
      </w:r>
      <w:r>
        <w:rPr>
          <w:rFonts w:hint="eastAsia" w:ascii="微软雅黑" w:hAnsi="微软雅黑" w:eastAsia="微软雅黑"/>
          <w:color w:val="auto"/>
          <w:sz w:val="21"/>
          <w:szCs w:val="21"/>
          <w:highlight w:val="none"/>
          <w:shd w:val="clear" w:color="auto" w:fill="FFFFFF"/>
          <w:lang w:val="en-US" w:eastAsia="zh-CN"/>
        </w:rPr>
        <w:t>24</w:t>
      </w:r>
      <w:r>
        <w:rPr>
          <w:rFonts w:hint="eastAsia" w:ascii="微软雅黑" w:hAnsi="微软雅黑" w:eastAsia="微软雅黑"/>
          <w:color w:val="auto"/>
          <w:sz w:val="21"/>
          <w:szCs w:val="21"/>
          <w:highlight w:val="none"/>
          <w:shd w:val="clear" w:color="auto" w:fill="FFFFFF"/>
        </w:rPr>
        <w:t>日 09时</w:t>
      </w:r>
      <w:r>
        <w:rPr>
          <w:rFonts w:hint="eastAsia" w:ascii="微软雅黑" w:hAnsi="微软雅黑" w:eastAsia="微软雅黑"/>
          <w:color w:val="auto"/>
          <w:sz w:val="21"/>
          <w:szCs w:val="21"/>
          <w:highlight w:val="none"/>
          <w:shd w:val="clear" w:color="auto" w:fill="FFFFFF"/>
          <w:lang w:val="en-US" w:eastAsia="zh-CN"/>
        </w:rPr>
        <w:t>3</w:t>
      </w:r>
      <w:r>
        <w:rPr>
          <w:rFonts w:hint="eastAsia" w:ascii="微软雅黑" w:hAnsi="微软雅黑" w:eastAsia="微软雅黑"/>
          <w:color w:val="auto"/>
          <w:sz w:val="21"/>
          <w:szCs w:val="21"/>
          <w:highlight w:val="none"/>
          <w:shd w:val="clear" w:color="auto" w:fill="FFFFFF"/>
        </w:rPr>
        <w:t>0分00秒 （北京时间）</w:t>
      </w:r>
    </w:p>
    <w:p w14:paraId="3C389BFA">
      <w:pPr>
        <w:pStyle w:val="36"/>
        <w:wordWrap w:val="0"/>
        <w:spacing w:before="0" w:beforeAutospacing="0" w:after="0" w:afterAutospacing="0" w:line="480" w:lineRule="atLeast"/>
        <w:ind w:firstLine="480"/>
        <w:jc w:val="both"/>
        <w:rPr>
          <w:color w:val="auto"/>
          <w:sz w:val="21"/>
          <w:szCs w:val="21"/>
          <w:highlight w:val="none"/>
        </w:rPr>
      </w:pPr>
      <w:r>
        <w:rPr>
          <w:rFonts w:hint="eastAsia" w:ascii="微软雅黑" w:hAnsi="微软雅黑" w:eastAsia="微软雅黑"/>
          <w:color w:val="auto"/>
          <w:sz w:val="21"/>
          <w:szCs w:val="21"/>
          <w:highlight w:val="none"/>
          <w:shd w:val="clear" w:color="auto" w:fill="FFFFFF"/>
        </w:rPr>
        <w:t>提交投标文件地点：全国公共资源交易平台（陕西省·西安市）</w:t>
      </w:r>
    </w:p>
    <w:p w14:paraId="13B931F7">
      <w:pPr>
        <w:pStyle w:val="36"/>
        <w:wordWrap w:val="0"/>
        <w:spacing w:before="0" w:beforeAutospacing="0" w:after="0" w:afterAutospacing="0" w:line="480" w:lineRule="atLeast"/>
        <w:ind w:firstLine="480"/>
        <w:jc w:val="both"/>
        <w:rPr>
          <w:rFonts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开标地点：全国公共资源交易平台（陕西省·西安市）网站〖首页〉电子交易平台〉陕西政府采购交易系统〉企业端〗不见面开标大厅</w:t>
      </w:r>
    </w:p>
    <w:p w14:paraId="78D47BCB">
      <w:pPr>
        <w:pStyle w:val="36"/>
        <w:wordWrap w:val="0"/>
        <w:spacing w:before="0" w:beforeAutospacing="0" w:after="0" w:afterAutospacing="0" w:line="480" w:lineRule="atLeast"/>
        <w:jc w:val="both"/>
        <w:rPr>
          <w:rFonts w:ascii="Calibri" w:hAnsi="Calibri"/>
          <w:color w:val="auto"/>
          <w:sz w:val="21"/>
          <w:szCs w:val="21"/>
          <w:highlight w:val="none"/>
        </w:rPr>
      </w:pPr>
      <w:r>
        <w:rPr>
          <w:rStyle w:val="240"/>
          <w:rFonts w:ascii="宋体" w:hAnsi="宋体"/>
          <w:bCs/>
          <w:color w:val="auto"/>
          <w:sz w:val="21"/>
          <w:szCs w:val="21"/>
          <w:highlight w:val="none"/>
          <w:shd w:val="clear" w:color="auto" w:fill="FFFFFF"/>
        </w:rPr>
        <w:t>五、公告期限</w:t>
      </w:r>
    </w:p>
    <w:p w14:paraId="2CFEC743">
      <w:pPr>
        <w:pStyle w:val="36"/>
        <w:wordWrap w:val="0"/>
        <w:spacing w:before="0" w:beforeAutospacing="0" w:after="0" w:afterAutospacing="0" w:line="480" w:lineRule="atLeast"/>
        <w:ind w:firstLine="480"/>
        <w:jc w:val="both"/>
        <w:rPr>
          <w:rFonts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自本公告发布之日起5个工作日。</w:t>
      </w:r>
    </w:p>
    <w:p w14:paraId="0EECDBA5">
      <w:pPr>
        <w:pStyle w:val="36"/>
        <w:wordWrap w:val="0"/>
        <w:spacing w:before="0" w:beforeAutospacing="0" w:after="0" w:afterAutospacing="0" w:line="480" w:lineRule="atLeast"/>
        <w:jc w:val="both"/>
        <w:rPr>
          <w:rFonts w:ascii="Calibri" w:hAnsi="Calibri"/>
          <w:color w:val="auto"/>
          <w:sz w:val="21"/>
          <w:szCs w:val="21"/>
          <w:highlight w:val="none"/>
        </w:rPr>
      </w:pPr>
      <w:r>
        <w:rPr>
          <w:rStyle w:val="240"/>
          <w:rFonts w:ascii="宋体" w:hAnsi="宋体"/>
          <w:bCs/>
          <w:color w:val="auto"/>
          <w:sz w:val="21"/>
          <w:szCs w:val="21"/>
          <w:highlight w:val="none"/>
          <w:shd w:val="clear" w:color="auto" w:fill="FFFFFF"/>
        </w:rPr>
        <w:t>六、其他补充事宜</w:t>
      </w:r>
    </w:p>
    <w:p w14:paraId="0209077A">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1.落实政府采购政策如下：</w:t>
      </w:r>
    </w:p>
    <w:p w14:paraId="5917D52A">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（1）《政府采购促进中小企业发展管理办法》（财库〔2020〕46号）；</w:t>
      </w:r>
    </w:p>
    <w:p w14:paraId="0ED05A51">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（2）《关于进一步加大政府采购支持中小企业力度的通知》（财库〔2022〕19号）；</w:t>
      </w:r>
    </w:p>
    <w:p w14:paraId="699207CB">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（3）《财政部司法部关于政府采购支持监狱企业发展有关问题的通知》（财库〔2014〕68号）；</w:t>
      </w:r>
    </w:p>
    <w:p w14:paraId="00D458A9">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（4）《国务院办公厅关于建立政府强制采购节能产品制度的通知》（国办发〔2007〕51号）；</w:t>
      </w:r>
    </w:p>
    <w:p w14:paraId="1E675F04">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（5）《关于印发环境标志产品政府采购品目清单的通知》（财库〔2019〕18号）；</w:t>
      </w:r>
    </w:p>
    <w:p w14:paraId="4BBB6908">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（6）《关于印发节能产品政府采购品目清单的通知》（财库〔2019〕19号）；</w:t>
      </w:r>
    </w:p>
    <w:p w14:paraId="6FF85A4E">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（7）《关于促进残疾人就业政府采购政策的通知》财库〔2017〕141号；</w:t>
      </w:r>
    </w:p>
    <w:p w14:paraId="707D69D3">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（8）《关于调整优化节能产品、环境标志产品政府采购执行机制的通知》（财库〔2019〕9号）；</w:t>
      </w:r>
    </w:p>
    <w:p w14:paraId="24CD4E86">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（9）《财政部农业农村部国家乡村振兴局关于运用政府采购政策支持乡村产业振兴的通知》（财库〔2021〕19号）；</w:t>
      </w:r>
    </w:p>
    <w:p w14:paraId="6F72F32C">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（10）《陕西省中小企业政府采购信用融资办法》（陕财办采〔2018〕23号）；</w:t>
      </w:r>
    </w:p>
    <w:p w14:paraId="5649B3CE">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（11）《陕西省财政厅关于加快推进我省中小企业政府采购信用融资工作的通知》（陕财办采〔2020〕15号）；</w:t>
      </w:r>
    </w:p>
    <w:p w14:paraId="48EF9B5E">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（12）其他需要落实的政府采购政策。</w:t>
      </w:r>
    </w:p>
    <w:p w14:paraId="39EAA7E6">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2.其它</w:t>
      </w:r>
    </w:p>
    <w:p w14:paraId="30F70CE3">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2.1本项目为电子化政府采购项目，</w:t>
      </w:r>
      <w:r>
        <w:rPr>
          <w:rFonts w:hint="eastAsia" w:ascii="微软雅黑" w:hAnsi="微软雅黑" w:eastAsia="微软雅黑"/>
          <w:color w:val="auto"/>
          <w:sz w:val="21"/>
          <w:szCs w:val="21"/>
          <w:highlight w:val="none"/>
          <w:shd w:val="clear" w:color="auto" w:fill="FFFFFF"/>
          <w:lang w:eastAsia="zh-CN"/>
        </w:rPr>
        <w:t>投标人</w:t>
      </w:r>
      <w:r>
        <w:rPr>
          <w:rFonts w:hint="eastAsia" w:ascii="微软雅黑" w:hAnsi="微软雅黑" w:eastAsia="微软雅黑"/>
          <w:color w:val="auto"/>
          <w:sz w:val="21"/>
          <w:szCs w:val="21"/>
          <w:highlight w:val="none"/>
          <w:shd w:val="clear" w:color="auto" w:fill="FFFFFF"/>
        </w:rPr>
        <w:t>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14:paraId="3F5286F7">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2.2</w:t>
      </w:r>
      <w:r>
        <w:rPr>
          <w:rFonts w:hint="eastAsia" w:ascii="微软雅黑" w:hAnsi="微软雅黑" w:eastAsia="微软雅黑"/>
          <w:color w:val="auto"/>
          <w:sz w:val="21"/>
          <w:szCs w:val="21"/>
          <w:highlight w:val="none"/>
          <w:shd w:val="clear" w:color="auto" w:fill="FFFFFF"/>
          <w:lang w:eastAsia="zh-CN"/>
        </w:rPr>
        <w:t>投标人</w:t>
      </w:r>
      <w:r>
        <w:rPr>
          <w:rFonts w:hint="eastAsia" w:ascii="微软雅黑" w:hAnsi="微软雅黑" w:eastAsia="微软雅黑"/>
          <w:color w:val="auto"/>
          <w:sz w:val="21"/>
          <w:szCs w:val="21"/>
          <w:highlight w:val="none"/>
          <w:shd w:val="clear" w:color="auto" w:fill="FFFFFF"/>
        </w:rPr>
        <w:t>须按照陕西省财政厅《关于政府采购</w:t>
      </w:r>
      <w:r>
        <w:rPr>
          <w:rFonts w:hint="eastAsia" w:ascii="微软雅黑" w:hAnsi="微软雅黑" w:eastAsia="微软雅黑"/>
          <w:color w:val="auto"/>
          <w:sz w:val="21"/>
          <w:szCs w:val="21"/>
          <w:highlight w:val="none"/>
          <w:shd w:val="clear" w:color="auto" w:fill="FFFFFF"/>
          <w:lang w:eastAsia="zh-CN"/>
        </w:rPr>
        <w:t>投标人</w:t>
      </w:r>
      <w:r>
        <w:rPr>
          <w:rFonts w:hint="eastAsia" w:ascii="微软雅黑" w:hAnsi="微软雅黑" w:eastAsia="微软雅黑"/>
          <w:color w:val="auto"/>
          <w:sz w:val="21"/>
          <w:szCs w:val="21"/>
          <w:highlight w:val="none"/>
          <w:shd w:val="clear" w:color="auto" w:fill="FFFFFF"/>
        </w:rPr>
        <w:t>注册登记有关事项的通知》中的要求，通过陕西省政府采购网（http://www.ccgp-shaanxi.gov.cn/） 注册登记加入陕西省政府采购</w:t>
      </w:r>
      <w:r>
        <w:rPr>
          <w:rFonts w:hint="eastAsia" w:ascii="微软雅黑" w:hAnsi="微软雅黑" w:eastAsia="微软雅黑"/>
          <w:color w:val="auto"/>
          <w:sz w:val="21"/>
          <w:szCs w:val="21"/>
          <w:highlight w:val="none"/>
          <w:shd w:val="clear" w:color="auto" w:fill="FFFFFF"/>
          <w:lang w:eastAsia="zh-CN"/>
        </w:rPr>
        <w:t>投标人</w:t>
      </w:r>
      <w:r>
        <w:rPr>
          <w:rFonts w:hint="eastAsia" w:ascii="微软雅黑" w:hAnsi="微软雅黑" w:eastAsia="微软雅黑"/>
          <w:color w:val="auto"/>
          <w:sz w:val="21"/>
          <w:szCs w:val="21"/>
          <w:highlight w:val="none"/>
          <w:shd w:val="clear" w:color="auto" w:fill="FFFFFF"/>
        </w:rPr>
        <w:t>库；</w:t>
      </w:r>
    </w:p>
    <w:p w14:paraId="15017888">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2.3办理CA认证:电子交易平台现已接入陕西CA、深圳CA、西部CA、北京CA四家数字证书公司,各</w:t>
      </w:r>
      <w:r>
        <w:rPr>
          <w:rFonts w:hint="eastAsia" w:ascii="微软雅黑" w:hAnsi="微软雅黑" w:eastAsia="微软雅黑"/>
          <w:color w:val="auto"/>
          <w:sz w:val="21"/>
          <w:szCs w:val="21"/>
          <w:highlight w:val="none"/>
          <w:shd w:val="clear" w:color="auto" w:fill="FFFFFF"/>
          <w:lang w:eastAsia="zh-CN"/>
        </w:rPr>
        <w:t>投标人</w:t>
      </w:r>
      <w:r>
        <w:rPr>
          <w:rFonts w:hint="eastAsia" w:ascii="微软雅黑" w:hAnsi="微软雅黑" w:eastAsia="微软雅黑"/>
          <w:color w:val="auto"/>
          <w:sz w:val="21"/>
          <w:szCs w:val="21"/>
          <w:highlight w:val="none"/>
          <w:shd w:val="clear" w:color="auto" w:fill="FFFFFF"/>
        </w:rPr>
        <w:t>在交易过程中登录系统、加密/解密投标文件、文件签章等均可使用上述四家CA公司签发的数字证书。办理须知及所需资料详见:</w:t>
      </w:r>
    </w:p>
    <w:p w14:paraId="0BF4BE3B">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http://www.sxggzyjy.cn/fwzn/004003/20220701/6972feo2-f996-4928-951e-545dab02e53c.htm1；</w:t>
      </w:r>
    </w:p>
    <w:p w14:paraId="7E92265D">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2.4</w:t>
      </w:r>
      <w:r>
        <w:rPr>
          <w:rFonts w:hint="eastAsia" w:ascii="微软雅黑" w:hAnsi="微软雅黑" w:eastAsia="微软雅黑"/>
          <w:color w:val="auto"/>
          <w:sz w:val="21"/>
          <w:szCs w:val="21"/>
          <w:highlight w:val="none"/>
          <w:shd w:val="clear" w:color="auto" w:fill="FFFFFF"/>
          <w:lang w:eastAsia="zh-CN"/>
        </w:rPr>
        <w:t>投标人</w:t>
      </w:r>
      <w:r>
        <w:rPr>
          <w:rFonts w:hint="eastAsia" w:ascii="微软雅黑" w:hAnsi="微软雅黑" w:eastAsia="微软雅黑"/>
          <w:color w:val="auto"/>
          <w:sz w:val="21"/>
          <w:szCs w:val="21"/>
          <w:highlight w:val="none"/>
          <w:shd w:val="clear" w:color="auto" w:fill="FFFFFF"/>
        </w:rPr>
        <w:t>于文件获取时间内登录全国公共资源交易平台（陕西省·西安市）系统（http://sxggzyjy.xa.gov.cn/），选择本项目点击“我要投标”，参与投标活动；网上报名成功后，下载电子招标文件：</w:t>
      </w:r>
      <w:r>
        <w:rPr>
          <w:rFonts w:hint="eastAsia" w:ascii="微软雅黑" w:hAnsi="微软雅黑" w:eastAsia="微软雅黑"/>
          <w:color w:val="auto"/>
          <w:sz w:val="21"/>
          <w:szCs w:val="21"/>
          <w:highlight w:val="none"/>
          <w:shd w:val="clear" w:color="auto" w:fill="FFFFFF"/>
          <w:lang w:eastAsia="zh-CN"/>
        </w:rPr>
        <w:t>投标人</w:t>
      </w:r>
      <w:r>
        <w:rPr>
          <w:rFonts w:hint="eastAsia" w:ascii="微软雅黑" w:hAnsi="微软雅黑" w:eastAsia="微软雅黑"/>
          <w:color w:val="auto"/>
          <w:sz w:val="21"/>
          <w:szCs w:val="21"/>
          <w:highlight w:val="none"/>
          <w:shd w:val="clear" w:color="auto" w:fill="FFFFFF"/>
        </w:rPr>
        <w:t>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后续开评标活动；</w:t>
      </w:r>
    </w:p>
    <w:p w14:paraId="253AE1FC">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 xml:space="preserve">2.5 </w:t>
      </w:r>
      <w:r>
        <w:rPr>
          <w:rFonts w:hint="eastAsia" w:ascii="微软雅黑" w:hAnsi="微软雅黑" w:eastAsia="微软雅黑"/>
          <w:color w:val="auto"/>
          <w:sz w:val="21"/>
          <w:szCs w:val="21"/>
          <w:highlight w:val="none"/>
          <w:shd w:val="clear" w:color="auto" w:fill="FFFFFF"/>
          <w:lang w:eastAsia="zh-CN"/>
        </w:rPr>
        <w:t>投标人</w:t>
      </w:r>
      <w:r>
        <w:rPr>
          <w:rFonts w:hint="eastAsia" w:ascii="微软雅黑" w:hAnsi="微软雅黑" w:eastAsia="微软雅黑"/>
          <w:color w:val="auto"/>
          <w:sz w:val="21"/>
          <w:szCs w:val="21"/>
          <w:highlight w:val="none"/>
          <w:shd w:val="clear" w:color="auto" w:fill="FFFFFF"/>
        </w:rPr>
        <w:t>递交电子版投标方文件从西安市公共资源交易平台〖首页·〉电子交易平台·〉陕西政府采购交易系统·〉企业端〗登录，登录后切换到〖我的项目〗模块，依次点选〖项目流程·〉项目管理·〉上传响应文件〗上传加密后的电子投标文件（*.SXSTF）；</w:t>
      </w:r>
    </w:p>
    <w:p w14:paraId="37180987">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2.6 本项目采用“不见面开标”方式，</w:t>
      </w:r>
      <w:r>
        <w:rPr>
          <w:rFonts w:hint="eastAsia" w:ascii="微软雅黑" w:hAnsi="微软雅黑" w:eastAsia="微软雅黑"/>
          <w:color w:val="auto"/>
          <w:sz w:val="21"/>
          <w:szCs w:val="21"/>
          <w:highlight w:val="none"/>
          <w:shd w:val="clear" w:color="auto" w:fill="FFFFFF"/>
          <w:lang w:eastAsia="zh-CN"/>
        </w:rPr>
        <w:t>投标人</w:t>
      </w:r>
      <w:r>
        <w:rPr>
          <w:rFonts w:hint="eastAsia" w:ascii="微软雅黑" w:hAnsi="微软雅黑" w:eastAsia="微软雅黑"/>
          <w:color w:val="auto"/>
          <w:sz w:val="21"/>
          <w:szCs w:val="21"/>
          <w:highlight w:val="none"/>
          <w:shd w:val="clear" w:color="auto" w:fill="FFFFFF"/>
        </w:rPr>
        <w:t>无须到达开标现场，即可在网上直接参与开标活动。不见面开标大厅登录方式为：全国公共资源交易平台（陕西省·西安市）→不见面开标系统。相关操作流程详见全国公共资源交易平台（西安市）网站〖首页·〉服务指南·〉下载专区〗中的《西安公共资源交易不见面开标大厅</w:t>
      </w:r>
      <w:r>
        <w:rPr>
          <w:rFonts w:hint="eastAsia" w:ascii="微软雅黑" w:hAnsi="微软雅黑" w:eastAsia="微软雅黑"/>
          <w:color w:val="auto"/>
          <w:sz w:val="21"/>
          <w:szCs w:val="21"/>
          <w:highlight w:val="none"/>
          <w:shd w:val="clear" w:color="auto" w:fill="FFFFFF"/>
          <w:lang w:eastAsia="zh-CN"/>
        </w:rPr>
        <w:t>投标人</w:t>
      </w:r>
      <w:r>
        <w:rPr>
          <w:rFonts w:hint="eastAsia" w:ascii="微软雅黑" w:hAnsi="微软雅黑" w:eastAsia="微软雅黑"/>
          <w:color w:val="auto"/>
          <w:sz w:val="21"/>
          <w:szCs w:val="21"/>
          <w:highlight w:val="none"/>
          <w:shd w:val="clear" w:color="auto" w:fill="FFFFFF"/>
        </w:rPr>
        <w:t>操作手册》。</w:t>
      </w:r>
    </w:p>
    <w:p w14:paraId="27CD85C4">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rPr>
      </w:pPr>
      <w:r>
        <w:rPr>
          <w:rFonts w:hint="eastAsia" w:ascii="微软雅黑" w:hAnsi="微软雅黑" w:eastAsia="微软雅黑"/>
          <w:color w:val="auto"/>
          <w:sz w:val="21"/>
          <w:szCs w:val="21"/>
          <w:highlight w:val="none"/>
          <w:shd w:val="clear" w:color="auto" w:fill="FFFFFF"/>
        </w:rPr>
        <w:t>七、对本次招标提出询问，请按以下方式联系。</w:t>
      </w:r>
    </w:p>
    <w:p w14:paraId="1105D637">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lang w:val="zh-CN" w:eastAsia="zh-CN"/>
        </w:rPr>
      </w:pPr>
      <w:r>
        <w:rPr>
          <w:rFonts w:hint="eastAsia" w:ascii="微软雅黑" w:hAnsi="微软雅黑" w:eastAsia="微软雅黑"/>
          <w:color w:val="auto"/>
          <w:sz w:val="21"/>
          <w:szCs w:val="21"/>
          <w:highlight w:val="none"/>
          <w:shd w:val="clear" w:color="auto" w:fill="FFFFFF"/>
          <w:lang w:val="zh-CN" w:eastAsia="zh-CN"/>
        </w:rPr>
        <w:t>1.招标人信息</w:t>
      </w:r>
    </w:p>
    <w:p w14:paraId="3CEA96CA">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lang w:val="zh-CN" w:eastAsia="zh-CN"/>
        </w:rPr>
      </w:pPr>
      <w:r>
        <w:rPr>
          <w:rFonts w:hint="eastAsia" w:ascii="微软雅黑" w:hAnsi="微软雅黑" w:eastAsia="微软雅黑"/>
          <w:color w:val="auto"/>
          <w:sz w:val="21"/>
          <w:szCs w:val="21"/>
          <w:highlight w:val="none"/>
          <w:shd w:val="clear" w:color="auto" w:fill="FFFFFF"/>
          <w:lang w:val="zh-CN" w:eastAsia="zh-CN"/>
        </w:rPr>
        <w:t>名称：西安市鄠邑区秦渡街道办事处</w:t>
      </w:r>
    </w:p>
    <w:p w14:paraId="5FDDC0BA">
      <w:pPr>
        <w:pStyle w:val="36"/>
        <w:wordWrap w:val="0"/>
        <w:spacing w:before="0" w:beforeAutospacing="0" w:after="0" w:afterAutospacing="0" w:line="480" w:lineRule="atLeast"/>
        <w:ind w:firstLine="480"/>
        <w:jc w:val="both"/>
        <w:rPr>
          <w:rFonts w:hint="default" w:ascii="微软雅黑" w:hAnsi="微软雅黑" w:eastAsia="微软雅黑"/>
          <w:color w:val="auto"/>
          <w:sz w:val="21"/>
          <w:szCs w:val="21"/>
          <w:highlight w:val="none"/>
          <w:shd w:val="clear" w:color="auto" w:fill="FFFFFF"/>
          <w:lang w:val="en-US" w:eastAsia="zh-CN"/>
        </w:rPr>
      </w:pPr>
      <w:r>
        <w:rPr>
          <w:rFonts w:hint="eastAsia" w:ascii="微软雅黑" w:hAnsi="微软雅黑" w:eastAsia="微软雅黑"/>
          <w:color w:val="auto"/>
          <w:sz w:val="21"/>
          <w:szCs w:val="21"/>
          <w:highlight w:val="none"/>
          <w:shd w:val="clear" w:color="auto" w:fill="FFFFFF"/>
          <w:lang w:val="zh-CN" w:eastAsia="zh-CN"/>
        </w:rPr>
        <w:t>地址：</w:t>
      </w:r>
      <w:r>
        <w:rPr>
          <w:rFonts w:hint="eastAsia" w:ascii="微软雅黑" w:hAnsi="微软雅黑" w:eastAsia="微软雅黑"/>
          <w:color w:val="auto"/>
          <w:sz w:val="21"/>
          <w:szCs w:val="21"/>
          <w:highlight w:val="none"/>
          <w:shd w:val="clear" w:color="auto" w:fill="FFFFFF"/>
          <w:lang w:val="en-US" w:eastAsia="zh-CN"/>
        </w:rPr>
        <w:t>西安市鄠邑区秦渡街道长安大街秦渡客运站东侧</w:t>
      </w:r>
    </w:p>
    <w:p w14:paraId="159D4AF5">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lang w:val="en-US" w:eastAsia="zh-CN"/>
        </w:rPr>
      </w:pPr>
      <w:r>
        <w:rPr>
          <w:rFonts w:hint="eastAsia" w:ascii="微软雅黑" w:hAnsi="微软雅黑" w:eastAsia="微软雅黑"/>
          <w:color w:val="auto"/>
          <w:sz w:val="21"/>
          <w:szCs w:val="21"/>
          <w:highlight w:val="none"/>
          <w:shd w:val="clear" w:color="auto" w:fill="FFFFFF"/>
          <w:lang w:val="zh-CN" w:eastAsia="zh-CN"/>
        </w:rPr>
        <w:t>联系方式：029-84945080</w:t>
      </w:r>
    </w:p>
    <w:p w14:paraId="77C8CF47">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lang w:val="zh-CN" w:eastAsia="zh-CN"/>
        </w:rPr>
      </w:pPr>
      <w:r>
        <w:rPr>
          <w:rFonts w:hint="eastAsia" w:ascii="微软雅黑" w:hAnsi="微软雅黑" w:eastAsia="微软雅黑"/>
          <w:color w:val="auto"/>
          <w:sz w:val="21"/>
          <w:szCs w:val="21"/>
          <w:highlight w:val="none"/>
          <w:shd w:val="clear" w:color="auto" w:fill="FFFFFF"/>
          <w:lang w:val="zh-CN" w:eastAsia="zh-CN"/>
        </w:rPr>
        <w:t>2.招标代理机构信息</w:t>
      </w:r>
    </w:p>
    <w:p w14:paraId="4D1F4980">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lang w:val="zh-CN" w:eastAsia="zh-CN"/>
        </w:rPr>
      </w:pPr>
      <w:r>
        <w:rPr>
          <w:rFonts w:hint="eastAsia" w:ascii="微软雅黑" w:hAnsi="微软雅黑" w:eastAsia="微软雅黑"/>
          <w:color w:val="auto"/>
          <w:sz w:val="21"/>
          <w:szCs w:val="21"/>
          <w:highlight w:val="none"/>
          <w:shd w:val="clear" w:color="auto" w:fill="FFFFFF"/>
          <w:lang w:val="zh-CN" w:eastAsia="zh-CN"/>
        </w:rPr>
        <w:t>名称：正大方略工程咨询有限公司</w:t>
      </w:r>
    </w:p>
    <w:p w14:paraId="1B8193C3">
      <w:pPr>
        <w:pStyle w:val="36"/>
        <w:wordWrap w:val="0"/>
        <w:spacing w:before="0" w:beforeAutospacing="0" w:after="0" w:afterAutospacing="0" w:line="480" w:lineRule="atLeast"/>
        <w:ind w:firstLine="480"/>
        <w:jc w:val="both"/>
        <w:rPr>
          <w:rFonts w:hint="default" w:ascii="微软雅黑" w:hAnsi="微软雅黑" w:eastAsia="微软雅黑"/>
          <w:color w:val="auto"/>
          <w:sz w:val="21"/>
          <w:szCs w:val="21"/>
          <w:highlight w:val="none"/>
          <w:shd w:val="clear" w:color="auto" w:fill="FFFFFF"/>
          <w:lang w:val="en-US" w:eastAsia="zh-CN"/>
        </w:rPr>
      </w:pPr>
      <w:r>
        <w:rPr>
          <w:rFonts w:hint="eastAsia" w:ascii="微软雅黑" w:hAnsi="微软雅黑" w:eastAsia="微软雅黑"/>
          <w:color w:val="auto"/>
          <w:sz w:val="21"/>
          <w:szCs w:val="21"/>
          <w:highlight w:val="none"/>
          <w:shd w:val="clear" w:color="auto" w:fill="FFFFFF"/>
          <w:lang w:val="zh-CN" w:eastAsia="zh-CN"/>
        </w:rPr>
        <w:t>地址：陕西省西安市</w:t>
      </w:r>
      <w:r>
        <w:rPr>
          <w:rFonts w:hint="eastAsia" w:ascii="微软雅黑" w:hAnsi="微软雅黑" w:eastAsia="微软雅黑"/>
          <w:color w:val="auto"/>
          <w:sz w:val="21"/>
          <w:szCs w:val="21"/>
          <w:highlight w:val="none"/>
          <w:shd w:val="clear" w:color="auto" w:fill="FFFFFF"/>
          <w:lang w:val="en-US" w:eastAsia="zh-CN"/>
        </w:rPr>
        <w:t>雁塔区南二环东段22号凯森盛世1号A座27层</w:t>
      </w:r>
    </w:p>
    <w:p w14:paraId="38D8F257">
      <w:pPr>
        <w:pStyle w:val="36"/>
        <w:wordWrap w:val="0"/>
        <w:spacing w:before="0" w:beforeAutospacing="0" w:after="0" w:afterAutospacing="0" w:line="480" w:lineRule="atLeast"/>
        <w:ind w:firstLine="480"/>
        <w:jc w:val="both"/>
        <w:rPr>
          <w:rFonts w:hint="default" w:ascii="微软雅黑" w:hAnsi="微软雅黑" w:eastAsia="微软雅黑"/>
          <w:color w:val="auto"/>
          <w:sz w:val="21"/>
          <w:szCs w:val="21"/>
          <w:highlight w:val="none"/>
          <w:shd w:val="clear" w:color="auto" w:fill="FFFFFF"/>
          <w:lang w:val="en-US" w:eastAsia="zh-CN"/>
        </w:rPr>
      </w:pPr>
      <w:r>
        <w:rPr>
          <w:rFonts w:hint="eastAsia" w:ascii="微软雅黑" w:hAnsi="微软雅黑" w:eastAsia="微软雅黑"/>
          <w:color w:val="auto"/>
          <w:sz w:val="21"/>
          <w:szCs w:val="21"/>
          <w:highlight w:val="none"/>
          <w:shd w:val="clear" w:color="auto" w:fill="FFFFFF"/>
          <w:lang w:val="zh-CN" w:eastAsia="zh-CN"/>
        </w:rPr>
        <w:t>联系方式：029-</w:t>
      </w:r>
      <w:r>
        <w:rPr>
          <w:rFonts w:hint="eastAsia" w:ascii="微软雅黑" w:hAnsi="微软雅黑" w:eastAsia="微软雅黑"/>
          <w:color w:val="auto"/>
          <w:sz w:val="21"/>
          <w:szCs w:val="21"/>
          <w:highlight w:val="none"/>
          <w:shd w:val="clear" w:color="auto" w:fill="FFFFFF"/>
          <w:lang w:val="en-US" w:eastAsia="zh-CN"/>
        </w:rPr>
        <w:t>83642331</w:t>
      </w:r>
    </w:p>
    <w:p w14:paraId="700B1C40">
      <w:pPr>
        <w:pStyle w:val="36"/>
        <w:wordWrap w:val="0"/>
        <w:spacing w:before="0" w:beforeAutospacing="0" w:after="0" w:afterAutospacing="0" w:line="480" w:lineRule="atLeast"/>
        <w:ind w:firstLine="480"/>
        <w:jc w:val="both"/>
        <w:rPr>
          <w:rFonts w:hint="eastAsia" w:ascii="微软雅黑" w:hAnsi="微软雅黑" w:eastAsia="微软雅黑"/>
          <w:color w:val="auto"/>
          <w:sz w:val="21"/>
          <w:szCs w:val="21"/>
          <w:highlight w:val="none"/>
          <w:shd w:val="clear" w:color="auto" w:fill="FFFFFF"/>
          <w:lang w:val="zh-CN" w:eastAsia="zh-CN"/>
        </w:rPr>
      </w:pPr>
      <w:r>
        <w:rPr>
          <w:rFonts w:hint="eastAsia" w:ascii="微软雅黑" w:hAnsi="微软雅黑" w:eastAsia="微软雅黑"/>
          <w:color w:val="auto"/>
          <w:sz w:val="21"/>
          <w:szCs w:val="21"/>
          <w:highlight w:val="none"/>
          <w:shd w:val="clear" w:color="auto" w:fill="FFFFFF"/>
          <w:lang w:val="zh-CN" w:eastAsia="zh-CN"/>
        </w:rPr>
        <w:t>3.项目联系方式</w:t>
      </w:r>
    </w:p>
    <w:p w14:paraId="719496B6">
      <w:pPr>
        <w:pStyle w:val="36"/>
        <w:wordWrap w:val="0"/>
        <w:spacing w:before="0" w:beforeAutospacing="0" w:after="0" w:afterAutospacing="0" w:line="480" w:lineRule="atLeast"/>
        <w:ind w:firstLine="480"/>
        <w:jc w:val="both"/>
        <w:rPr>
          <w:rFonts w:hint="default" w:ascii="微软雅黑" w:hAnsi="微软雅黑" w:eastAsia="微软雅黑"/>
          <w:color w:val="auto"/>
          <w:sz w:val="21"/>
          <w:szCs w:val="21"/>
          <w:highlight w:val="none"/>
          <w:shd w:val="clear" w:color="auto" w:fill="FFFFFF"/>
          <w:lang w:val="en-US" w:eastAsia="zh-CN"/>
        </w:rPr>
      </w:pPr>
      <w:r>
        <w:rPr>
          <w:rFonts w:hint="eastAsia" w:ascii="微软雅黑" w:hAnsi="微软雅黑" w:eastAsia="微软雅黑"/>
          <w:color w:val="auto"/>
          <w:sz w:val="21"/>
          <w:szCs w:val="21"/>
          <w:highlight w:val="none"/>
          <w:shd w:val="clear" w:color="auto" w:fill="FFFFFF"/>
          <w:lang w:val="zh-CN" w:eastAsia="zh-CN"/>
        </w:rPr>
        <w:t>项目联系人：</w:t>
      </w:r>
      <w:r>
        <w:rPr>
          <w:rFonts w:hint="eastAsia" w:ascii="微软雅黑" w:hAnsi="微软雅黑" w:eastAsia="微软雅黑"/>
          <w:color w:val="auto"/>
          <w:sz w:val="21"/>
          <w:szCs w:val="21"/>
          <w:highlight w:val="none"/>
          <w:shd w:val="clear" w:color="auto" w:fill="FFFFFF"/>
          <w:lang w:val="en-US" w:eastAsia="zh-CN"/>
        </w:rPr>
        <w:t>孙誉</w:t>
      </w:r>
    </w:p>
    <w:p w14:paraId="0B04C702">
      <w:pPr>
        <w:pStyle w:val="36"/>
        <w:wordWrap w:val="0"/>
        <w:spacing w:before="0" w:beforeAutospacing="0" w:after="0" w:afterAutospacing="0" w:line="480" w:lineRule="atLeast"/>
        <w:ind w:right="150" w:rightChars="68" w:firstLine="480"/>
        <w:jc w:val="both"/>
        <w:rPr>
          <w:highlight w:val="none"/>
        </w:rPr>
      </w:pPr>
      <w:r>
        <w:rPr>
          <w:rFonts w:hint="eastAsia" w:ascii="微软雅黑" w:hAnsi="微软雅黑" w:eastAsia="微软雅黑"/>
          <w:color w:val="auto"/>
          <w:sz w:val="21"/>
          <w:szCs w:val="21"/>
          <w:highlight w:val="none"/>
          <w:shd w:val="clear" w:color="auto" w:fill="FFFFFF"/>
          <w:lang w:val="zh-CN" w:eastAsia="zh-CN"/>
        </w:rPr>
        <w:t>电话：029-</w:t>
      </w:r>
      <w:r>
        <w:rPr>
          <w:rFonts w:hint="eastAsia" w:ascii="微软雅黑" w:hAnsi="微软雅黑" w:eastAsia="微软雅黑"/>
          <w:color w:val="auto"/>
          <w:sz w:val="21"/>
          <w:szCs w:val="21"/>
          <w:highlight w:val="none"/>
          <w:shd w:val="clear" w:color="auto" w:fill="FFFFFF"/>
          <w:lang w:val="en-US" w:eastAsia="zh-CN"/>
        </w:rPr>
        <w:t>83642331</w:t>
      </w:r>
      <w:r>
        <w:rPr>
          <w:highlight w:val="none"/>
        </w:rPr>
        <w:br w:type="page"/>
      </w:r>
    </w:p>
    <w:p w14:paraId="05BDAC18">
      <w:pPr>
        <w:pStyle w:val="2"/>
        <w:ind w:left="956" w:right="1576"/>
        <w:rPr>
          <w:highlight w:val="none"/>
        </w:rPr>
      </w:pPr>
      <w:r>
        <w:rPr>
          <w:highlight w:val="none"/>
        </w:rPr>
        <w:t>第二章 投标人须知及前附表</w:t>
      </w:r>
    </w:p>
    <w:p w14:paraId="08F1BC17">
      <w:pPr>
        <w:pStyle w:val="16"/>
        <w:spacing w:before="11"/>
        <w:rPr>
          <w:b/>
          <w:sz w:val="28"/>
          <w:highlight w:val="none"/>
        </w:rPr>
      </w:pPr>
      <w:bookmarkStart w:id="5" w:name="（一）投标人须知前附表"/>
      <w:bookmarkEnd w:id="5"/>
    </w:p>
    <w:p w14:paraId="73A5A3DB">
      <w:pPr>
        <w:pStyle w:val="3"/>
        <w:ind w:left="956" w:right="1576"/>
        <w:jc w:val="center"/>
        <w:rPr>
          <w:highlight w:val="none"/>
        </w:rPr>
      </w:pPr>
      <w:r>
        <w:rPr>
          <w:highlight w:val="none"/>
        </w:rPr>
        <w:t>（一）投标人须知前附表</w:t>
      </w:r>
    </w:p>
    <w:p w14:paraId="2C3CC97D">
      <w:pPr>
        <w:pStyle w:val="16"/>
        <w:spacing w:before="10"/>
        <w:rPr>
          <w:b/>
          <w:sz w:val="28"/>
          <w:highlight w:val="none"/>
        </w:rPr>
      </w:pPr>
    </w:p>
    <w:tbl>
      <w:tblPr>
        <w:tblStyle w:val="41"/>
        <w:tblW w:w="9500" w:type="dxa"/>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0"/>
        <w:gridCol w:w="1589"/>
        <w:gridCol w:w="6911"/>
      </w:tblGrid>
      <w:tr w14:paraId="7BBF9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00" w:type="dxa"/>
          </w:tcPr>
          <w:p w14:paraId="084F98AF">
            <w:pPr>
              <w:pStyle w:val="71"/>
              <w:spacing w:before="160"/>
              <w:ind w:left="117"/>
              <w:rPr>
                <w:sz w:val="21"/>
                <w:szCs w:val="21"/>
                <w:highlight w:val="none"/>
                <w:shd w:val="clear" w:color="auto" w:fill="FFFFFF"/>
                <w:lang w:val="en-US" w:bidi="ar"/>
              </w:rPr>
            </w:pPr>
            <w:r>
              <w:rPr>
                <w:rFonts w:hint="eastAsia"/>
                <w:sz w:val="21"/>
                <w:szCs w:val="21"/>
                <w:highlight w:val="none"/>
                <w:shd w:val="clear" w:color="auto" w:fill="FFFFFF"/>
                <w:lang w:val="en-US" w:bidi="ar"/>
              </w:rPr>
              <w:t>条款号</w:t>
            </w:r>
          </w:p>
        </w:tc>
        <w:tc>
          <w:tcPr>
            <w:tcW w:w="1589" w:type="dxa"/>
          </w:tcPr>
          <w:p w14:paraId="77716432">
            <w:pPr>
              <w:pStyle w:val="71"/>
              <w:spacing w:before="160"/>
              <w:ind w:left="171"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条款名称</w:t>
            </w:r>
          </w:p>
        </w:tc>
        <w:tc>
          <w:tcPr>
            <w:tcW w:w="6911" w:type="dxa"/>
          </w:tcPr>
          <w:p w14:paraId="49A6B965">
            <w:pPr>
              <w:pStyle w:val="71"/>
              <w:spacing w:before="160"/>
              <w:ind w:right="3003" w:firstLine="210" w:firstLineChars="100"/>
              <w:jc w:val="both"/>
              <w:rPr>
                <w:sz w:val="21"/>
                <w:szCs w:val="21"/>
                <w:highlight w:val="none"/>
                <w:shd w:val="clear" w:color="auto" w:fill="FFFFFF"/>
                <w:lang w:val="en-US" w:bidi="ar"/>
              </w:rPr>
            </w:pPr>
            <w:r>
              <w:rPr>
                <w:rFonts w:hint="eastAsia"/>
                <w:sz w:val="21"/>
                <w:szCs w:val="21"/>
                <w:highlight w:val="none"/>
                <w:shd w:val="clear" w:color="auto" w:fill="FFFFFF"/>
                <w:lang w:val="en-US" w:bidi="ar"/>
              </w:rPr>
              <w:t>编列内容</w:t>
            </w:r>
          </w:p>
        </w:tc>
      </w:tr>
      <w:tr w14:paraId="57A91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1000" w:type="dxa"/>
          </w:tcPr>
          <w:p w14:paraId="55CD84AF">
            <w:pPr>
              <w:pStyle w:val="71"/>
              <w:rPr>
                <w:sz w:val="21"/>
                <w:szCs w:val="21"/>
                <w:highlight w:val="none"/>
                <w:shd w:val="clear" w:color="auto" w:fill="FFFFFF"/>
                <w:lang w:val="en-US" w:bidi="ar"/>
              </w:rPr>
            </w:pPr>
          </w:p>
          <w:p w14:paraId="3480367A">
            <w:pPr>
              <w:pStyle w:val="71"/>
              <w:spacing w:before="173"/>
              <w:ind w:left="179"/>
              <w:rPr>
                <w:sz w:val="21"/>
                <w:szCs w:val="21"/>
                <w:highlight w:val="none"/>
                <w:shd w:val="clear" w:color="auto" w:fill="FFFFFF"/>
                <w:lang w:val="en-US" w:bidi="ar"/>
              </w:rPr>
            </w:pPr>
            <w:r>
              <w:rPr>
                <w:rFonts w:hint="eastAsia"/>
                <w:sz w:val="21"/>
                <w:szCs w:val="21"/>
                <w:highlight w:val="none"/>
                <w:shd w:val="clear" w:color="auto" w:fill="FFFFFF"/>
                <w:lang w:val="en-US" w:bidi="ar"/>
              </w:rPr>
              <w:t>1.1.2</w:t>
            </w:r>
          </w:p>
        </w:tc>
        <w:tc>
          <w:tcPr>
            <w:tcW w:w="1589" w:type="dxa"/>
          </w:tcPr>
          <w:p w14:paraId="1163620F">
            <w:pPr>
              <w:pStyle w:val="71"/>
              <w:rPr>
                <w:sz w:val="21"/>
                <w:szCs w:val="21"/>
                <w:highlight w:val="none"/>
                <w:shd w:val="clear" w:color="auto" w:fill="FFFFFF"/>
                <w:lang w:val="en-US" w:bidi="ar"/>
              </w:rPr>
            </w:pPr>
          </w:p>
          <w:p w14:paraId="6F5B478A">
            <w:pPr>
              <w:pStyle w:val="71"/>
              <w:spacing w:before="173"/>
              <w:ind w:left="174" w:right="166"/>
              <w:jc w:val="center"/>
              <w:rPr>
                <w:rFonts w:hint="eastAsia" w:eastAsia="宋体"/>
                <w:sz w:val="21"/>
                <w:szCs w:val="21"/>
                <w:highlight w:val="none"/>
                <w:shd w:val="clear" w:color="auto" w:fill="FFFFFF"/>
                <w:lang w:val="en-US" w:eastAsia="zh-CN" w:bidi="ar"/>
              </w:rPr>
            </w:pPr>
            <w:r>
              <w:rPr>
                <w:rFonts w:hint="eastAsia"/>
                <w:sz w:val="21"/>
                <w:szCs w:val="21"/>
                <w:highlight w:val="none"/>
                <w:shd w:val="clear" w:color="auto" w:fill="FFFFFF"/>
                <w:lang w:val="en-US" w:eastAsia="zh-CN" w:bidi="ar"/>
              </w:rPr>
              <w:t>招标人</w:t>
            </w:r>
          </w:p>
        </w:tc>
        <w:tc>
          <w:tcPr>
            <w:tcW w:w="6911" w:type="dxa"/>
          </w:tcPr>
          <w:p w14:paraId="12785E7B">
            <w:pPr>
              <w:pStyle w:val="71"/>
              <w:numPr>
                <w:ilvl w:val="0"/>
                <w:numId w:val="0"/>
              </w:numPr>
              <w:tabs>
                <w:tab w:val="left" w:pos="710"/>
              </w:tabs>
              <w:spacing w:before="81" w:line="312" w:lineRule="auto"/>
              <w:ind w:left="106" w:leftChars="0" w:right="95" w:rightChars="0"/>
              <w:jc w:val="both"/>
              <w:rPr>
                <w:rFonts w:hint="eastAsia"/>
                <w:sz w:val="21"/>
                <w:szCs w:val="21"/>
                <w:highlight w:val="none"/>
                <w:shd w:val="clear" w:color="auto" w:fill="FFFFFF"/>
                <w:lang w:val="en-US" w:bidi="ar"/>
              </w:rPr>
            </w:pPr>
            <w:r>
              <w:rPr>
                <w:rFonts w:hint="eastAsia"/>
                <w:sz w:val="21"/>
                <w:szCs w:val="21"/>
                <w:highlight w:val="none"/>
                <w:shd w:val="clear" w:color="auto" w:fill="FFFFFF"/>
                <w:lang w:val="en-US" w:bidi="ar"/>
              </w:rPr>
              <w:t>名称：</w:t>
            </w:r>
            <w:r>
              <w:rPr>
                <w:rFonts w:hint="eastAsia"/>
                <w:sz w:val="21"/>
                <w:szCs w:val="21"/>
                <w:highlight w:val="none"/>
                <w:shd w:val="clear" w:color="auto" w:fill="FFFFFF"/>
                <w:lang w:val="en-US" w:eastAsia="zh-CN" w:bidi="ar"/>
              </w:rPr>
              <w:t>西安市鄠邑区秦渡街道办事处</w:t>
            </w:r>
          </w:p>
          <w:p w14:paraId="109F26A3">
            <w:pPr>
              <w:pStyle w:val="71"/>
              <w:numPr>
                <w:ilvl w:val="0"/>
                <w:numId w:val="0"/>
              </w:numPr>
              <w:tabs>
                <w:tab w:val="left" w:pos="710"/>
              </w:tabs>
              <w:spacing w:before="81" w:line="312" w:lineRule="auto"/>
              <w:ind w:left="106" w:leftChars="0" w:right="95" w:rightChars="0"/>
              <w:jc w:val="both"/>
              <w:rPr>
                <w:rFonts w:hint="eastAsia"/>
                <w:sz w:val="21"/>
                <w:szCs w:val="21"/>
                <w:highlight w:val="none"/>
                <w:shd w:val="clear" w:color="auto" w:fill="FFFFFF"/>
                <w:lang w:val="en-US" w:eastAsia="zh-CN" w:bidi="ar"/>
              </w:rPr>
            </w:pPr>
            <w:r>
              <w:rPr>
                <w:rFonts w:hint="eastAsia"/>
                <w:sz w:val="21"/>
                <w:szCs w:val="21"/>
                <w:highlight w:val="none"/>
                <w:shd w:val="clear" w:color="auto" w:fill="FFFFFF"/>
                <w:lang w:val="en-US" w:bidi="ar"/>
              </w:rPr>
              <w:t>地址：</w:t>
            </w:r>
            <w:r>
              <w:rPr>
                <w:rFonts w:hint="eastAsia"/>
                <w:sz w:val="21"/>
                <w:szCs w:val="21"/>
                <w:highlight w:val="none"/>
                <w:shd w:val="clear" w:color="auto" w:fill="FFFFFF"/>
                <w:lang w:val="en-US" w:eastAsia="zh-CN" w:bidi="ar"/>
              </w:rPr>
              <w:t>西安市鄠邑区秦渡街道长安大街秦渡客运站东侧</w:t>
            </w:r>
          </w:p>
          <w:p w14:paraId="00010FE1">
            <w:pPr>
              <w:pStyle w:val="71"/>
              <w:numPr>
                <w:ilvl w:val="0"/>
                <w:numId w:val="0"/>
              </w:numPr>
              <w:tabs>
                <w:tab w:val="left" w:pos="710"/>
              </w:tabs>
              <w:spacing w:before="81" w:line="312" w:lineRule="auto"/>
              <w:ind w:left="106" w:leftChars="0" w:right="95" w:rightChars="0"/>
              <w:jc w:val="both"/>
              <w:rPr>
                <w:rFonts w:hint="default"/>
                <w:sz w:val="21"/>
                <w:szCs w:val="21"/>
                <w:highlight w:val="none"/>
                <w:shd w:val="clear" w:color="auto" w:fill="FFFFFF"/>
                <w:lang w:val="en-US" w:eastAsia="zh-CN" w:bidi="ar"/>
              </w:rPr>
            </w:pPr>
            <w:r>
              <w:rPr>
                <w:rFonts w:hint="eastAsia"/>
                <w:sz w:val="21"/>
                <w:szCs w:val="21"/>
                <w:highlight w:val="none"/>
                <w:shd w:val="clear" w:color="auto" w:fill="FFFFFF"/>
                <w:lang w:val="en-US" w:bidi="ar"/>
              </w:rPr>
              <w:t>联系人：</w:t>
            </w:r>
            <w:r>
              <w:rPr>
                <w:rFonts w:hint="eastAsia"/>
                <w:sz w:val="21"/>
                <w:szCs w:val="21"/>
                <w:highlight w:val="none"/>
                <w:shd w:val="clear" w:color="auto" w:fill="FFFFFF"/>
                <w:lang w:val="en-US" w:eastAsia="zh-CN" w:bidi="ar"/>
              </w:rPr>
              <w:t>李工</w:t>
            </w:r>
          </w:p>
          <w:p w14:paraId="51D85A78">
            <w:pPr>
              <w:pStyle w:val="71"/>
              <w:numPr>
                <w:ilvl w:val="0"/>
                <w:numId w:val="0"/>
              </w:numPr>
              <w:tabs>
                <w:tab w:val="left" w:pos="710"/>
              </w:tabs>
              <w:spacing w:before="81" w:line="312" w:lineRule="auto"/>
              <w:ind w:left="106" w:leftChars="0" w:right="95" w:rightChars="0"/>
              <w:jc w:val="both"/>
              <w:rPr>
                <w:rFonts w:hint="eastAsia"/>
                <w:sz w:val="21"/>
                <w:szCs w:val="21"/>
                <w:highlight w:val="none"/>
                <w:shd w:val="clear" w:color="auto" w:fill="FFFFFF"/>
                <w:lang w:val="en-US" w:bidi="ar"/>
              </w:rPr>
            </w:pPr>
            <w:r>
              <w:rPr>
                <w:rFonts w:hint="eastAsia"/>
                <w:sz w:val="21"/>
                <w:szCs w:val="21"/>
                <w:highlight w:val="none"/>
                <w:shd w:val="clear" w:color="auto" w:fill="FFFFFF"/>
                <w:lang w:val="en-US" w:bidi="ar"/>
              </w:rPr>
              <w:t>联系方式：</w:t>
            </w:r>
            <w:r>
              <w:rPr>
                <w:rFonts w:hint="eastAsia"/>
                <w:sz w:val="21"/>
                <w:szCs w:val="21"/>
                <w:highlight w:val="none"/>
                <w:shd w:val="clear" w:color="auto" w:fill="FFFFFF"/>
                <w:lang w:val="en-US" w:eastAsia="zh-CN" w:bidi="ar"/>
              </w:rPr>
              <w:t>029-84945080</w:t>
            </w:r>
          </w:p>
        </w:tc>
      </w:tr>
      <w:tr w14:paraId="206CE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6" w:hRule="atLeast"/>
        </w:trPr>
        <w:tc>
          <w:tcPr>
            <w:tcW w:w="1000" w:type="dxa"/>
          </w:tcPr>
          <w:p w14:paraId="273B35BB">
            <w:pPr>
              <w:pStyle w:val="71"/>
              <w:rPr>
                <w:sz w:val="21"/>
                <w:szCs w:val="21"/>
                <w:highlight w:val="none"/>
                <w:shd w:val="clear" w:color="auto" w:fill="FFFFFF"/>
                <w:lang w:val="en-US" w:bidi="ar"/>
              </w:rPr>
            </w:pPr>
          </w:p>
          <w:p w14:paraId="6B5048C8">
            <w:pPr>
              <w:pStyle w:val="71"/>
              <w:rPr>
                <w:sz w:val="21"/>
                <w:szCs w:val="21"/>
                <w:highlight w:val="none"/>
                <w:shd w:val="clear" w:color="auto" w:fill="FFFFFF"/>
                <w:lang w:val="en-US" w:bidi="ar"/>
              </w:rPr>
            </w:pPr>
          </w:p>
          <w:p w14:paraId="54EC8B42">
            <w:pPr>
              <w:pStyle w:val="71"/>
              <w:spacing w:before="10"/>
              <w:rPr>
                <w:sz w:val="21"/>
                <w:szCs w:val="21"/>
                <w:highlight w:val="none"/>
                <w:shd w:val="clear" w:color="auto" w:fill="FFFFFF"/>
                <w:lang w:val="en-US" w:bidi="ar"/>
              </w:rPr>
            </w:pPr>
          </w:p>
          <w:p w14:paraId="0E403D00">
            <w:pPr>
              <w:pStyle w:val="71"/>
              <w:ind w:left="179"/>
              <w:rPr>
                <w:sz w:val="21"/>
                <w:szCs w:val="21"/>
                <w:highlight w:val="none"/>
                <w:shd w:val="clear" w:color="auto" w:fill="FFFFFF"/>
                <w:lang w:val="en-US" w:bidi="ar"/>
              </w:rPr>
            </w:pPr>
            <w:r>
              <w:rPr>
                <w:rFonts w:hint="eastAsia"/>
                <w:sz w:val="21"/>
                <w:szCs w:val="21"/>
                <w:highlight w:val="none"/>
                <w:shd w:val="clear" w:color="auto" w:fill="FFFFFF"/>
                <w:lang w:val="en-US" w:bidi="ar"/>
              </w:rPr>
              <w:t>1.1.3</w:t>
            </w:r>
          </w:p>
        </w:tc>
        <w:tc>
          <w:tcPr>
            <w:tcW w:w="1589" w:type="dxa"/>
          </w:tcPr>
          <w:p w14:paraId="23F59BF3">
            <w:pPr>
              <w:pStyle w:val="71"/>
              <w:rPr>
                <w:sz w:val="21"/>
                <w:szCs w:val="21"/>
                <w:highlight w:val="none"/>
                <w:shd w:val="clear" w:color="auto" w:fill="FFFFFF"/>
                <w:lang w:val="en-US" w:bidi="ar"/>
              </w:rPr>
            </w:pPr>
          </w:p>
          <w:p w14:paraId="25A7906D">
            <w:pPr>
              <w:pStyle w:val="71"/>
              <w:spacing w:before="10"/>
              <w:rPr>
                <w:sz w:val="21"/>
                <w:szCs w:val="21"/>
                <w:highlight w:val="none"/>
                <w:shd w:val="clear" w:color="auto" w:fill="FFFFFF"/>
                <w:lang w:val="en-US" w:bidi="ar"/>
              </w:rPr>
            </w:pPr>
          </w:p>
          <w:p w14:paraId="201E6994">
            <w:pPr>
              <w:pStyle w:val="71"/>
              <w:ind w:left="174" w:right="166"/>
              <w:jc w:val="center"/>
              <w:rPr>
                <w:rFonts w:hint="eastAsia" w:eastAsia="宋体"/>
                <w:sz w:val="21"/>
                <w:szCs w:val="21"/>
                <w:highlight w:val="none"/>
                <w:shd w:val="clear" w:color="auto" w:fill="FFFFFF"/>
                <w:lang w:val="en-US" w:eastAsia="zh-CN" w:bidi="ar"/>
              </w:rPr>
            </w:pPr>
            <w:r>
              <w:rPr>
                <w:rFonts w:hint="eastAsia"/>
                <w:sz w:val="21"/>
                <w:szCs w:val="21"/>
                <w:highlight w:val="none"/>
                <w:shd w:val="clear" w:color="auto" w:fill="FFFFFF"/>
                <w:lang w:val="en-US" w:eastAsia="zh-CN" w:bidi="ar"/>
              </w:rPr>
              <w:t>招标代理机构</w:t>
            </w:r>
          </w:p>
        </w:tc>
        <w:tc>
          <w:tcPr>
            <w:tcW w:w="6911" w:type="dxa"/>
          </w:tcPr>
          <w:p w14:paraId="078BF290">
            <w:pPr>
              <w:pStyle w:val="71"/>
              <w:numPr>
                <w:ilvl w:val="0"/>
                <w:numId w:val="0"/>
              </w:numPr>
              <w:tabs>
                <w:tab w:val="left" w:pos="710"/>
              </w:tabs>
              <w:spacing w:before="81" w:line="312" w:lineRule="auto"/>
              <w:ind w:left="106" w:leftChars="0" w:right="95" w:rightChars="0"/>
              <w:jc w:val="both"/>
              <w:rPr>
                <w:rFonts w:hint="eastAsia"/>
                <w:sz w:val="21"/>
                <w:szCs w:val="21"/>
                <w:highlight w:val="none"/>
                <w:shd w:val="clear" w:color="auto" w:fill="FFFFFF"/>
                <w:lang w:val="en-US" w:eastAsia="zh-CN" w:bidi="ar"/>
              </w:rPr>
            </w:pPr>
            <w:r>
              <w:rPr>
                <w:rFonts w:hint="eastAsia"/>
                <w:sz w:val="21"/>
                <w:szCs w:val="21"/>
                <w:highlight w:val="none"/>
                <w:shd w:val="clear" w:color="auto" w:fill="FFFFFF"/>
                <w:lang w:val="en-US" w:bidi="ar"/>
              </w:rPr>
              <w:t>名称：</w:t>
            </w:r>
            <w:r>
              <w:rPr>
                <w:rFonts w:hint="eastAsia"/>
                <w:sz w:val="21"/>
                <w:szCs w:val="21"/>
                <w:highlight w:val="none"/>
                <w:shd w:val="clear" w:color="auto" w:fill="FFFFFF"/>
                <w:lang w:val="en-US" w:eastAsia="zh-CN" w:bidi="ar"/>
              </w:rPr>
              <w:t>正大方略工程咨询有限公司</w:t>
            </w:r>
          </w:p>
          <w:p w14:paraId="5F87DC84">
            <w:pPr>
              <w:pStyle w:val="71"/>
              <w:numPr>
                <w:ilvl w:val="0"/>
                <w:numId w:val="0"/>
              </w:numPr>
              <w:tabs>
                <w:tab w:val="left" w:pos="710"/>
              </w:tabs>
              <w:spacing w:before="81" w:line="312" w:lineRule="auto"/>
              <w:ind w:left="106" w:leftChars="0" w:right="95" w:rightChars="0"/>
              <w:jc w:val="both"/>
              <w:rPr>
                <w:rFonts w:hint="default"/>
                <w:sz w:val="21"/>
                <w:szCs w:val="21"/>
                <w:highlight w:val="none"/>
                <w:shd w:val="clear" w:color="auto" w:fill="FFFFFF"/>
                <w:lang w:val="en-US" w:eastAsia="zh-CN" w:bidi="ar"/>
              </w:rPr>
            </w:pPr>
            <w:r>
              <w:rPr>
                <w:rFonts w:hint="eastAsia"/>
                <w:sz w:val="21"/>
                <w:szCs w:val="21"/>
                <w:highlight w:val="none"/>
                <w:shd w:val="clear" w:color="auto" w:fill="FFFFFF"/>
                <w:lang w:val="en-US" w:bidi="ar"/>
              </w:rPr>
              <w:t>地址：陕西省西安市</w:t>
            </w:r>
            <w:r>
              <w:rPr>
                <w:rFonts w:hint="eastAsia"/>
                <w:sz w:val="21"/>
                <w:szCs w:val="21"/>
                <w:highlight w:val="none"/>
                <w:shd w:val="clear" w:color="auto" w:fill="FFFFFF"/>
                <w:lang w:val="en-US" w:eastAsia="zh-CN" w:bidi="ar"/>
              </w:rPr>
              <w:t>雁塔区南二环东段22号凯森盛世1号A座27层</w:t>
            </w:r>
          </w:p>
          <w:p w14:paraId="132EC3B2">
            <w:pPr>
              <w:pStyle w:val="71"/>
              <w:numPr>
                <w:ilvl w:val="0"/>
                <w:numId w:val="0"/>
              </w:numPr>
              <w:tabs>
                <w:tab w:val="left" w:pos="710"/>
              </w:tabs>
              <w:spacing w:before="81" w:line="312" w:lineRule="auto"/>
              <w:ind w:left="106" w:leftChars="0" w:right="95" w:rightChars="0"/>
              <w:jc w:val="both"/>
              <w:rPr>
                <w:rFonts w:hint="default"/>
                <w:sz w:val="21"/>
                <w:szCs w:val="21"/>
                <w:highlight w:val="none"/>
                <w:shd w:val="clear" w:color="auto" w:fill="FFFFFF"/>
                <w:lang w:val="en-US" w:eastAsia="zh-CN" w:bidi="ar"/>
              </w:rPr>
            </w:pPr>
            <w:r>
              <w:rPr>
                <w:rFonts w:hint="eastAsia"/>
                <w:sz w:val="21"/>
                <w:szCs w:val="21"/>
                <w:highlight w:val="none"/>
                <w:shd w:val="clear" w:color="auto" w:fill="FFFFFF"/>
                <w:lang w:val="en-US" w:bidi="ar"/>
              </w:rPr>
              <w:t>联系人：</w:t>
            </w:r>
            <w:r>
              <w:rPr>
                <w:rFonts w:hint="eastAsia"/>
                <w:sz w:val="21"/>
                <w:szCs w:val="21"/>
                <w:highlight w:val="none"/>
                <w:shd w:val="clear" w:color="auto" w:fill="FFFFFF"/>
                <w:lang w:val="en-US" w:eastAsia="zh-CN" w:bidi="ar"/>
              </w:rPr>
              <w:t>孙誉</w:t>
            </w:r>
          </w:p>
          <w:p w14:paraId="43661198">
            <w:pPr>
              <w:pStyle w:val="71"/>
              <w:numPr>
                <w:ilvl w:val="0"/>
                <w:numId w:val="0"/>
              </w:numPr>
              <w:tabs>
                <w:tab w:val="left" w:pos="710"/>
              </w:tabs>
              <w:spacing w:before="81" w:line="312" w:lineRule="auto"/>
              <w:ind w:left="106" w:leftChars="0" w:right="95" w:rightChars="0"/>
              <w:jc w:val="both"/>
              <w:rPr>
                <w:rFonts w:hint="eastAsia"/>
                <w:sz w:val="21"/>
                <w:szCs w:val="21"/>
                <w:highlight w:val="none"/>
                <w:shd w:val="clear" w:color="auto" w:fill="FFFFFF"/>
                <w:lang w:val="en-US" w:bidi="ar"/>
              </w:rPr>
            </w:pPr>
            <w:r>
              <w:rPr>
                <w:rFonts w:hint="eastAsia"/>
                <w:sz w:val="21"/>
                <w:szCs w:val="21"/>
                <w:highlight w:val="none"/>
                <w:shd w:val="clear" w:color="auto" w:fill="FFFFFF"/>
                <w:lang w:val="en-US" w:bidi="ar"/>
              </w:rPr>
              <w:t>电话：029-</w:t>
            </w:r>
            <w:r>
              <w:rPr>
                <w:rFonts w:hint="eastAsia"/>
                <w:sz w:val="21"/>
                <w:szCs w:val="21"/>
                <w:highlight w:val="none"/>
                <w:shd w:val="clear" w:color="auto" w:fill="FFFFFF"/>
                <w:lang w:val="en-US" w:eastAsia="zh-CN" w:bidi="ar"/>
              </w:rPr>
              <w:t>83642331</w:t>
            </w:r>
          </w:p>
        </w:tc>
      </w:tr>
      <w:tr w14:paraId="2AD79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0" w:type="dxa"/>
          </w:tcPr>
          <w:p w14:paraId="38477CAC">
            <w:pPr>
              <w:pStyle w:val="71"/>
              <w:spacing w:before="204"/>
              <w:ind w:left="179"/>
              <w:rPr>
                <w:sz w:val="21"/>
                <w:szCs w:val="21"/>
                <w:highlight w:val="none"/>
                <w:shd w:val="clear" w:color="auto" w:fill="FFFFFF"/>
                <w:lang w:val="en-US" w:bidi="ar"/>
              </w:rPr>
            </w:pPr>
            <w:r>
              <w:rPr>
                <w:rFonts w:hint="eastAsia"/>
                <w:sz w:val="21"/>
                <w:szCs w:val="21"/>
                <w:highlight w:val="none"/>
                <w:shd w:val="clear" w:color="auto" w:fill="FFFFFF"/>
                <w:lang w:val="en-US" w:bidi="ar"/>
              </w:rPr>
              <w:t>1.1.4</w:t>
            </w:r>
          </w:p>
        </w:tc>
        <w:tc>
          <w:tcPr>
            <w:tcW w:w="1589" w:type="dxa"/>
          </w:tcPr>
          <w:p w14:paraId="2082D422">
            <w:pPr>
              <w:pStyle w:val="71"/>
              <w:spacing w:before="204"/>
              <w:ind w:left="174"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项目名称</w:t>
            </w:r>
          </w:p>
        </w:tc>
        <w:tc>
          <w:tcPr>
            <w:tcW w:w="6911" w:type="dxa"/>
          </w:tcPr>
          <w:p w14:paraId="54A6CC33">
            <w:pPr>
              <w:pStyle w:val="71"/>
              <w:spacing w:before="204"/>
              <w:ind w:left="106"/>
              <w:rPr>
                <w:rFonts w:hint="eastAsia"/>
                <w:sz w:val="21"/>
                <w:szCs w:val="21"/>
                <w:highlight w:val="none"/>
                <w:shd w:val="clear" w:color="auto" w:fill="FFFFFF"/>
                <w:lang w:val="en-US" w:eastAsia="zh-CN" w:bidi="ar"/>
              </w:rPr>
            </w:pPr>
            <w:r>
              <w:rPr>
                <w:rFonts w:hint="eastAsia"/>
                <w:sz w:val="21"/>
                <w:szCs w:val="21"/>
                <w:highlight w:val="none"/>
                <w:shd w:val="clear" w:color="auto" w:fill="FFFFFF"/>
                <w:lang w:val="en-US" w:eastAsia="zh-CN" w:bidi="ar"/>
              </w:rPr>
              <w:t>秦渡街道西南郊水厂二期一阶段项目清表及垃圾清运工程</w:t>
            </w:r>
          </w:p>
          <w:p w14:paraId="02564ECA">
            <w:pPr>
              <w:pStyle w:val="71"/>
              <w:spacing w:before="204"/>
              <w:ind w:left="106"/>
              <w:rPr>
                <w:rFonts w:hint="eastAsia"/>
                <w:sz w:val="21"/>
                <w:szCs w:val="21"/>
                <w:highlight w:val="none"/>
                <w:shd w:val="clear" w:color="auto" w:fill="FFFFFF"/>
                <w:lang w:val="en-US" w:eastAsia="zh-CN" w:bidi="ar"/>
              </w:rPr>
            </w:pPr>
            <w:r>
              <w:rPr>
                <w:rFonts w:hint="eastAsia"/>
                <w:sz w:val="21"/>
                <w:szCs w:val="21"/>
                <w:highlight w:val="none"/>
                <w:shd w:val="clear" w:color="auto" w:fill="FFFFFF"/>
                <w:lang w:val="en-US" w:eastAsia="zh-CN" w:bidi="ar"/>
              </w:rPr>
              <w:t>第1包：秦渡街道西南郊水厂二期一阶段项目清表及垃圾清运工程第1包</w:t>
            </w:r>
          </w:p>
          <w:p w14:paraId="5562CCA8">
            <w:pPr>
              <w:pStyle w:val="71"/>
              <w:spacing w:before="204"/>
              <w:ind w:left="106"/>
              <w:rPr>
                <w:rFonts w:hint="default"/>
                <w:sz w:val="21"/>
                <w:szCs w:val="21"/>
                <w:highlight w:val="none"/>
                <w:shd w:val="clear" w:color="auto" w:fill="FFFFFF"/>
                <w:lang w:val="en-US" w:eastAsia="zh-CN" w:bidi="ar"/>
              </w:rPr>
            </w:pPr>
            <w:r>
              <w:rPr>
                <w:rFonts w:hint="eastAsia"/>
                <w:sz w:val="21"/>
                <w:szCs w:val="21"/>
                <w:highlight w:val="none"/>
                <w:shd w:val="clear" w:color="auto" w:fill="FFFFFF"/>
                <w:lang w:val="en-US" w:eastAsia="zh-CN" w:bidi="ar"/>
              </w:rPr>
              <w:t>第2包：秦渡街道西南郊水厂二期一阶段项目清表及垃圾清运工程第2包</w:t>
            </w:r>
          </w:p>
        </w:tc>
      </w:tr>
      <w:tr w14:paraId="024B7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000" w:type="dxa"/>
          </w:tcPr>
          <w:p w14:paraId="39094233">
            <w:pPr>
              <w:pStyle w:val="71"/>
              <w:spacing w:before="11"/>
              <w:rPr>
                <w:sz w:val="21"/>
                <w:szCs w:val="21"/>
                <w:highlight w:val="none"/>
                <w:shd w:val="clear" w:color="auto" w:fill="FFFFFF"/>
                <w:lang w:val="en-US" w:bidi="ar"/>
              </w:rPr>
            </w:pPr>
          </w:p>
          <w:p w14:paraId="1BD16D81">
            <w:pPr>
              <w:pStyle w:val="71"/>
              <w:ind w:left="179"/>
              <w:rPr>
                <w:sz w:val="21"/>
                <w:szCs w:val="21"/>
                <w:highlight w:val="none"/>
                <w:shd w:val="clear" w:color="auto" w:fill="FFFFFF"/>
                <w:lang w:val="en-US" w:bidi="ar"/>
              </w:rPr>
            </w:pPr>
            <w:r>
              <w:rPr>
                <w:rFonts w:hint="eastAsia"/>
                <w:sz w:val="21"/>
                <w:szCs w:val="21"/>
                <w:highlight w:val="none"/>
                <w:shd w:val="clear" w:color="auto" w:fill="FFFFFF"/>
                <w:lang w:val="en-US" w:bidi="ar"/>
              </w:rPr>
              <w:t>1.1.5</w:t>
            </w:r>
          </w:p>
        </w:tc>
        <w:tc>
          <w:tcPr>
            <w:tcW w:w="1589" w:type="dxa"/>
          </w:tcPr>
          <w:p w14:paraId="25B995AF">
            <w:pPr>
              <w:pStyle w:val="71"/>
              <w:spacing w:before="11"/>
              <w:rPr>
                <w:sz w:val="21"/>
                <w:szCs w:val="21"/>
                <w:highlight w:val="none"/>
                <w:shd w:val="clear" w:color="auto" w:fill="FFFFFF"/>
                <w:lang w:val="en-US" w:bidi="ar"/>
              </w:rPr>
            </w:pPr>
          </w:p>
          <w:p w14:paraId="78D8E9F7">
            <w:pPr>
              <w:pStyle w:val="71"/>
              <w:ind w:left="174"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工程地点</w:t>
            </w:r>
          </w:p>
        </w:tc>
        <w:tc>
          <w:tcPr>
            <w:tcW w:w="6911" w:type="dxa"/>
          </w:tcPr>
          <w:p w14:paraId="643D9D59">
            <w:pPr>
              <w:pStyle w:val="71"/>
              <w:spacing w:before="2" w:line="458" w:lineRule="exact"/>
              <w:ind w:left="106" w:right="95"/>
              <w:rPr>
                <w:sz w:val="21"/>
                <w:szCs w:val="21"/>
                <w:highlight w:val="none"/>
                <w:shd w:val="clear" w:color="auto" w:fill="FFFFFF"/>
                <w:lang w:val="en-US" w:bidi="ar"/>
              </w:rPr>
            </w:pPr>
            <w:r>
              <w:rPr>
                <w:rFonts w:hint="eastAsia"/>
                <w:sz w:val="21"/>
                <w:szCs w:val="21"/>
                <w:highlight w:val="none"/>
                <w:shd w:val="clear" w:color="auto" w:fill="FFFFFF"/>
                <w:lang w:val="en-US" w:eastAsia="zh-CN" w:bidi="ar"/>
              </w:rPr>
              <w:t>西安市鄠邑区</w:t>
            </w:r>
          </w:p>
        </w:tc>
      </w:tr>
      <w:tr w14:paraId="40521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0" w:type="dxa"/>
          </w:tcPr>
          <w:p w14:paraId="27E23F91">
            <w:pPr>
              <w:pStyle w:val="71"/>
              <w:spacing w:before="12"/>
              <w:rPr>
                <w:sz w:val="21"/>
                <w:szCs w:val="21"/>
                <w:highlight w:val="none"/>
                <w:shd w:val="clear" w:color="auto" w:fill="FFFFFF"/>
                <w:lang w:val="en-US" w:bidi="ar"/>
              </w:rPr>
            </w:pPr>
          </w:p>
          <w:p w14:paraId="72669ACE">
            <w:pPr>
              <w:pStyle w:val="71"/>
              <w:ind w:left="179"/>
              <w:rPr>
                <w:sz w:val="21"/>
                <w:szCs w:val="21"/>
                <w:highlight w:val="none"/>
                <w:shd w:val="clear" w:color="auto" w:fill="FFFFFF"/>
                <w:lang w:val="en-US" w:bidi="ar"/>
              </w:rPr>
            </w:pPr>
            <w:r>
              <w:rPr>
                <w:rFonts w:hint="eastAsia"/>
                <w:sz w:val="21"/>
                <w:szCs w:val="21"/>
                <w:highlight w:val="none"/>
                <w:shd w:val="clear" w:color="auto" w:fill="FFFFFF"/>
                <w:lang w:val="en-US" w:bidi="ar"/>
              </w:rPr>
              <w:t>1.1.6</w:t>
            </w:r>
          </w:p>
        </w:tc>
        <w:tc>
          <w:tcPr>
            <w:tcW w:w="1589" w:type="dxa"/>
          </w:tcPr>
          <w:p w14:paraId="25467469">
            <w:pPr>
              <w:pStyle w:val="71"/>
              <w:spacing w:before="12"/>
              <w:rPr>
                <w:sz w:val="21"/>
                <w:szCs w:val="21"/>
                <w:highlight w:val="none"/>
                <w:shd w:val="clear" w:color="auto" w:fill="FFFFFF"/>
                <w:lang w:val="en-US" w:bidi="ar"/>
              </w:rPr>
            </w:pPr>
          </w:p>
          <w:p w14:paraId="511AFB41">
            <w:pPr>
              <w:pStyle w:val="71"/>
              <w:ind w:left="174"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最高投标限价</w:t>
            </w:r>
          </w:p>
        </w:tc>
        <w:tc>
          <w:tcPr>
            <w:tcW w:w="6911" w:type="dxa"/>
          </w:tcPr>
          <w:p w14:paraId="6804F58B">
            <w:pPr>
              <w:pStyle w:val="71"/>
              <w:spacing w:before="204"/>
              <w:ind w:left="106"/>
              <w:rPr>
                <w:rFonts w:hint="eastAsia"/>
                <w:sz w:val="21"/>
                <w:szCs w:val="21"/>
                <w:highlight w:val="none"/>
                <w:shd w:val="clear" w:color="auto" w:fill="FFFFFF"/>
                <w:lang w:val="en-US" w:eastAsia="zh-CN" w:bidi="ar"/>
              </w:rPr>
            </w:pPr>
            <w:r>
              <w:rPr>
                <w:rFonts w:hint="eastAsia"/>
                <w:sz w:val="21"/>
                <w:szCs w:val="21"/>
                <w:highlight w:val="none"/>
                <w:shd w:val="clear" w:color="auto" w:fill="FFFFFF"/>
                <w:lang w:val="en-US" w:eastAsia="zh-CN" w:bidi="ar"/>
              </w:rPr>
              <w:t>第1包：最高投标限价：3,097,517.08元；</w:t>
            </w:r>
          </w:p>
          <w:p w14:paraId="07BD5C45">
            <w:pPr>
              <w:pStyle w:val="71"/>
              <w:spacing w:before="204" w:line="360" w:lineRule="auto"/>
              <w:ind w:left="106"/>
              <w:rPr>
                <w:sz w:val="21"/>
                <w:szCs w:val="21"/>
                <w:highlight w:val="none"/>
                <w:shd w:val="clear" w:color="auto" w:fill="FFFFFF"/>
                <w:lang w:val="en-US" w:bidi="ar"/>
              </w:rPr>
            </w:pPr>
            <w:r>
              <w:rPr>
                <w:rFonts w:hint="eastAsia"/>
                <w:sz w:val="21"/>
                <w:szCs w:val="21"/>
                <w:highlight w:val="none"/>
                <w:shd w:val="clear" w:color="auto" w:fill="FFFFFF"/>
                <w:lang w:val="en-US" w:eastAsia="zh-CN" w:bidi="ar"/>
              </w:rPr>
              <w:t>第2包：最高投标限价：2,244,353.50元，投标人报价超出最高投标限价的，作为不实质性响应招标文件，按无效投标处理。</w:t>
            </w:r>
          </w:p>
        </w:tc>
      </w:tr>
      <w:tr w14:paraId="1EDF3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00" w:type="dxa"/>
          </w:tcPr>
          <w:p w14:paraId="736EDC4A">
            <w:pPr>
              <w:pStyle w:val="71"/>
              <w:spacing w:before="167"/>
              <w:ind w:left="179"/>
              <w:rPr>
                <w:sz w:val="21"/>
                <w:szCs w:val="21"/>
                <w:highlight w:val="none"/>
                <w:shd w:val="clear" w:color="auto" w:fill="FFFFFF"/>
                <w:lang w:val="en-US" w:bidi="ar"/>
              </w:rPr>
            </w:pPr>
            <w:r>
              <w:rPr>
                <w:rFonts w:hint="eastAsia"/>
                <w:sz w:val="21"/>
                <w:szCs w:val="21"/>
                <w:highlight w:val="none"/>
                <w:shd w:val="clear" w:color="auto" w:fill="FFFFFF"/>
                <w:lang w:val="en-US" w:bidi="ar"/>
              </w:rPr>
              <w:t>1.2.1</w:t>
            </w:r>
          </w:p>
        </w:tc>
        <w:tc>
          <w:tcPr>
            <w:tcW w:w="1589" w:type="dxa"/>
          </w:tcPr>
          <w:p w14:paraId="124214D0">
            <w:pPr>
              <w:pStyle w:val="71"/>
              <w:spacing w:before="167"/>
              <w:ind w:left="174"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资金来源</w:t>
            </w:r>
          </w:p>
        </w:tc>
        <w:tc>
          <w:tcPr>
            <w:tcW w:w="6911" w:type="dxa"/>
          </w:tcPr>
          <w:p w14:paraId="5D21703E">
            <w:pPr>
              <w:pStyle w:val="71"/>
              <w:spacing w:before="167"/>
              <w:ind w:left="106"/>
              <w:rPr>
                <w:sz w:val="21"/>
                <w:szCs w:val="21"/>
                <w:highlight w:val="none"/>
                <w:shd w:val="clear" w:color="auto" w:fill="FFFFFF"/>
                <w:lang w:val="en-US" w:bidi="ar"/>
              </w:rPr>
            </w:pPr>
            <w:r>
              <w:rPr>
                <w:rFonts w:hint="eastAsia"/>
                <w:sz w:val="21"/>
                <w:szCs w:val="21"/>
                <w:highlight w:val="none"/>
                <w:shd w:val="clear" w:color="auto" w:fill="FFFFFF"/>
                <w:lang w:val="en-US" w:bidi="ar"/>
              </w:rPr>
              <w:t>财政资金</w:t>
            </w:r>
          </w:p>
        </w:tc>
      </w:tr>
      <w:tr w14:paraId="52CDB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00" w:type="dxa"/>
          </w:tcPr>
          <w:p w14:paraId="62E8CF99">
            <w:pPr>
              <w:pStyle w:val="71"/>
              <w:spacing w:before="184"/>
              <w:ind w:left="179"/>
              <w:rPr>
                <w:sz w:val="21"/>
                <w:szCs w:val="21"/>
                <w:highlight w:val="none"/>
                <w:shd w:val="clear" w:color="auto" w:fill="FFFFFF"/>
                <w:lang w:val="en-US" w:bidi="ar"/>
              </w:rPr>
            </w:pPr>
            <w:r>
              <w:rPr>
                <w:rFonts w:hint="eastAsia"/>
                <w:sz w:val="21"/>
                <w:szCs w:val="21"/>
                <w:highlight w:val="none"/>
                <w:shd w:val="clear" w:color="auto" w:fill="FFFFFF"/>
                <w:lang w:val="en-US" w:bidi="ar"/>
              </w:rPr>
              <w:t>1.2.2</w:t>
            </w:r>
          </w:p>
        </w:tc>
        <w:tc>
          <w:tcPr>
            <w:tcW w:w="1589" w:type="dxa"/>
          </w:tcPr>
          <w:p w14:paraId="118B98D4">
            <w:pPr>
              <w:pStyle w:val="71"/>
              <w:spacing w:before="184"/>
              <w:ind w:left="174"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资金落实情况</w:t>
            </w:r>
          </w:p>
        </w:tc>
        <w:tc>
          <w:tcPr>
            <w:tcW w:w="6911" w:type="dxa"/>
          </w:tcPr>
          <w:p w14:paraId="30437F11">
            <w:pPr>
              <w:pStyle w:val="71"/>
              <w:spacing w:before="184"/>
              <w:ind w:left="106"/>
              <w:rPr>
                <w:sz w:val="21"/>
                <w:szCs w:val="21"/>
                <w:highlight w:val="none"/>
                <w:shd w:val="clear" w:color="auto" w:fill="FFFFFF"/>
                <w:lang w:val="en-US" w:bidi="ar"/>
              </w:rPr>
            </w:pPr>
            <w:r>
              <w:rPr>
                <w:rFonts w:hint="eastAsia"/>
                <w:sz w:val="21"/>
                <w:szCs w:val="21"/>
                <w:highlight w:val="none"/>
                <w:shd w:val="clear" w:color="auto" w:fill="FFFFFF"/>
                <w:lang w:val="en-US" w:bidi="ar"/>
              </w:rPr>
              <w:t>已落实</w:t>
            </w:r>
          </w:p>
        </w:tc>
      </w:tr>
      <w:tr w14:paraId="07CB9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000" w:type="dxa"/>
          </w:tcPr>
          <w:p w14:paraId="059E1CFE">
            <w:pPr>
              <w:pStyle w:val="71"/>
              <w:rPr>
                <w:sz w:val="21"/>
                <w:szCs w:val="21"/>
                <w:highlight w:val="none"/>
                <w:shd w:val="clear" w:color="auto" w:fill="FFFFFF"/>
                <w:lang w:val="en-US" w:bidi="ar"/>
              </w:rPr>
            </w:pPr>
          </w:p>
          <w:p w14:paraId="188095E0">
            <w:pPr>
              <w:pStyle w:val="71"/>
              <w:ind w:left="179"/>
              <w:rPr>
                <w:sz w:val="21"/>
                <w:szCs w:val="21"/>
                <w:highlight w:val="none"/>
                <w:shd w:val="clear" w:color="auto" w:fill="FFFFFF"/>
                <w:lang w:val="en-US" w:bidi="ar"/>
              </w:rPr>
            </w:pPr>
            <w:r>
              <w:rPr>
                <w:rFonts w:hint="eastAsia"/>
                <w:sz w:val="21"/>
                <w:szCs w:val="21"/>
                <w:highlight w:val="none"/>
                <w:shd w:val="clear" w:color="auto" w:fill="FFFFFF"/>
                <w:lang w:val="en-US" w:bidi="ar"/>
              </w:rPr>
              <w:t>1.3.1</w:t>
            </w:r>
          </w:p>
        </w:tc>
        <w:tc>
          <w:tcPr>
            <w:tcW w:w="1589" w:type="dxa"/>
          </w:tcPr>
          <w:p w14:paraId="58F266B8">
            <w:pPr>
              <w:pStyle w:val="71"/>
              <w:spacing w:before="11"/>
              <w:rPr>
                <w:sz w:val="21"/>
                <w:szCs w:val="21"/>
                <w:highlight w:val="none"/>
                <w:shd w:val="clear" w:color="auto" w:fill="FFFFFF"/>
                <w:lang w:val="en-US" w:bidi="ar"/>
              </w:rPr>
            </w:pPr>
          </w:p>
          <w:p w14:paraId="19B80D55">
            <w:pPr>
              <w:pStyle w:val="71"/>
              <w:ind w:left="174"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招标范围</w:t>
            </w:r>
          </w:p>
        </w:tc>
        <w:tc>
          <w:tcPr>
            <w:tcW w:w="6911" w:type="dxa"/>
          </w:tcPr>
          <w:p w14:paraId="6EBDD496">
            <w:pPr>
              <w:pStyle w:val="71"/>
              <w:numPr>
                <w:ilvl w:val="0"/>
                <w:numId w:val="0"/>
              </w:numPr>
              <w:tabs>
                <w:tab w:val="left" w:pos="710"/>
              </w:tabs>
              <w:spacing w:before="81" w:line="312" w:lineRule="auto"/>
              <w:ind w:right="95" w:rightChars="0"/>
              <w:jc w:val="both"/>
              <w:rPr>
                <w:rFonts w:hint="eastAsia"/>
                <w:sz w:val="21"/>
                <w:szCs w:val="21"/>
                <w:highlight w:val="none"/>
                <w:shd w:val="clear" w:color="auto" w:fill="FFFFFF"/>
                <w:lang w:val="en-US" w:eastAsia="zh-CN" w:bidi="ar"/>
              </w:rPr>
            </w:pPr>
            <w:r>
              <w:rPr>
                <w:rFonts w:hint="eastAsia"/>
                <w:sz w:val="21"/>
                <w:szCs w:val="21"/>
                <w:highlight w:val="none"/>
                <w:shd w:val="clear" w:color="auto" w:fill="FFFFFF"/>
                <w:lang w:val="en-US" w:eastAsia="zh-CN" w:bidi="ar"/>
              </w:rPr>
              <w:t>第1包：秦渡街道西南郊水厂二期一阶段项目清表及垃圾清运工程第1包，面积为299248.1㎡，垃圾清运量29924.8m3；</w:t>
            </w:r>
          </w:p>
          <w:p w14:paraId="35B35C7C">
            <w:pPr>
              <w:pStyle w:val="71"/>
              <w:numPr>
                <w:ilvl w:val="0"/>
                <w:numId w:val="0"/>
              </w:numPr>
              <w:tabs>
                <w:tab w:val="left" w:pos="710"/>
              </w:tabs>
              <w:spacing w:before="81" w:line="312" w:lineRule="auto"/>
              <w:ind w:right="95" w:rightChars="0"/>
              <w:jc w:val="both"/>
              <w:rPr>
                <w:rFonts w:hint="default"/>
                <w:sz w:val="21"/>
                <w:szCs w:val="21"/>
                <w:highlight w:val="none"/>
                <w:shd w:val="clear" w:color="auto" w:fill="FFFFFF"/>
                <w:lang w:val="en-US" w:eastAsia="zh-CN" w:bidi="ar"/>
              </w:rPr>
            </w:pPr>
            <w:r>
              <w:rPr>
                <w:rFonts w:hint="eastAsia"/>
                <w:sz w:val="21"/>
                <w:szCs w:val="21"/>
                <w:highlight w:val="none"/>
                <w:shd w:val="clear" w:color="auto" w:fill="FFFFFF"/>
                <w:lang w:val="en-US" w:eastAsia="zh-CN" w:bidi="ar"/>
              </w:rPr>
              <w:t>第2包：秦渡街道西南郊水厂二期一阶段项目清表及垃圾清运工程第2包，面积为216824.8㎡，垃圾清运量21682.5 m3。</w:t>
            </w:r>
          </w:p>
        </w:tc>
      </w:tr>
      <w:tr w14:paraId="78CAD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000" w:type="dxa"/>
          </w:tcPr>
          <w:p w14:paraId="17D2988D">
            <w:pPr>
              <w:pStyle w:val="71"/>
              <w:spacing w:before="174"/>
              <w:ind w:left="179"/>
              <w:rPr>
                <w:sz w:val="21"/>
                <w:szCs w:val="21"/>
                <w:highlight w:val="none"/>
                <w:shd w:val="clear" w:color="auto" w:fill="FFFFFF"/>
                <w:lang w:val="en-US" w:bidi="ar"/>
              </w:rPr>
            </w:pPr>
            <w:r>
              <w:rPr>
                <w:rFonts w:hint="eastAsia"/>
                <w:sz w:val="21"/>
                <w:szCs w:val="21"/>
                <w:highlight w:val="none"/>
                <w:shd w:val="clear" w:color="auto" w:fill="FFFFFF"/>
                <w:lang w:val="en-US" w:bidi="ar"/>
              </w:rPr>
              <w:t>1.3.2</w:t>
            </w:r>
          </w:p>
        </w:tc>
        <w:tc>
          <w:tcPr>
            <w:tcW w:w="1589" w:type="dxa"/>
          </w:tcPr>
          <w:p w14:paraId="34819382">
            <w:pPr>
              <w:pStyle w:val="71"/>
              <w:spacing w:before="174"/>
              <w:ind w:left="174"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计划工期</w:t>
            </w:r>
          </w:p>
        </w:tc>
        <w:tc>
          <w:tcPr>
            <w:tcW w:w="6911" w:type="dxa"/>
          </w:tcPr>
          <w:p w14:paraId="001091B1">
            <w:pPr>
              <w:pStyle w:val="71"/>
              <w:numPr>
                <w:ilvl w:val="0"/>
                <w:numId w:val="0"/>
              </w:numPr>
              <w:tabs>
                <w:tab w:val="left" w:pos="710"/>
              </w:tabs>
              <w:spacing w:before="81" w:line="312" w:lineRule="auto"/>
              <w:ind w:left="106" w:leftChars="0" w:right="95" w:rightChars="0"/>
              <w:jc w:val="both"/>
              <w:rPr>
                <w:rFonts w:hint="eastAsia"/>
                <w:sz w:val="21"/>
                <w:szCs w:val="21"/>
                <w:highlight w:val="none"/>
                <w:shd w:val="clear" w:color="auto" w:fill="FFFFFF"/>
                <w:lang w:val="en-US" w:bidi="ar"/>
              </w:rPr>
            </w:pPr>
            <w:r>
              <w:rPr>
                <w:rFonts w:hint="eastAsia"/>
                <w:sz w:val="21"/>
                <w:szCs w:val="21"/>
                <w:highlight w:val="none"/>
                <w:shd w:val="clear" w:color="auto" w:fill="FFFFFF"/>
                <w:lang w:val="en-US" w:eastAsia="zh-CN" w:bidi="ar"/>
              </w:rPr>
              <w:t>45</w:t>
            </w:r>
            <w:r>
              <w:rPr>
                <w:rFonts w:hint="eastAsia"/>
                <w:sz w:val="21"/>
                <w:szCs w:val="21"/>
                <w:highlight w:val="none"/>
                <w:shd w:val="clear" w:color="auto" w:fill="FFFFFF"/>
                <w:lang w:val="en-US" w:bidi="ar"/>
              </w:rPr>
              <w:t>日历天</w:t>
            </w:r>
          </w:p>
        </w:tc>
      </w:tr>
      <w:tr w14:paraId="0CC82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00" w:type="dxa"/>
          </w:tcPr>
          <w:p w14:paraId="6AA26F97">
            <w:pPr>
              <w:pStyle w:val="71"/>
              <w:spacing w:before="197"/>
              <w:ind w:left="179"/>
              <w:rPr>
                <w:sz w:val="21"/>
                <w:szCs w:val="21"/>
                <w:highlight w:val="none"/>
                <w:shd w:val="clear" w:color="auto" w:fill="FFFFFF"/>
                <w:lang w:val="en-US" w:bidi="ar"/>
              </w:rPr>
            </w:pPr>
            <w:r>
              <w:rPr>
                <w:rFonts w:hint="eastAsia"/>
                <w:sz w:val="21"/>
                <w:szCs w:val="21"/>
                <w:highlight w:val="none"/>
                <w:shd w:val="clear" w:color="auto" w:fill="FFFFFF"/>
                <w:lang w:val="en-US" w:bidi="ar"/>
              </w:rPr>
              <w:t>1.3.3</w:t>
            </w:r>
          </w:p>
        </w:tc>
        <w:tc>
          <w:tcPr>
            <w:tcW w:w="1589" w:type="dxa"/>
          </w:tcPr>
          <w:p w14:paraId="4B770CF8">
            <w:pPr>
              <w:pStyle w:val="71"/>
              <w:spacing w:before="197"/>
              <w:ind w:left="174"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工程质量</w:t>
            </w:r>
          </w:p>
        </w:tc>
        <w:tc>
          <w:tcPr>
            <w:tcW w:w="6911" w:type="dxa"/>
          </w:tcPr>
          <w:p w14:paraId="36C40B10">
            <w:pPr>
              <w:pStyle w:val="71"/>
              <w:numPr>
                <w:ilvl w:val="0"/>
                <w:numId w:val="0"/>
              </w:numPr>
              <w:tabs>
                <w:tab w:val="left" w:pos="710"/>
              </w:tabs>
              <w:spacing w:before="81" w:line="312" w:lineRule="auto"/>
              <w:ind w:left="106" w:leftChars="0" w:right="95" w:rightChars="0"/>
              <w:jc w:val="both"/>
              <w:rPr>
                <w:rFonts w:hint="eastAsia"/>
                <w:sz w:val="21"/>
                <w:szCs w:val="21"/>
                <w:highlight w:val="none"/>
                <w:shd w:val="clear" w:color="auto" w:fill="FFFFFF"/>
                <w:lang w:val="en-US" w:bidi="ar"/>
              </w:rPr>
            </w:pPr>
            <w:r>
              <w:rPr>
                <w:rFonts w:hint="eastAsia"/>
                <w:sz w:val="21"/>
                <w:szCs w:val="21"/>
                <w:highlight w:val="none"/>
                <w:shd w:val="clear" w:color="auto" w:fill="FFFFFF"/>
                <w:lang w:val="en-US" w:bidi="ar"/>
              </w:rPr>
              <w:t>合格</w:t>
            </w:r>
          </w:p>
        </w:tc>
      </w:tr>
      <w:tr w14:paraId="2EA94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1000" w:type="dxa"/>
          </w:tcPr>
          <w:p w14:paraId="622C90CF">
            <w:pPr>
              <w:pStyle w:val="71"/>
              <w:rPr>
                <w:sz w:val="21"/>
                <w:szCs w:val="21"/>
                <w:highlight w:val="none"/>
                <w:shd w:val="clear" w:color="auto" w:fill="FFFFFF"/>
                <w:lang w:val="en-US" w:bidi="ar"/>
              </w:rPr>
            </w:pPr>
          </w:p>
          <w:p w14:paraId="07E56653">
            <w:pPr>
              <w:pStyle w:val="71"/>
              <w:spacing w:before="5"/>
              <w:rPr>
                <w:sz w:val="21"/>
                <w:szCs w:val="21"/>
                <w:highlight w:val="none"/>
                <w:shd w:val="clear" w:color="auto" w:fill="FFFFFF"/>
                <w:lang w:val="en-US" w:bidi="ar"/>
              </w:rPr>
            </w:pPr>
          </w:p>
          <w:p w14:paraId="1AF95C3B">
            <w:pPr>
              <w:pStyle w:val="71"/>
              <w:spacing w:before="1"/>
              <w:ind w:left="179"/>
              <w:rPr>
                <w:sz w:val="21"/>
                <w:szCs w:val="21"/>
                <w:highlight w:val="none"/>
                <w:shd w:val="clear" w:color="auto" w:fill="FFFFFF"/>
                <w:lang w:val="en-US" w:bidi="ar"/>
              </w:rPr>
            </w:pPr>
            <w:r>
              <w:rPr>
                <w:rFonts w:hint="eastAsia"/>
                <w:sz w:val="21"/>
                <w:szCs w:val="21"/>
                <w:highlight w:val="none"/>
                <w:shd w:val="clear" w:color="auto" w:fill="FFFFFF"/>
                <w:lang w:val="en-US" w:bidi="ar"/>
              </w:rPr>
              <w:t>1.4.1</w:t>
            </w:r>
          </w:p>
        </w:tc>
        <w:tc>
          <w:tcPr>
            <w:tcW w:w="1589" w:type="dxa"/>
          </w:tcPr>
          <w:p w14:paraId="58DC67F0">
            <w:pPr>
              <w:pStyle w:val="71"/>
              <w:rPr>
                <w:sz w:val="21"/>
                <w:szCs w:val="21"/>
                <w:highlight w:val="none"/>
                <w:shd w:val="clear" w:color="auto" w:fill="FFFFFF"/>
                <w:lang w:val="en-US" w:bidi="ar"/>
              </w:rPr>
            </w:pPr>
          </w:p>
          <w:p w14:paraId="6F0F122E">
            <w:pPr>
              <w:pStyle w:val="71"/>
              <w:spacing w:before="160" w:line="360" w:lineRule="auto"/>
              <w:ind w:left="794" w:right="183" w:hanging="600"/>
              <w:jc w:val="both"/>
              <w:rPr>
                <w:sz w:val="21"/>
                <w:szCs w:val="21"/>
                <w:highlight w:val="none"/>
                <w:shd w:val="clear" w:color="auto" w:fill="FFFFFF"/>
                <w:lang w:val="en-US" w:bidi="ar"/>
              </w:rPr>
            </w:pPr>
            <w:r>
              <w:rPr>
                <w:rFonts w:hint="eastAsia"/>
                <w:sz w:val="21"/>
                <w:szCs w:val="21"/>
                <w:highlight w:val="none"/>
                <w:shd w:val="clear" w:color="auto" w:fill="FFFFFF"/>
                <w:lang w:val="en-US" w:bidi="ar"/>
              </w:rPr>
              <w:t>投标人资质条件</w:t>
            </w:r>
          </w:p>
        </w:tc>
        <w:tc>
          <w:tcPr>
            <w:tcW w:w="6911" w:type="dxa"/>
          </w:tcPr>
          <w:p w14:paraId="16266F2B">
            <w:pPr>
              <w:pStyle w:val="71"/>
              <w:numPr>
                <w:ilvl w:val="0"/>
                <w:numId w:val="5"/>
              </w:numPr>
              <w:tabs>
                <w:tab w:val="left" w:pos="710"/>
              </w:tabs>
              <w:spacing w:before="81" w:line="312" w:lineRule="auto"/>
              <w:ind w:right="95" w:firstLine="0"/>
              <w:jc w:val="both"/>
              <w:rPr>
                <w:sz w:val="21"/>
                <w:szCs w:val="21"/>
                <w:highlight w:val="none"/>
                <w:shd w:val="clear" w:color="auto" w:fill="FFFFFF"/>
                <w:lang w:val="en-US" w:bidi="ar"/>
              </w:rPr>
            </w:pPr>
            <w:r>
              <w:rPr>
                <w:rFonts w:hint="eastAsia"/>
                <w:sz w:val="21"/>
                <w:szCs w:val="21"/>
                <w:highlight w:val="none"/>
                <w:shd w:val="clear" w:color="auto" w:fill="FFFFFF"/>
                <w:lang w:val="en-US" w:bidi="ar"/>
              </w:rPr>
              <w:t>具有独立承担民事责任能力的法人、其他组织，并出具合法有效的营业执照或事业单位法人证书等国家规定的相关证明；</w:t>
            </w:r>
          </w:p>
          <w:p w14:paraId="2A8C4CF6">
            <w:pPr>
              <w:pStyle w:val="71"/>
              <w:spacing w:before="82" w:line="312" w:lineRule="auto"/>
              <w:ind w:right="95" w:firstLine="210" w:firstLineChars="100"/>
              <w:jc w:val="both"/>
              <w:rPr>
                <w:sz w:val="21"/>
                <w:szCs w:val="21"/>
                <w:highlight w:val="none"/>
                <w:shd w:val="clear" w:color="auto" w:fill="FFFFFF"/>
                <w:lang w:val="en-US" w:bidi="ar"/>
              </w:rPr>
            </w:pPr>
            <w:r>
              <w:rPr>
                <w:rFonts w:hint="eastAsia"/>
                <w:sz w:val="21"/>
                <w:szCs w:val="21"/>
                <w:highlight w:val="none"/>
                <w:shd w:val="clear" w:color="auto" w:fill="FFFFFF"/>
                <w:lang w:val="en-US" w:bidi="ar"/>
              </w:rPr>
              <w:t>财务状况报告：提供具有财务审计资质单位出具的202</w:t>
            </w:r>
            <w:r>
              <w:rPr>
                <w:rFonts w:hint="eastAsia"/>
                <w:sz w:val="21"/>
                <w:szCs w:val="21"/>
                <w:highlight w:val="none"/>
                <w:shd w:val="clear" w:color="auto" w:fill="FFFFFF"/>
                <w:lang w:val="en-US" w:eastAsia="zh-CN" w:bidi="ar"/>
              </w:rPr>
              <w:t>2或2023</w:t>
            </w:r>
            <w:r>
              <w:rPr>
                <w:rFonts w:hint="eastAsia"/>
                <w:sz w:val="21"/>
                <w:szCs w:val="21"/>
                <w:highlight w:val="none"/>
                <w:shd w:val="clear" w:color="auto" w:fill="FFFFFF"/>
                <w:lang w:val="en-US" w:bidi="ar"/>
              </w:rPr>
              <w:t>年度</w:t>
            </w:r>
            <w:r>
              <w:rPr>
                <w:rFonts w:hint="eastAsia"/>
                <w:spacing w:val="-4"/>
                <w:sz w:val="21"/>
                <w:szCs w:val="21"/>
                <w:highlight w:val="none"/>
              </w:rPr>
              <w:t>财务审计报告</w:t>
            </w:r>
            <w:r>
              <w:rPr>
                <w:rFonts w:hint="eastAsia"/>
                <w:spacing w:val="9"/>
                <w:sz w:val="21"/>
                <w:szCs w:val="21"/>
                <w:highlight w:val="none"/>
              </w:rPr>
              <w:t>（</w:t>
            </w:r>
            <w:r>
              <w:rPr>
                <w:rFonts w:hint="eastAsia"/>
                <w:spacing w:val="8"/>
                <w:sz w:val="21"/>
                <w:szCs w:val="21"/>
                <w:highlight w:val="none"/>
              </w:rPr>
              <w:t>成立时间至开标时间不足一年的可提供成立后任意时段的资产负债表</w:t>
            </w:r>
            <w:r>
              <w:rPr>
                <w:rFonts w:hint="eastAsia"/>
                <w:spacing w:val="-5"/>
                <w:sz w:val="21"/>
                <w:szCs w:val="21"/>
                <w:highlight w:val="none"/>
              </w:rPr>
              <w:t>）</w:t>
            </w:r>
            <w:r>
              <w:rPr>
                <w:rFonts w:hint="eastAsia"/>
                <w:spacing w:val="-1"/>
                <w:sz w:val="21"/>
                <w:szCs w:val="21"/>
                <w:highlight w:val="none"/>
              </w:rPr>
              <w:t>或开标前六个月内银行出具的资信证明</w:t>
            </w:r>
            <w:r>
              <w:rPr>
                <w:rFonts w:hint="eastAsia"/>
                <w:sz w:val="21"/>
                <w:szCs w:val="21"/>
                <w:highlight w:val="none"/>
              </w:rPr>
              <w:t>；</w:t>
            </w:r>
          </w:p>
          <w:p w14:paraId="7751368C">
            <w:pPr>
              <w:pStyle w:val="71"/>
              <w:numPr>
                <w:ilvl w:val="0"/>
                <w:numId w:val="6"/>
              </w:numPr>
              <w:tabs>
                <w:tab w:val="left" w:pos="710"/>
              </w:tabs>
              <w:spacing w:before="1" w:line="312" w:lineRule="auto"/>
              <w:ind w:right="95" w:firstLine="0"/>
              <w:rPr>
                <w:sz w:val="21"/>
                <w:szCs w:val="21"/>
                <w:highlight w:val="none"/>
                <w:shd w:val="clear" w:color="auto" w:fill="FFFFFF"/>
                <w:lang w:val="en-US" w:bidi="ar"/>
              </w:rPr>
            </w:pPr>
            <w:r>
              <w:rPr>
                <w:rFonts w:hint="eastAsia"/>
                <w:sz w:val="21"/>
                <w:szCs w:val="21"/>
                <w:highlight w:val="none"/>
                <w:shd w:val="clear" w:color="auto" w:fill="FFFFFF"/>
                <w:lang w:val="en-US" w:bidi="ar"/>
              </w:rPr>
              <w:t>税收缴纳证明：提供截止至开标时间前六个月内任意一个月的缴费证明；（依法免税的</w:t>
            </w:r>
            <w:r>
              <w:rPr>
                <w:rFonts w:hint="eastAsia"/>
                <w:sz w:val="21"/>
                <w:szCs w:val="21"/>
                <w:highlight w:val="none"/>
                <w:shd w:val="clear" w:color="auto" w:fill="FFFFFF"/>
                <w:lang w:val="en-US" w:eastAsia="zh-CN" w:bidi="ar"/>
              </w:rPr>
              <w:t>投标人</w:t>
            </w:r>
            <w:r>
              <w:rPr>
                <w:rFonts w:hint="eastAsia"/>
                <w:sz w:val="21"/>
                <w:szCs w:val="21"/>
                <w:highlight w:val="none"/>
                <w:shd w:val="clear" w:color="auto" w:fill="FFFFFF"/>
                <w:lang w:val="en-US" w:bidi="ar"/>
              </w:rPr>
              <w:t>应提供相关文件证明）；</w:t>
            </w:r>
          </w:p>
          <w:p w14:paraId="0FBC3A77">
            <w:pPr>
              <w:pStyle w:val="71"/>
              <w:numPr>
                <w:ilvl w:val="0"/>
                <w:numId w:val="6"/>
              </w:numPr>
              <w:tabs>
                <w:tab w:val="left" w:pos="710"/>
              </w:tabs>
              <w:spacing w:line="312" w:lineRule="auto"/>
              <w:ind w:right="95" w:firstLine="0"/>
              <w:jc w:val="both"/>
              <w:rPr>
                <w:sz w:val="21"/>
                <w:szCs w:val="21"/>
                <w:highlight w:val="none"/>
                <w:shd w:val="clear" w:color="auto" w:fill="FFFFFF"/>
                <w:lang w:val="en-US" w:bidi="ar"/>
              </w:rPr>
            </w:pPr>
            <w:r>
              <w:rPr>
                <w:rFonts w:hint="eastAsia"/>
                <w:sz w:val="21"/>
                <w:szCs w:val="21"/>
                <w:highlight w:val="none"/>
                <w:shd w:val="clear" w:color="auto" w:fill="FFFFFF"/>
                <w:lang w:val="en-US" w:bidi="ar"/>
              </w:rPr>
              <w:t>社会保障资金缴纳证明：提供截止至开标时间前六个月内任意一个月的社保缴费证明或社保机构开具的社会保险参保缴费情况证明；（依法不需要缴纳社会保障资金的</w:t>
            </w:r>
            <w:r>
              <w:rPr>
                <w:rFonts w:hint="eastAsia"/>
                <w:sz w:val="21"/>
                <w:szCs w:val="21"/>
                <w:highlight w:val="none"/>
                <w:shd w:val="clear" w:color="auto" w:fill="FFFFFF"/>
                <w:lang w:val="en-US" w:eastAsia="zh-CN" w:bidi="ar"/>
              </w:rPr>
              <w:t>投标人</w:t>
            </w:r>
            <w:r>
              <w:rPr>
                <w:rFonts w:hint="eastAsia"/>
                <w:sz w:val="21"/>
                <w:szCs w:val="21"/>
                <w:highlight w:val="none"/>
                <w:shd w:val="clear" w:color="auto" w:fill="FFFFFF"/>
                <w:lang w:val="en-US" w:bidi="ar"/>
              </w:rPr>
              <w:t>应提供相关证明）；</w:t>
            </w:r>
          </w:p>
          <w:p w14:paraId="662F7EC3">
            <w:pPr>
              <w:pStyle w:val="71"/>
              <w:numPr>
                <w:ilvl w:val="0"/>
                <w:numId w:val="6"/>
              </w:numPr>
              <w:tabs>
                <w:tab w:val="left" w:pos="710"/>
              </w:tabs>
              <w:spacing w:before="1" w:line="312" w:lineRule="auto"/>
              <w:ind w:right="95" w:firstLine="0"/>
              <w:rPr>
                <w:sz w:val="21"/>
                <w:szCs w:val="21"/>
                <w:highlight w:val="none"/>
                <w:shd w:val="clear" w:color="auto" w:fill="FFFFFF"/>
                <w:lang w:val="en-US" w:bidi="ar"/>
              </w:rPr>
            </w:pPr>
            <w:r>
              <w:rPr>
                <w:rFonts w:hint="eastAsia"/>
                <w:sz w:val="21"/>
                <w:szCs w:val="21"/>
                <w:highlight w:val="none"/>
                <w:shd w:val="clear" w:color="auto" w:fill="FFFFFF"/>
                <w:lang w:val="en-US" w:bidi="ar"/>
              </w:rPr>
              <w:t>提供具有履行本合同所必需的设备和专业技术能力的说明及承诺；</w:t>
            </w:r>
          </w:p>
          <w:p w14:paraId="740283AD">
            <w:pPr>
              <w:pStyle w:val="71"/>
              <w:numPr>
                <w:ilvl w:val="0"/>
                <w:numId w:val="6"/>
              </w:numPr>
              <w:tabs>
                <w:tab w:val="left" w:pos="710"/>
              </w:tabs>
              <w:spacing w:line="312" w:lineRule="auto"/>
              <w:ind w:right="95" w:firstLine="0"/>
              <w:rPr>
                <w:sz w:val="21"/>
                <w:szCs w:val="21"/>
                <w:highlight w:val="none"/>
                <w:shd w:val="clear" w:color="auto" w:fill="FFFFFF"/>
                <w:lang w:val="en-US" w:bidi="ar"/>
              </w:rPr>
            </w:pPr>
            <w:r>
              <w:rPr>
                <w:rFonts w:hint="eastAsia"/>
                <w:sz w:val="21"/>
                <w:szCs w:val="21"/>
                <w:highlight w:val="none"/>
                <w:shd w:val="clear" w:color="auto" w:fill="FFFFFF"/>
                <w:lang w:val="en-US" w:bidi="ar"/>
              </w:rPr>
              <w:t>提供参加政府采购活动前三年内在经营活动中没有重大违法记录的书面声明；</w:t>
            </w:r>
          </w:p>
          <w:p w14:paraId="62198C91">
            <w:pPr>
              <w:pStyle w:val="71"/>
              <w:numPr>
                <w:ilvl w:val="0"/>
                <w:numId w:val="6"/>
              </w:numPr>
              <w:tabs>
                <w:tab w:val="left" w:pos="710"/>
              </w:tabs>
              <w:spacing w:line="312" w:lineRule="auto"/>
              <w:ind w:right="95" w:firstLine="0"/>
              <w:rPr>
                <w:rFonts w:hint="eastAsia"/>
                <w:sz w:val="21"/>
                <w:szCs w:val="21"/>
                <w:highlight w:val="none"/>
                <w:shd w:val="clear" w:color="auto" w:fill="FFFFFF"/>
                <w:lang w:val="en-US" w:bidi="ar"/>
              </w:rPr>
            </w:pPr>
            <w:r>
              <w:rPr>
                <w:rFonts w:hint="eastAsia"/>
                <w:sz w:val="21"/>
                <w:szCs w:val="21"/>
                <w:highlight w:val="none"/>
                <w:shd w:val="clear" w:color="auto" w:fill="FFFFFF"/>
                <w:lang w:val="en-US" w:bidi="ar"/>
              </w:rPr>
              <w:t>投标人具有建筑</w:t>
            </w:r>
            <w:r>
              <w:rPr>
                <w:rFonts w:hint="eastAsia"/>
                <w:sz w:val="21"/>
                <w:szCs w:val="21"/>
                <w:highlight w:val="none"/>
                <w:shd w:val="clear" w:color="auto" w:fill="FFFFFF"/>
                <w:lang w:val="en-US" w:eastAsia="zh-CN" w:bidi="ar"/>
              </w:rPr>
              <w:t>工程</w:t>
            </w:r>
            <w:r>
              <w:rPr>
                <w:rFonts w:hint="eastAsia"/>
                <w:sz w:val="21"/>
                <w:szCs w:val="21"/>
                <w:highlight w:val="none"/>
                <w:shd w:val="clear" w:color="auto" w:fill="FFFFFF"/>
                <w:lang w:val="en-US" w:bidi="ar"/>
              </w:rPr>
              <w:t>施工总承包三级以上</w:t>
            </w:r>
            <w:r>
              <w:rPr>
                <w:rFonts w:hint="eastAsia"/>
                <w:sz w:val="21"/>
                <w:szCs w:val="21"/>
                <w:highlight w:val="none"/>
                <w:shd w:val="clear" w:color="auto" w:fill="FFFFFF"/>
                <w:lang w:val="en-US" w:eastAsia="zh-CN" w:bidi="ar"/>
              </w:rPr>
              <w:t>（含三级）</w:t>
            </w:r>
            <w:r>
              <w:rPr>
                <w:rFonts w:hint="eastAsia"/>
                <w:sz w:val="21"/>
                <w:szCs w:val="21"/>
                <w:highlight w:val="none"/>
                <w:shd w:val="clear" w:color="auto" w:fill="FFFFFF"/>
                <w:lang w:val="en-US" w:bidi="ar"/>
              </w:rPr>
              <w:t>资质；具备有效的安全生产许可证；</w:t>
            </w:r>
          </w:p>
          <w:p w14:paraId="0F44FE2F">
            <w:pPr>
              <w:pStyle w:val="71"/>
              <w:numPr>
                <w:ilvl w:val="0"/>
                <w:numId w:val="6"/>
              </w:numPr>
              <w:tabs>
                <w:tab w:val="left" w:pos="710"/>
              </w:tabs>
              <w:spacing w:line="312" w:lineRule="auto"/>
              <w:ind w:right="95" w:firstLine="0"/>
              <w:rPr>
                <w:rFonts w:hint="eastAsia"/>
                <w:sz w:val="21"/>
                <w:szCs w:val="21"/>
                <w:highlight w:val="none"/>
                <w:shd w:val="clear" w:color="auto" w:fill="FFFFFF"/>
                <w:lang w:val="en-US" w:eastAsia="zh-CN" w:bidi="ar"/>
              </w:rPr>
            </w:pPr>
            <w:r>
              <w:rPr>
                <w:rFonts w:hint="eastAsia"/>
                <w:sz w:val="21"/>
                <w:szCs w:val="21"/>
                <w:highlight w:val="none"/>
                <w:shd w:val="clear" w:color="auto" w:fill="FFFFFF"/>
                <w:lang w:val="en-US" w:eastAsia="zh-CN" w:bidi="ar"/>
              </w:rPr>
              <w:t>投标人拟派项目经理具有建筑工程专业二级以上（含二级）注册建造师资质，具备有效的安全生产考核合格证书（B 证），无在建工程（提供承诺书）；</w:t>
            </w:r>
          </w:p>
          <w:p w14:paraId="3E1D94B0">
            <w:pPr>
              <w:pStyle w:val="71"/>
              <w:numPr>
                <w:ilvl w:val="0"/>
                <w:numId w:val="6"/>
              </w:numPr>
              <w:tabs>
                <w:tab w:val="left" w:pos="710"/>
              </w:tabs>
              <w:spacing w:line="312" w:lineRule="auto"/>
              <w:ind w:right="95" w:firstLine="0"/>
              <w:rPr>
                <w:rFonts w:hint="eastAsia"/>
                <w:sz w:val="21"/>
                <w:szCs w:val="21"/>
                <w:highlight w:val="none"/>
                <w:shd w:val="clear" w:color="auto" w:fill="FFFFFF"/>
                <w:lang w:val="en-US" w:eastAsia="zh-CN" w:bidi="ar"/>
              </w:rPr>
            </w:pPr>
            <w:r>
              <w:rPr>
                <w:rFonts w:hint="eastAsia"/>
                <w:sz w:val="21"/>
                <w:szCs w:val="21"/>
                <w:highlight w:val="none"/>
                <w:shd w:val="clear" w:color="auto" w:fill="FFFFFF"/>
                <w:lang w:val="en-US" w:eastAsia="zh-CN" w:bidi="ar"/>
              </w:rPr>
              <w:t>投标人和项目负责人在陕西省建筑市场监管与诚信信息一体化平台登记；</w:t>
            </w:r>
          </w:p>
          <w:p w14:paraId="681578F4">
            <w:pPr>
              <w:pStyle w:val="71"/>
              <w:numPr>
                <w:ilvl w:val="0"/>
                <w:numId w:val="0"/>
              </w:numPr>
              <w:tabs>
                <w:tab w:val="left" w:pos="710"/>
              </w:tabs>
              <w:spacing w:line="312" w:lineRule="auto"/>
              <w:ind w:left="106" w:leftChars="0" w:right="95" w:rightChars="0"/>
              <w:rPr>
                <w:rFonts w:hint="eastAsia"/>
                <w:sz w:val="21"/>
                <w:szCs w:val="21"/>
                <w:highlight w:val="none"/>
                <w:shd w:val="clear" w:color="auto" w:fill="FFFFFF"/>
                <w:lang w:val="en-US" w:eastAsia="zh-CN" w:bidi="ar"/>
              </w:rPr>
            </w:pPr>
            <w:r>
              <w:rPr>
                <w:rFonts w:hint="eastAsia"/>
                <w:sz w:val="21"/>
                <w:szCs w:val="21"/>
                <w:highlight w:val="none"/>
                <w:shd w:val="clear" w:color="auto" w:fill="FFFFFF"/>
                <w:lang w:val="en-US" w:eastAsia="zh-CN" w:bidi="ar"/>
              </w:rPr>
              <w:t>（10）法定代表人授权书（附法定代表人、被授权人身份证复印件）及被授权人身份证（法定代表人直接参加投标，须提供法定代表人身份证明及身份证）；</w:t>
            </w:r>
          </w:p>
          <w:p w14:paraId="1E6E3BE9">
            <w:pPr>
              <w:pStyle w:val="71"/>
              <w:numPr>
                <w:ilvl w:val="0"/>
                <w:numId w:val="0"/>
              </w:numPr>
              <w:tabs>
                <w:tab w:val="left" w:pos="710"/>
              </w:tabs>
              <w:spacing w:line="312" w:lineRule="auto"/>
              <w:ind w:left="106" w:leftChars="0" w:right="95" w:rightChars="0"/>
              <w:rPr>
                <w:rFonts w:hint="eastAsia"/>
                <w:sz w:val="21"/>
                <w:szCs w:val="21"/>
                <w:highlight w:val="none"/>
                <w:shd w:val="clear" w:color="auto" w:fill="FFFFFF"/>
                <w:lang w:val="en-US" w:eastAsia="zh-CN" w:bidi="ar"/>
              </w:rPr>
            </w:pPr>
            <w:r>
              <w:rPr>
                <w:rFonts w:hint="eastAsia"/>
                <w:sz w:val="21"/>
                <w:szCs w:val="21"/>
                <w:highlight w:val="none"/>
                <w:shd w:val="clear" w:color="auto" w:fill="FFFFFF"/>
                <w:lang w:val="en-US" w:eastAsia="zh-CN" w:bidi="ar"/>
              </w:rPr>
              <w:t>（11）投标人不得被“信用中国”（www.creditchina.gov.cn）列入重大税收违法失信主体；不得被“中国执行信息公开网”（www.zxgk.court.gov.cn）列入失信被执行人名单；不得被“中国政府采购网”（www.ccgp.gov.cn）列入政府采购严重违法失信行为记录名单；</w:t>
            </w:r>
          </w:p>
          <w:p w14:paraId="2E00E7C0">
            <w:pPr>
              <w:pStyle w:val="71"/>
              <w:numPr>
                <w:ilvl w:val="0"/>
                <w:numId w:val="0"/>
              </w:numPr>
              <w:tabs>
                <w:tab w:val="left" w:pos="828"/>
              </w:tabs>
              <w:spacing w:before="50" w:line="357" w:lineRule="auto"/>
              <w:ind w:left="106" w:leftChars="0" w:right="95" w:rightChars="0"/>
              <w:jc w:val="both"/>
              <w:rPr>
                <w:sz w:val="21"/>
                <w:szCs w:val="21"/>
                <w:highlight w:val="none"/>
                <w:shd w:val="clear" w:color="auto" w:fill="FFFFFF"/>
                <w:lang w:val="en-US" w:bidi="ar"/>
              </w:rPr>
            </w:pPr>
            <w:r>
              <w:rPr>
                <w:rFonts w:hint="eastAsia"/>
                <w:sz w:val="21"/>
                <w:szCs w:val="21"/>
                <w:highlight w:val="none"/>
                <w:shd w:val="clear" w:color="auto" w:fill="FFFFFF"/>
                <w:lang w:val="en-US" w:eastAsia="zh-CN" w:bidi="ar"/>
              </w:rPr>
              <w:t>（12）</w:t>
            </w:r>
            <w:r>
              <w:rPr>
                <w:rFonts w:hint="eastAsia"/>
                <w:sz w:val="21"/>
                <w:szCs w:val="21"/>
                <w:highlight w:val="none"/>
                <w:shd w:val="clear" w:color="auto" w:fill="FFFFFF"/>
                <w:lang w:val="en-US" w:bidi="ar"/>
              </w:rPr>
              <w:t>本项目不接受联合体投标，单位负责人为同一人或者存在直接控股、管理关系的不同</w:t>
            </w:r>
            <w:r>
              <w:rPr>
                <w:rFonts w:hint="eastAsia"/>
                <w:sz w:val="21"/>
                <w:szCs w:val="21"/>
                <w:highlight w:val="none"/>
                <w:shd w:val="clear" w:color="auto" w:fill="FFFFFF"/>
                <w:lang w:val="en-US" w:eastAsia="zh-CN" w:bidi="ar"/>
              </w:rPr>
              <w:t>投标人</w:t>
            </w:r>
            <w:r>
              <w:rPr>
                <w:rFonts w:hint="eastAsia"/>
                <w:sz w:val="21"/>
                <w:szCs w:val="21"/>
                <w:highlight w:val="none"/>
                <w:shd w:val="clear" w:color="auto" w:fill="FFFFFF"/>
                <w:lang w:val="en-US" w:bidi="ar"/>
              </w:rPr>
              <w:t>，不得参加本项目同一合同下的政府采购活动。</w:t>
            </w:r>
          </w:p>
          <w:p w14:paraId="1BCBBF5F">
            <w:pPr>
              <w:pStyle w:val="71"/>
              <w:numPr>
                <w:numId w:val="0"/>
              </w:numPr>
              <w:tabs>
                <w:tab w:val="left" w:pos="708"/>
              </w:tabs>
              <w:spacing w:line="297" w:lineRule="exact"/>
              <w:ind w:left="105" w:leftChars="0"/>
              <w:jc w:val="both"/>
              <w:rPr>
                <w:sz w:val="21"/>
                <w:szCs w:val="21"/>
                <w:highlight w:val="none"/>
                <w:shd w:val="clear" w:color="auto" w:fill="FFFFFF"/>
                <w:lang w:val="en-US" w:bidi="ar"/>
              </w:rPr>
            </w:pPr>
            <w:bookmarkStart w:id="283" w:name="_GoBack"/>
            <w:bookmarkEnd w:id="283"/>
            <w:r>
              <w:rPr>
                <w:rFonts w:hint="eastAsia"/>
                <w:sz w:val="21"/>
                <w:szCs w:val="21"/>
                <w:highlight w:val="none"/>
                <w:shd w:val="clear" w:color="auto" w:fill="FFFFFF"/>
                <w:lang w:val="en-US" w:eastAsia="zh-CN" w:bidi="ar"/>
              </w:rPr>
              <w:t>（13）</w:t>
            </w:r>
            <w:r>
              <w:rPr>
                <w:rFonts w:hint="eastAsia"/>
                <w:sz w:val="21"/>
                <w:szCs w:val="21"/>
                <w:highlight w:val="none"/>
                <w:shd w:val="clear" w:color="auto" w:fill="FFFFFF"/>
                <w:lang w:val="en-US" w:bidi="ar"/>
              </w:rPr>
              <w:t>本项目专门面向</w:t>
            </w:r>
            <w:r>
              <w:rPr>
                <w:rFonts w:hint="eastAsia"/>
                <w:sz w:val="21"/>
                <w:szCs w:val="21"/>
                <w:highlight w:val="none"/>
                <w:shd w:val="clear" w:color="auto" w:fill="FFFFFF"/>
                <w:lang w:val="en-US" w:eastAsia="zh-CN" w:bidi="ar"/>
              </w:rPr>
              <w:t>中小</w:t>
            </w:r>
            <w:r>
              <w:rPr>
                <w:rFonts w:hint="eastAsia"/>
                <w:sz w:val="21"/>
                <w:szCs w:val="21"/>
                <w:highlight w:val="none"/>
                <w:shd w:val="clear" w:color="auto" w:fill="FFFFFF"/>
                <w:lang w:val="en-US" w:bidi="ar"/>
              </w:rPr>
              <w:t>企业采购，需提供声明函</w:t>
            </w:r>
            <w:r>
              <w:rPr>
                <w:rFonts w:hint="eastAsia"/>
                <w:sz w:val="21"/>
                <w:szCs w:val="21"/>
                <w:highlight w:val="none"/>
                <w:shd w:val="clear" w:color="auto" w:fill="FFFFFF"/>
                <w:lang w:val="en-US" w:eastAsia="zh-CN" w:bidi="ar"/>
              </w:rPr>
              <w:t>。</w:t>
            </w:r>
          </w:p>
        </w:tc>
      </w:tr>
      <w:tr w14:paraId="5269A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000" w:type="dxa"/>
          </w:tcPr>
          <w:p w14:paraId="0341C07F">
            <w:pPr>
              <w:pStyle w:val="71"/>
              <w:rPr>
                <w:sz w:val="21"/>
                <w:szCs w:val="21"/>
                <w:highlight w:val="none"/>
                <w:shd w:val="clear" w:color="auto" w:fill="FFFFFF"/>
                <w:lang w:val="en-US" w:bidi="ar"/>
              </w:rPr>
            </w:pPr>
          </w:p>
          <w:p w14:paraId="013D4F8F">
            <w:pPr>
              <w:pStyle w:val="71"/>
              <w:ind w:left="179"/>
              <w:rPr>
                <w:sz w:val="21"/>
                <w:szCs w:val="21"/>
                <w:highlight w:val="none"/>
                <w:shd w:val="clear" w:color="auto" w:fill="FFFFFF"/>
                <w:lang w:val="en-US" w:bidi="ar"/>
              </w:rPr>
            </w:pPr>
            <w:r>
              <w:rPr>
                <w:rFonts w:hint="eastAsia"/>
                <w:sz w:val="21"/>
                <w:szCs w:val="21"/>
                <w:highlight w:val="none"/>
                <w:shd w:val="clear" w:color="auto" w:fill="FFFFFF"/>
                <w:lang w:val="en-US" w:bidi="ar"/>
              </w:rPr>
              <w:t>1.9.1</w:t>
            </w:r>
          </w:p>
        </w:tc>
        <w:tc>
          <w:tcPr>
            <w:tcW w:w="1589" w:type="dxa"/>
          </w:tcPr>
          <w:p w14:paraId="7D04038F">
            <w:pPr>
              <w:pStyle w:val="71"/>
              <w:rPr>
                <w:sz w:val="21"/>
                <w:szCs w:val="21"/>
                <w:highlight w:val="none"/>
                <w:shd w:val="clear" w:color="auto" w:fill="FFFFFF"/>
                <w:lang w:val="en-US" w:bidi="ar"/>
              </w:rPr>
            </w:pPr>
          </w:p>
          <w:p w14:paraId="26B141E3">
            <w:pPr>
              <w:pStyle w:val="71"/>
              <w:ind w:left="434"/>
              <w:rPr>
                <w:sz w:val="21"/>
                <w:szCs w:val="21"/>
                <w:highlight w:val="none"/>
                <w:shd w:val="clear" w:color="auto" w:fill="FFFFFF"/>
                <w:lang w:val="en-US" w:bidi="ar"/>
              </w:rPr>
            </w:pPr>
            <w:r>
              <w:rPr>
                <w:rFonts w:hint="eastAsia"/>
                <w:sz w:val="21"/>
                <w:szCs w:val="21"/>
                <w:highlight w:val="none"/>
                <w:shd w:val="clear" w:color="auto" w:fill="FFFFFF"/>
                <w:lang w:val="en-US" w:bidi="ar"/>
              </w:rPr>
              <w:t>踏勘现场</w:t>
            </w:r>
          </w:p>
        </w:tc>
        <w:tc>
          <w:tcPr>
            <w:tcW w:w="6911" w:type="dxa"/>
          </w:tcPr>
          <w:p w14:paraId="32AFFA49">
            <w:pPr>
              <w:pStyle w:val="71"/>
              <w:spacing w:before="129"/>
              <w:ind w:left="106"/>
              <w:rPr>
                <w:sz w:val="21"/>
                <w:szCs w:val="21"/>
                <w:highlight w:val="none"/>
                <w:shd w:val="clear" w:color="auto" w:fill="FFFFFF"/>
                <w:lang w:val="en-US" w:bidi="ar"/>
              </w:rPr>
            </w:pPr>
            <w:r>
              <w:rPr>
                <w:rFonts w:hint="eastAsia"/>
                <w:szCs w:val="21"/>
                <w:highlight w:val="none"/>
                <w:lang w:val="en-US"/>
              </w:rPr>
              <w:t>不组织</w:t>
            </w:r>
          </w:p>
        </w:tc>
      </w:tr>
    </w:tbl>
    <w:p w14:paraId="054A581A">
      <w:pPr>
        <w:rPr>
          <w:sz w:val="21"/>
          <w:szCs w:val="21"/>
          <w:highlight w:val="none"/>
          <w:shd w:val="clear" w:color="auto" w:fill="FFFFFF"/>
          <w:lang w:val="en-US" w:bidi="ar"/>
        </w:rPr>
        <w:sectPr>
          <w:pgSz w:w="11910" w:h="16840"/>
          <w:pgMar w:top="1340" w:right="180" w:bottom="1100" w:left="800" w:header="0" w:footer="909" w:gutter="0"/>
          <w:cols w:space="720" w:num="1"/>
        </w:sectPr>
      </w:pPr>
    </w:p>
    <w:tbl>
      <w:tblPr>
        <w:tblStyle w:val="41"/>
        <w:tblW w:w="0" w:type="auto"/>
        <w:tblInd w:w="3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830"/>
        <w:gridCol w:w="7076"/>
      </w:tblGrid>
      <w:tr w14:paraId="6810F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2" w:hRule="atLeast"/>
        </w:trPr>
        <w:tc>
          <w:tcPr>
            <w:tcW w:w="960" w:type="dxa"/>
          </w:tcPr>
          <w:p w14:paraId="476BD43F">
            <w:pPr>
              <w:pStyle w:val="71"/>
              <w:rPr>
                <w:sz w:val="21"/>
                <w:szCs w:val="21"/>
                <w:highlight w:val="none"/>
                <w:shd w:val="clear" w:color="auto" w:fill="FFFFFF"/>
                <w:lang w:val="en-US" w:bidi="ar"/>
              </w:rPr>
            </w:pPr>
          </w:p>
          <w:p w14:paraId="7C632C53">
            <w:pPr>
              <w:pStyle w:val="71"/>
              <w:rPr>
                <w:sz w:val="21"/>
                <w:szCs w:val="21"/>
                <w:highlight w:val="none"/>
                <w:shd w:val="clear" w:color="auto" w:fill="FFFFFF"/>
                <w:lang w:val="en-US" w:bidi="ar"/>
              </w:rPr>
            </w:pPr>
          </w:p>
          <w:p w14:paraId="647314C9">
            <w:pPr>
              <w:pStyle w:val="71"/>
              <w:rPr>
                <w:sz w:val="21"/>
                <w:szCs w:val="21"/>
                <w:highlight w:val="none"/>
                <w:shd w:val="clear" w:color="auto" w:fill="FFFFFF"/>
                <w:lang w:val="en-US" w:bidi="ar"/>
              </w:rPr>
            </w:pPr>
          </w:p>
          <w:p w14:paraId="013B0B4B">
            <w:pPr>
              <w:pStyle w:val="71"/>
              <w:spacing w:before="11"/>
              <w:rPr>
                <w:sz w:val="21"/>
                <w:szCs w:val="21"/>
                <w:highlight w:val="none"/>
                <w:shd w:val="clear" w:color="auto" w:fill="FFFFFF"/>
                <w:lang w:val="en-US" w:bidi="ar"/>
              </w:rPr>
            </w:pPr>
          </w:p>
          <w:p w14:paraId="18E0243A">
            <w:pPr>
              <w:pStyle w:val="71"/>
              <w:ind w:right="228"/>
              <w:jc w:val="right"/>
              <w:rPr>
                <w:sz w:val="21"/>
                <w:szCs w:val="21"/>
                <w:highlight w:val="none"/>
                <w:shd w:val="clear" w:color="auto" w:fill="FFFFFF"/>
                <w:lang w:val="en-US" w:bidi="ar"/>
              </w:rPr>
            </w:pPr>
            <w:r>
              <w:rPr>
                <w:rFonts w:hint="eastAsia"/>
                <w:sz w:val="21"/>
                <w:szCs w:val="21"/>
                <w:highlight w:val="none"/>
                <w:shd w:val="clear" w:color="auto" w:fill="FFFFFF"/>
                <w:lang w:val="en-US" w:bidi="ar"/>
              </w:rPr>
              <w:t>1.10</w:t>
            </w:r>
          </w:p>
        </w:tc>
        <w:tc>
          <w:tcPr>
            <w:tcW w:w="1830" w:type="dxa"/>
          </w:tcPr>
          <w:p w14:paraId="36871C28">
            <w:pPr>
              <w:pStyle w:val="71"/>
              <w:rPr>
                <w:sz w:val="21"/>
                <w:szCs w:val="21"/>
                <w:highlight w:val="none"/>
                <w:shd w:val="clear" w:color="auto" w:fill="FFFFFF"/>
                <w:lang w:val="en-US" w:bidi="ar"/>
              </w:rPr>
            </w:pPr>
          </w:p>
          <w:p w14:paraId="79F24D7F">
            <w:pPr>
              <w:pStyle w:val="71"/>
              <w:rPr>
                <w:sz w:val="21"/>
                <w:szCs w:val="21"/>
                <w:highlight w:val="none"/>
                <w:shd w:val="clear" w:color="auto" w:fill="FFFFFF"/>
                <w:lang w:val="en-US" w:bidi="ar"/>
              </w:rPr>
            </w:pPr>
          </w:p>
          <w:p w14:paraId="002A2C51">
            <w:pPr>
              <w:pStyle w:val="71"/>
              <w:rPr>
                <w:sz w:val="21"/>
                <w:szCs w:val="21"/>
                <w:highlight w:val="none"/>
                <w:shd w:val="clear" w:color="auto" w:fill="FFFFFF"/>
                <w:lang w:val="en-US" w:bidi="ar"/>
              </w:rPr>
            </w:pPr>
          </w:p>
          <w:p w14:paraId="73AC2007">
            <w:pPr>
              <w:pStyle w:val="71"/>
              <w:spacing w:before="11"/>
              <w:rPr>
                <w:sz w:val="21"/>
                <w:szCs w:val="21"/>
                <w:highlight w:val="none"/>
                <w:shd w:val="clear" w:color="auto" w:fill="FFFFFF"/>
                <w:lang w:val="en-US" w:bidi="ar"/>
              </w:rPr>
            </w:pPr>
          </w:p>
          <w:p w14:paraId="1D7232DC">
            <w:pPr>
              <w:pStyle w:val="71"/>
              <w:ind w:left="174"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答疑</w:t>
            </w:r>
          </w:p>
        </w:tc>
        <w:tc>
          <w:tcPr>
            <w:tcW w:w="7076" w:type="dxa"/>
          </w:tcPr>
          <w:p w14:paraId="313632A8">
            <w:pPr>
              <w:pStyle w:val="71"/>
              <w:spacing w:before="130" w:line="357" w:lineRule="auto"/>
              <w:ind w:left="106" w:right="-15"/>
              <w:jc w:val="both"/>
              <w:rPr>
                <w:sz w:val="21"/>
                <w:szCs w:val="21"/>
                <w:highlight w:val="none"/>
                <w:shd w:val="clear" w:color="auto" w:fill="FFFFFF"/>
                <w:lang w:val="en-US" w:bidi="ar"/>
              </w:rPr>
            </w:pPr>
            <w:r>
              <w:rPr>
                <w:rFonts w:hint="eastAsia"/>
                <w:sz w:val="21"/>
                <w:szCs w:val="21"/>
                <w:highlight w:val="none"/>
                <w:shd w:val="clear" w:color="auto" w:fill="FFFFFF"/>
                <w:lang w:val="en-US" w:bidi="ar"/>
              </w:rPr>
              <w:t>已领取本招标文件的投标人对本招标文件有疑问需要</w:t>
            </w:r>
            <w:r>
              <w:rPr>
                <w:rFonts w:hint="eastAsia"/>
                <w:sz w:val="21"/>
                <w:szCs w:val="21"/>
                <w:highlight w:val="none"/>
                <w:shd w:val="clear" w:color="auto" w:fill="FFFFFF"/>
                <w:lang w:val="en-US" w:eastAsia="zh-CN" w:bidi="ar"/>
              </w:rPr>
              <w:t>招标人</w:t>
            </w:r>
            <w:r>
              <w:rPr>
                <w:rFonts w:hint="eastAsia"/>
                <w:sz w:val="21"/>
                <w:szCs w:val="21"/>
                <w:highlight w:val="none"/>
                <w:shd w:val="clear" w:color="auto" w:fill="FFFFFF"/>
                <w:lang w:val="en-US" w:bidi="ar"/>
              </w:rPr>
              <w:t>或</w:t>
            </w:r>
            <w:r>
              <w:rPr>
                <w:rFonts w:hint="eastAsia"/>
                <w:sz w:val="21"/>
                <w:szCs w:val="21"/>
                <w:highlight w:val="none"/>
                <w:shd w:val="clear" w:color="auto" w:fill="FFFFFF"/>
                <w:lang w:val="en-US" w:eastAsia="zh-CN" w:bidi="ar"/>
              </w:rPr>
              <w:t>招标代理机构</w:t>
            </w:r>
            <w:r>
              <w:rPr>
                <w:rFonts w:hint="eastAsia"/>
                <w:sz w:val="21"/>
                <w:szCs w:val="21"/>
                <w:highlight w:val="none"/>
                <w:shd w:val="clear" w:color="auto" w:fill="FFFFFF"/>
                <w:lang w:val="en-US" w:bidi="ar"/>
              </w:rPr>
              <w:t xml:space="preserve">回复的各投标人应在投标截止时间前 </w:t>
            </w:r>
            <w:r>
              <w:rPr>
                <w:rFonts w:hint="eastAsia"/>
                <w:sz w:val="21"/>
                <w:szCs w:val="21"/>
                <w:highlight w:val="none"/>
                <w:shd w:val="clear" w:color="auto" w:fill="FFFFFF"/>
                <w:lang w:val="en-US" w:eastAsia="zh-CN" w:bidi="ar"/>
              </w:rPr>
              <w:t>10</w:t>
            </w:r>
            <w:r>
              <w:rPr>
                <w:rFonts w:hint="eastAsia"/>
                <w:sz w:val="21"/>
                <w:szCs w:val="21"/>
                <w:highlight w:val="none"/>
                <w:shd w:val="clear" w:color="auto" w:fill="FFFFFF"/>
                <w:lang w:val="en-US" w:bidi="ar"/>
              </w:rPr>
              <w:t xml:space="preserve"> 天前，向</w:t>
            </w:r>
            <w:r>
              <w:rPr>
                <w:rFonts w:hint="eastAsia"/>
                <w:sz w:val="21"/>
                <w:szCs w:val="21"/>
                <w:highlight w:val="none"/>
                <w:shd w:val="clear" w:color="auto" w:fill="FFFFFF"/>
                <w:lang w:val="en-US" w:eastAsia="zh-CN" w:bidi="ar"/>
              </w:rPr>
              <w:t>招标代理机构</w:t>
            </w:r>
            <w:r>
              <w:rPr>
                <w:rFonts w:hint="eastAsia"/>
                <w:sz w:val="21"/>
                <w:szCs w:val="21"/>
                <w:highlight w:val="none"/>
                <w:shd w:val="clear" w:color="auto" w:fill="FFFFFF"/>
                <w:lang w:val="en-US" w:bidi="ar"/>
              </w:rPr>
              <w:t>指定邮箱提交全部的 word 版电子文件以及加盖公章的扫描件，发送至</w:t>
            </w:r>
            <w:r>
              <w:rPr>
                <w:rFonts w:hint="eastAsia"/>
                <w:sz w:val="21"/>
                <w:szCs w:val="21"/>
                <w:highlight w:val="none"/>
                <w:shd w:val="clear" w:color="auto" w:fill="FFFFFF"/>
                <w:lang w:val="en-US" w:eastAsia="zh-CN" w:bidi="ar"/>
              </w:rPr>
              <w:t>招标代理机构</w:t>
            </w:r>
            <w:r>
              <w:rPr>
                <w:rFonts w:hint="eastAsia"/>
                <w:sz w:val="21"/>
                <w:szCs w:val="21"/>
                <w:highlight w:val="none"/>
                <w:shd w:val="clear" w:color="auto" w:fill="FFFFFF"/>
                <w:lang w:val="en-US" w:bidi="ar"/>
              </w:rPr>
              <w:t>邮箱的书面答疑问题如缺少材料或逾期提交的，</w:t>
            </w:r>
            <w:r>
              <w:rPr>
                <w:rFonts w:hint="eastAsia"/>
                <w:sz w:val="21"/>
                <w:szCs w:val="21"/>
                <w:highlight w:val="none"/>
                <w:shd w:val="clear" w:color="auto" w:fill="FFFFFF"/>
                <w:lang w:val="en-US" w:eastAsia="zh-CN" w:bidi="ar"/>
              </w:rPr>
              <w:t>招标代理机构</w:t>
            </w:r>
            <w:r>
              <w:rPr>
                <w:rFonts w:hint="eastAsia"/>
                <w:sz w:val="21"/>
                <w:szCs w:val="21"/>
                <w:highlight w:val="none"/>
                <w:shd w:val="clear" w:color="auto" w:fill="FFFFFF"/>
                <w:lang w:val="en-US" w:bidi="ar"/>
              </w:rPr>
              <w:t>将不予接收且不予进行回复。</w:t>
            </w:r>
          </w:p>
        </w:tc>
      </w:tr>
      <w:tr w14:paraId="5C35A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60" w:type="dxa"/>
          </w:tcPr>
          <w:p w14:paraId="6601F93D">
            <w:pPr>
              <w:pStyle w:val="71"/>
              <w:spacing w:before="209"/>
              <w:ind w:right="228"/>
              <w:jc w:val="right"/>
              <w:rPr>
                <w:sz w:val="21"/>
                <w:szCs w:val="21"/>
                <w:highlight w:val="none"/>
                <w:shd w:val="clear" w:color="auto" w:fill="FFFFFF"/>
                <w:lang w:val="en-US" w:bidi="ar"/>
              </w:rPr>
            </w:pPr>
            <w:r>
              <w:rPr>
                <w:rFonts w:hint="eastAsia"/>
                <w:sz w:val="21"/>
                <w:szCs w:val="21"/>
                <w:highlight w:val="none"/>
                <w:shd w:val="clear" w:color="auto" w:fill="FFFFFF"/>
                <w:lang w:val="en-US" w:bidi="ar"/>
              </w:rPr>
              <w:t>1.11</w:t>
            </w:r>
          </w:p>
        </w:tc>
        <w:tc>
          <w:tcPr>
            <w:tcW w:w="1830" w:type="dxa"/>
          </w:tcPr>
          <w:p w14:paraId="58A9E962">
            <w:pPr>
              <w:pStyle w:val="71"/>
              <w:spacing w:before="209"/>
              <w:ind w:left="174"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分包</w:t>
            </w:r>
          </w:p>
        </w:tc>
        <w:tc>
          <w:tcPr>
            <w:tcW w:w="7076" w:type="dxa"/>
          </w:tcPr>
          <w:p w14:paraId="614EA443">
            <w:pPr>
              <w:pStyle w:val="71"/>
              <w:spacing w:before="209"/>
              <w:ind w:left="106"/>
              <w:rPr>
                <w:sz w:val="21"/>
                <w:szCs w:val="21"/>
                <w:highlight w:val="none"/>
                <w:shd w:val="clear" w:color="auto" w:fill="FFFFFF"/>
                <w:lang w:val="en-US" w:bidi="ar"/>
              </w:rPr>
            </w:pPr>
            <w:r>
              <w:rPr>
                <w:rFonts w:hint="eastAsia"/>
                <w:sz w:val="21"/>
                <w:szCs w:val="21"/>
                <w:highlight w:val="none"/>
                <w:shd w:val="clear" w:color="auto" w:fill="FFFFFF"/>
                <w:lang w:val="en-US" w:bidi="ar"/>
              </w:rPr>
              <w:t>本项目不允许分包</w:t>
            </w:r>
          </w:p>
        </w:tc>
      </w:tr>
      <w:tr w14:paraId="224BC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60" w:type="dxa"/>
          </w:tcPr>
          <w:p w14:paraId="0BE0FFE4">
            <w:pPr>
              <w:pStyle w:val="71"/>
              <w:rPr>
                <w:sz w:val="21"/>
                <w:szCs w:val="21"/>
                <w:highlight w:val="none"/>
                <w:shd w:val="clear" w:color="auto" w:fill="FFFFFF"/>
                <w:lang w:val="en-US" w:bidi="ar"/>
              </w:rPr>
            </w:pPr>
          </w:p>
          <w:p w14:paraId="02E2F7BF">
            <w:pPr>
              <w:pStyle w:val="71"/>
              <w:ind w:right="168"/>
              <w:jc w:val="right"/>
              <w:rPr>
                <w:sz w:val="21"/>
                <w:szCs w:val="21"/>
                <w:highlight w:val="none"/>
                <w:shd w:val="clear" w:color="auto" w:fill="FFFFFF"/>
                <w:lang w:val="en-US" w:bidi="ar"/>
              </w:rPr>
            </w:pPr>
            <w:r>
              <w:rPr>
                <w:rFonts w:hint="eastAsia"/>
                <w:sz w:val="21"/>
                <w:szCs w:val="21"/>
                <w:highlight w:val="none"/>
                <w:shd w:val="clear" w:color="auto" w:fill="FFFFFF"/>
                <w:lang w:val="en-US" w:bidi="ar"/>
              </w:rPr>
              <w:t>2.1.2</w:t>
            </w:r>
          </w:p>
        </w:tc>
        <w:tc>
          <w:tcPr>
            <w:tcW w:w="1830" w:type="dxa"/>
          </w:tcPr>
          <w:p w14:paraId="44F8FC0D">
            <w:pPr>
              <w:pStyle w:val="71"/>
              <w:jc w:val="center"/>
              <w:rPr>
                <w:sz w:val="21"/>
                <w:szCs w:val="21"/>
                <w:highlight w:val="none"/>
                <w:shd w:val="clear" w:color="auto" w:fill="FFFFFF"/>
                <w:lang w:val="en-US" w:bidi="ar"/>
              </w:rPr>
            </w:pPr>
          </w:p>
          <w:p w14:paraId="0562313F">
            <w:pPr>
              <w:pStyle w:val="71"/>
              <w:ind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工程量清单</w:t>
            </w:r>
          </w:p>
        </w:tc>
        <w:tc>
          <w:tcPr>
            <w:tcW w:w="7076" w:type="dxa"/>
          </w:tcPr>
          <w:p w14:paraId="0CD072D4">
            <w:pPr>
              <w:pStyle w:val="71"/>
              <w:spacing w:before="129" w:line="600" w:lineRule="auto"/>
              <w:ind w:right="-15" w:firstLine="210" w:firstLineChars="100"/>
              <w:jc w:val="both"/>
              <w:rPr>
                <w:rFonts w:hint="default" w:eastAsia="宋体"/>
                <w:sz w:val="21"/>
                <w:szCs w:val="21"/>
                <w:highlight w:val="none"/>
                <w:shd w:val="clear" w:color="auto" w:fill="FFFFFF"/>
                <w:lang w:val="en-US" w:eastAsia="zh-CN" w:bidi="ar"/>
              </w:rPr>
            </w:pPr>
            <w:r>
              <w:rPr>
                <w:rFonts w:hint="eastAsia"/>
                <w:sz w:val="21"/>
                <w:szCs w:val="21"/>
                <w:highlight w:val="none"/>
                <w:shd w:val="clear" w:color="auto" w:fill="FFFFFF"/>
                <w:lang w:val="en-US" w:eastAsia="zh-CN" w:bidi="ar"/>
              </w:rPr>
              <w:t xml:space="preserve">见招标文件第五章 </w:t>
            </w:r>
            <w:r>
              <w:rPr>
                <w:rFonts w:hint="eastAsia"/>
                <w:highlight w:val="none"/>
              </w:rPr>
              <w:t>工程量清单</w:t>
            </w:r>
          </w:p>
        </w:tc>
      </w:tr>
      <w:tr w14:paraId="16A09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960" w:type="dxa"/>
          </w:tcPr>
          <w:p w14:paraId="77AA9BA8">
            <w:pPr>
              <w:pStyle w:val="71"/>
              <w:spacing w:before="11"/>
              <w:rPr>
                <w:sz w:val="21"/>
                <w:szCs w:val="21"/>
                <w:highlight w:val="none"/>
                <w:shd w:val="clear" w:color="auto" w:fill="FFFFFF"/>
                <w:lang w:val="en-US" w:bidi="ar"/>
              </w:rPr>
            </w:pPr>
          </w:p>
          <w:p w14:paraId="089B899C">
            <w:pPr>
              <w:pStyle w:val="71"/>
              <w:ind w:right="168"/>
              <w:jc w:val="right"/>
              <w:rPr>
                <w:sz w:val="21"/>
                <w:szCs w:val="21"/>
                <w:highlight w:val="none"/>
                <w:shd w:val="clear" w:color="auto" w:fill="FFFFFF"/>
                <w:lang w:val="en-US" w:bidi="ar"/>
              </w:rPr>
            </w:pPr>
            <w:r>
              <w:rPr>
                <w:rFonts w:hint="eastAsia"/>
                <w:sz w:val="21"/>
                <w:szCs w:val="21"/>
                <w:highlight w:val="none"/>
                <w:shd w:val="clear" w:color="auto" w:fill="FFFFFF"/>
                <w:lang w:val="en-US" w:bidi="ar"/>
              </w:rPr>
              <w:t>2.2.2</w:t>
            </w:r>
          </w:p>
        </w:tc>
        <w:tc>
          <w:tcPr>
            <w:tcW w:w="1830" w:type="dxa"/>
          </w:tcPr>
          <w:p w14:paraId="7BE86965">
            <w:pPr>
              <w:pStyle w:val="71"/>
              <w:spacing w:before="11"/>
              <w:rPr>
                <w:sz w:val="21"/>
                <w:szCs w:val="21"/>
                <w:highlight w:val="none"/>
                <w:shd w:val="clear" w:color="auto" w:fill="FFFFFF"/>
                <w:lang w:val="en-US" w:bidi="ar"/>
              </w:rPr>
            </w:pPr>
          </w:p>
          <w:p w14:paraId="4E53F5BE">
            <w:pPr>
              <w:pStyle w:val="71"/>
              <w:ind w:left="174"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投标截止时间</w:t>
            </w:r>
          </w:p>
        </w:tc>
        <w:tc>
          <w:tcPr>
            <w:tcW w:w="7076" w:type="dxa"/>
          </w:tcPr>
          <w:p w14:paraId="3C289D3E">
            <w:pPr>
              <w:pStyle w:val="71"/>
              <w:spacing w:before="11"/>
              <w:rPr>
                <w:sz w:val="21"/>
                <w:szCs w:val="21"/>
                <w:highlight w:val="none"/>
                <w:shd w:val="clear" w:color="auto" w:fill="FFFFFF"/>
                <w:lang w:val="en-US" w:bidi="ar"/>
              </w:rPr>
            </w:pPr>
          </w:p>
          <w:p w14:paraId="22BFBE48">
            <w:pPr>
              <w:pStyle w:val="71"/>
              <w:ind w:left="106"/>
              <w:rPr>
                <w:sz w:val="21"/>
                <w:szCs w:val="21"/>
                <w:highlight w:val="none"/>
                <w:shd w:val="clear" w:color="auto" w:fill="FFFFFF"/>
                <w:lang w:val="en-US" w:bidi="ar"/>
              </w:rPr>
            </w:pPr>
            <w:r>
              <w:rPr>
                <w:rFonts w:hint="eastAsia"/>
                <w:sz w:val="21"/>
                <w:szCs w:val="21"/>
                <w:highlight w:val="none"/>
                <w:shd w:val="clear" w:color="auto" w:fill="FFFFFF"/>
                <w:lang w:val="en-US" w:bidi="ar"/>
              </w:rPr>
              <w:t>202</w:t>
            </w:r>
            <w:r>
              <w:rPr>
                <w:rFonts w:hint="eastAsia"/>
                <w:sz w:val="21"/>
                <w:szCs w:val="21"/>
                <w:highlight w:val="none"/>
                <w:shd w:val="clear" w:color="auto" w:fill="FFFFFF"/>
                <w:lang w:val="en-US" w:eastAsia="zh-CN" w:bidi="ar"/>
              </w:rPr>
              <w:t>4</w:t>
            </w:r>
            <w:r>
              <w:rPr>
                <w:rFonts w:hint="eastAsia"/>
                <w:sz w:val="21"/>
                <w:szCs w:val="21"/>
                <w:highlight w:val="none"/>
                <w:shd w:val="clear" w:color="auto" w:fill="FFFFFF"/>
                <w:lang w:val="en-US" w:bidi="ar"/>
              </w:rPr>
              <w:t xml:space="preserve"> 年</w:t>
            </w:r>
            <w:r>
              <w:rPr>
                <w:rFonts w:hint="eastAsia"/>
                <w:sz w:val="21"/>
                <w:szCs w:val="21"/>
                <w:highlight w:val="none"/>
                <w:shd w:val="clear" w:color="auto" w:fill="FFFFFF"/>
                <w:lang w:val="en-US" w:eastAsia="zh-CN" w:bidi="ar"/>
              </w:rPr>
              <w:t>7</w:t>
            </w:r>
            <w:r>
              <w:rPr>
                <w:rFonts w:hint="eastAsia"/>
                <w:sz w:val="21"/>
                <w:szCs w:val="21"/>
                <w:highlight w:val="none"/>
                <w:shd w:val="clear" w:color="auto" w:fill="FFFFFF"/>
                <w:lang w:val="en-US" w:bidi="ar"/>
              </w:rPr>
              <w:t>月</w:t>
            </w:r>
            <w:r>
              <w:rPr>
                <w:rFonts w:hint="eastAsia"/>
                <w:sz w:val="21"/>
                <w:szCs w:val="21"/>
                <w:highlight w:val="none"/>
                <w:shd w:val="clear" w:color="auto" w:fill="FFFFFF"/>
                <w:lang w:val="en-US" w:eastAsia="zh-CN" w:bidi="ar"/>
              </w:rPr>
              <w:t>24</w:t>
            </w:r>
            <w:r>
              <w:rPr>
                <w:rFonts w:hint="eastAsia"/>
                <w:sz w:val="21"/>
                <w:szCs w:val="21"/>
                <w:highlight w:val="none"/>
                <w:shd w:val="clear" w:color="auto" w:fill="FFFFFF"/>
                <w:lang w:val="en-US" w:bidi="ar"/>
              </w:rPr>
              <w:t>日09:</w:t>
            </w:r>
            <w:r>
              <w:rPr>
                <w:rFonts w:hint="eastAsia"/>
                <w:sz w:val="21"/>
                <w:szCs w:val="21"/>
                <w:highlight w:val="none"/>
                <w:shd w:val="clear" w:color="auto" w:fill="FFFFFF"/>
                <w:lang w:val="en-US" w:eastAsia="zh-CN" w:bidi="ar"/>
              </w:rPr>
              <w:t>3</w:t>
            </w:r>
            <w:r>
              <w:rPr>
                <w:rFonts w:hint="eastAsia"/>
                <w:sz w:val="21"/>
                <w:szCs w:val="21"/>
                <w:highlight w:val="none"/>
                <w:shd w:val="clear" w:color="auto" w:fill="FFFFFF"/>
                <w:lang w:val="en-US" w:bidi="ar"/>
              </w:rPr>
              <w:t>0</w:t>
            </w:r>
          </w:p>
        </w:tc>
      </w:tr>
      <w:tr w14:paraId="4CDFF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960" w:type="dxa"/>
          </w:tcPr>
          <w:p w14:paraId="3CC3361F">
            <w:pPr>
              <w:pStyle w:val="71"/>
              <w:spacing w:before="3"/>
              <w:rPr>
                <w:sz w:val="21"/>
                <w:szCs w:val="21"/>
                <w:highlight w:val="none"/>
                <w:shd w:val="clear" w:color="auto" w:fill="FFFFFF"/>
                <w:lang w:val="en-US" w:bidi="ar"/>
              </w:rPr>
            </w:pPr>
          </w:p>
          <w:p w14:paraId="791AA004">
            <w:pPr>
              <w:pStyle w:val="71"/>
              <w:ind w:right="168"/>
              <w:jc w:val="right"/>
              <w:rPr>
                <w:sz w:val="21"/>
                <w:szCs w:val="21"/>
                <w:highlight w:val="none"/>
                <w:shd w:val="clear" w:color="auto" w:fill="FFFFFF"/>
                <w:lang w:val="en-US" w:bidi="ar"/>
              </w:rPr>
            </w:pPr>
            <w:r>
              <w:rPr>
                <w:rFonts w:hint="eastAsia"/>
                <w:sz w:val="21"/>
                <w:szCs w:val="21"/>
                <w:highlight w:val="none"/>
                <w:shd w:val="clear" w:color="auto" w:fill="FFFFFF"/>
                <w:lang w:val="en-US" w:bidi="ar"/>
              </w:rPr>
              <w:t>3.2.1</w:t>
            </w:r>
          </w:p>
        </w:tc>
        <w:tc>
          <w:tcPr>
            <w:tcW w:w="1830" w:type="dxa"/>
          </w:tcPr>
          <w:p w14:paraId="026CC0B5">
            <w:pPr>
              <w:pStyle w:val="71"/>
              <w:spacing w:before="3"/>
              <w:rPr>
                <w:sz w:val="21"/>
                <w:szCs w:val="21"/>
                <w:highlight w:val="none"/>
                <w:shd w:val="clear" w:color="auto" w:fill="FFFFFF"/>
                <w:lang w:val="en-US" w:bidi="ar"/>
              </w:rPr>
            </w:pPr>
          </w:p>
          <w:p w14:paraId="2487CCB9">
            <w:pPr>
              <w:pStyle w:val="71"/>
              <w:ind w:left="174"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计价方式</w:t>
            </w:r>
          </w:p>
        </w:tc>
        <w:tc>
          <w:tcPr>
            <w:tcW w:w="7076" w:type="dxa"/>
          </w:tcPr>
          <w:p w14:paraId="06256721">
            <w:pPr>
              <w:pStyle w:val="71"/>
              <w:spacing w:before="3"/>
              <w:rPr>
                <w:sz w:val="21"/>
                <w:szCs w:val="21"/>
                <w:highlight w:val="none"/>
                <w:shd w:val="clear" w:color="auto" w:fill="FFFFFF"/>
                <w:lang w:val="en-US" w:bidi="ar"/>
              </w:rPr>
            </w:pPr>
          </w:p>
          <w:p w14:paraId="052D24D2">
            <w:pPr>
              <w:pStyle w:val="71"/>
              <w:ind w:left="106"/>
              <w:rPr>
                <w:sz w:val="21"/>
                <w:szCs w:val="21"/>
                <w:highlight w:val="none"/>
                <w:shd w:val="clear" w:color="auto" w:fill="FFFFFF"/>
                <w:lang w:val="en-US" w:bidi="ar"/>
              </w:rPr>
            </w:pPr>
            <w:r>
              <w:rPr>
                <w:rFonts w:hint="eastAsia"/>
                <w:sz w:val="21"/>
                <w:szCs w:val="21"/>
                <w:highlight w:val="none"/>
                <w:shd w:val="clear" w:color="auto" w:fill="FFFFFF"/>
                <w:lang w:val="en-US" w:bidi="ar"/>
              </w:rPr>
              <w:t>固定综合单价</w:t>
            </w:r>
          </w:p>
        </w:tc>
      </w:tr>
      <w:tr w14:paraId="11100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0" w:hRule="atLeast"/>
        </w:trPr>
        <w:tc>
          <w:tcPr>
            <w:tcW w:w="960" w:type="dxa"/>
          </w:tcPr>
          <w:p w14:paraId="4498107B">
            <w:pPr>
              <w:pStyle w:val="71"/>
              <w:rPr>
                <w:sz w:val="21"/>
                <w:szCs w:val="21"/>
                <w:highlight w:val="none"/>
                <w:shd w:val="clear" w:color="auto" w:fill="FFFFFF"/>
                <w:lang w:val="en-US" w:bidi="ar"/>
              </w:rPr>
            </w:pPr>
          </w:p>
          <w:p w14:paraId="74EF8EAD">
            <w:pPr>
              <w:pStyle w:val="71"/>
              <w:rPr>
                <w:sz w:val="21"/>
                <w:szCs w:val="21"/>
                <w:highlight w:val="none"/>
                <w:shd w:val="clear" w:color="auto" w:fill="FFFFFF"/>
                <w:lang w:val="en-US" w:bidi="ar"/>
              </w:rPr>
            </w:pPr>
          </w:p>
          <w:p w14:paraId="7FDA9030">
            <w:pPr>
              <w:pStyle w:val="71"/>
              <w:spacing w:before="203"/>
              <w:ind w:right="168"/>
              <w:jc w:val="right"/>
              <w:rPr>
                <w:sz w:val="21"/>
                <w:szCs w:val="21"/>
                <w:highlight w:val="none"/>
                <w:shd w:val="clear" w:color="auto" w:fill="FFFFFF"/>
                <w:lang w:val="en-US" w:bidi="ar"/>
              </w:rPr>
            </w:pPr>
            <w:r>
              <w:rPr>
                <w:rFonts w:hint="eastAsia"/>
                <w:sz w:val="21"/>
                <w:szCs w:val="21"/>
                <w:highlight w:val="none"/>
                <w:shd w:val="clear" w:color="auto" w:fill="FFFFFF"/>
                <w:lang w:val="en-US" w:bidi="ar"/>
              </w:rPr>
              <w:t>3.2.3</w:t>
            </w:r>
          </w:p>
        </w:tc>
        <w:tc>
          <w:tcPr>
            <w:tcW w:w="1830" w:type="dxa"/>
          </w:tcPr>
          <w:p w14:paraId="5DD14213">
            <w:pPr>
              <w:pStyle w:val="71"/>
              <w:spacing w:before="12"/>
              <w:rPr>
                <w:sz w:val="21"/>
                <w:szCs w:val="21"/>
                <w:highlight w:val="none"/>
                <w:shd w:val="clear" w:color="auto" w:fill="FFFFFF"/>
                <w:lang w:val="en-US" w:bidi="ar"/>
              </w:rPr>
            </w:pPr>
          </w:p>
          <w:p w14:paraId="0172E267">
            <w:pPr>
              <w:pStyle w:val="71"/>
              <w:spacing w:line="360" w:lineRule="auto"/>
              <w:ind w:left="194" w:right="183"/>
              <w:jc w:val="center"/>
              <w:rPr>
                <w:sz w:val="21"/>
                <w:szCs w:val="21"/>
                <w:highlight w:val="none"/>
                <w:shd w:val="clear" w:color="auto" w:fill="FFFFFF"/>
                <w:lang w:val="en-US" w:bidi="ar"/>
              </w:rPr>
            </w:pPr>
            <w:r>
              <w:rPr>
                <w:rFonts w:hint="eastAsia"/>
                <w:sz w:val="21"/>
                <w:szCs w:val="21"/>
                <w:highlight w:val="none"/>
                <w:shd w:val="clear" w:color="auto" w:fill="FFFFFF"/>
                <w:lang w:val="en-US" w:bidi="ar"/>
              </w:rPr>
              <w:t>投标报价其他要求及工程暂列金额</w:t>
            </w:r>
          </w:p>
        </w:tc>
        <w:tc>
          <w:tcPr>
            <w:tcW w:w="7076" w:type="dxa"/>
          </w:tcPr>
          <w:p w14:paraId="69F4344E">
            <w:pPr>
              <w:pStyle w:val="71"/>
              <w:spacing w:before="130" w:line="357" w:lineRule="auto"/>
              <w:ind w:left="106" w:right="95"/>
              <w:jc w:val="both"/>
              <w:rPr>
                <w:sz w:val="21"/>
                <w:szCs w:val="21"/>
                <w:highlight w:val="none"/>
                <w:shd w:val="clear" w:color="auto" w:fill="FFFFFF"/>
                <w:lang w:val="en-US" w:bidi="ar"/>
              </w:rPr>
            </w:pPr>
            <w:r>
              <w:rPr>
                <w:rFonts w:hint="eastAsia"/>
                <w:sz w:val="21"/>
                <w:szCs w:val="21"/>
                <w:highlight w:val="none"/>
                <w:shd w:val="clear" w:color="auto" w:fill="FFFFFF"/>
                <w:lang w:val="en-US" w:bidi="ar"/>
              </w:rPr>
              <w:t>本工程计价采用固定综合单价，各投标人依据企业自身情况自主报价、风险自负。所有投标报价中的单价和合价均以人民币表示。除招标文件允许调整的内容外，投标人所报单价在合同实施期间不因市场变化因素而变动，投标人在计算报价时必须考虑相应的风险。</w:t>
            </w:r>
          </w:p>
        </w:tc>
      </w:tr>
      <w:tr w14:paraId="5AC3C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960" w:type="dxa"/>
          </w:tcPr>
          <w:p w14:paraId="2B624203">
            <w:pPr>
              <w:pStyle w:val="71"/>
              <w:spacing w:before="214"/>
              <w:ind w:right="168"/>
              <w:jc w:val="right"/>
              <w:rPr>
                <w:sz w:val="21"/>
                <w:szCs w:val="21"/>
                <w:highlight w:val="none"/>
                <w:shd w:val="clear" w:color="auto" w:fill="FFFFFF"/>
                <w:lang w:val="en-US" w:bidi="ar"/>
              </w:rPr>
            </w:pPr>
            <w:r>
              <w:rPr>
                <w:rFonts w:hint="eastAsia"/>
                <w:sz w:val="21"/>
                <w:szCs w:val="21"/>
                <w:highlight w:val="none"/>
                <w:shd w:val="clear" w:color="auto" w:fill="FFFFFF"/>
                <w:lang w:val="en-US" w:bidi="ar"/>
              </w:rPr>
              <w:t>3.3.1</w:t>
            </w:r>
          </w:p>
        </w:tc>
        <w:tc>
          <w:tcPr>
            <w:tcW w:w="1830" w:type="dxa"/>
          </w:tcPr>
          <w:p w14:paraId="333A717B">
            <w:pPr>
              <w:pStyle w:val="71"/>
              <w:spacing w:before="214"/>
              <w:ind w:left="174"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投标有效期</w:t>
            </w:r>
          </w:p>
        </w:tc>
        <w:tc>
          <w:tcPr>
            <w:tcW w:w="7076" w:type="dxa"/>
          </w:tcPr>
          <w:p w14:paraId="69AB3717">
            <w:pPr>
              <w:pStyle w:val="71"/>
              <w:spacing w:before="214"/>
              <w:ind w:left="106"/>
              <w:rPr>
                <w:sz w:val="21"/>
                <w:szCs w:val="21"/>
                <w:highlight w:val="none"/>
                <w:shd w:val="clear" w:color="auto" w:fill="FFFFFF"/>
                <w:lang w:val="en-US" w:bidi="ar"/>
              </w:rPr>
            </w:pPr>
            <w:r>
              <w:rPr>
                <w:rFonts w:hint="eastAsia"/>
                <w:sz w:val="21"/>
                <w:szCs w:val="21"/>
                <w:highlight w:val="none"/>
                <w:shd w:val="clear" w:color="auto" w:fill="FFFFFF"/>
                <w:lang w:val="en-US" w:bidi="ar"/>
              </w:rPr>
              <w:t>自投标文件递交截止之日起 90 天。</w:t>
            </w:r>
          </w:p>
        </w:tc>
      </w:tr>
      <w:tr w14:paraId="69325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60" w:type="dxa"/>
          </w:tcPr>
          <w:p w14:paraId="4BD95FB2">
            <w:pPr>
              <w:pStyle w:val="71"/>
              <w:spacing w:before="128"/>
              <w:ind w:right="168"/>
              <w:jc w:val="right"/>
              <w:rPr>
                <w:sz w:val="21"/>
                <w:szCs w:val="21"/>
                <w:highlight w:val="none"/>
                <w:shd w:val="clear" w:color="auto" w:fill="FFFFFF"/>
                <w:lang w:val="en-US" w:bidi="ar"/>
              </w:rPr>
            </w:pPr>
            <w:r>
              <w:rPr>
                <w:rFonts w:hint="eastAsia"/>
                <w:sz w:val="21"/>
                <w:szCs w:val="21"/>
                <w:highlight w:val="none"/>
                <w:shd w:val="clear" w:color="auto" w:fill="FFFFFF"/>
                <w:lang w:val="en-US" w:bidi="ar"/>
              </w:rPr>
              <w:t>3.4.1</w:t>
            </w:r>
          </w:p>
        </w:tc>
        <w:tc>
          <w:tcPr>
            <w:tcW w:w="1830" w:type="dxa"/>
          </w:tcPr>
          <w:p w14:paraId="5E31FE3C">
            <w:pPr>
              <w:pStyle w:val="71"/>
              <w:spacing w:before="128"/>
              <w:ind w:left="174"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投标保证金</w:t>
            </w:r>
          </w:p>
        </w:tc>
        <w:tc>
          <w:tcPr>
            <w:tcW w:w="7076" w:type="dxa"/>
          </w:tcPr>
          <w:p w14:paraId="7C5AC803">
            <w:pPr>
              <w:pStyle w:val="71"/>
              <w:spacing w:before="128"/>
              <w:ind w:left="106"/>
              <w:rPr>
                <w:sz w:val="21"/>
                <w:szCs w:val="21"/>
                <w:highlight w:val="none"/>
                <w:shd w:val="clear" w:color="auto" w:fill="FFFFFF"/>
                <w:lang w:val="en-US" w:bidi="ar"/>
              </w:rPr>
            </w:pPr>
            <w:r>
              <w:rPr>
                <w:rFonts w:hint="eastAsia"/>
                <w:sz w:val="21"/>
                <w:szCs w:val="21"/>
                <w:highlight w:val="none"/>
                <w:shd w:val="clear" w:color="auto" w:fill="FFFFFF"/>
                <w:lang w:val="en-US" w:bidi="ar"/>
              </w:rPr>
              <w:t>本项目无须缴纳投标保证金</w:t>
            </w:r>
          </w:p>
        </w:tc>
      </w:tr>
      <w:tr w14:paraId="67A97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60" w:type="dxa"/>
          </w:tcPr>
          <w:p w14:paraId="519E3BDA">
            <w:pPr>
              <w:pStyle w:val="71"/>
              <w:rPr>
                <w:sz w:val="21"/>
                <w:szCs w:val="21"/>
                <w:highlight w:val="none"/>
                <w:shd w:val="clear" w:color="auto" w:fill="FFFFFF"/>
                <w:lang w:val="en-US" w:bidi="ar"/>
              </w:rPr>
            </w:pPr>
          </w:p>
          <w:p w14:paraId="3D1B4426">
            <w:pPr>
              <w:pStyle w:val="71"/>
              <w:spacing w:before="1"/>
              <w:ind w:left="299"/>
              <w:rPr>
                <w:sz w:val="21"/>
                <w:szCs w:val="21"/>
                <w:highlight w:val="none"/>
                <w:shd w:val="clear" w:color="auto" w:fill="FFFFFF"/>
                <w:lang w:val="en-US" w:bidi="ar"/>
              </w:rPr>
            </w:pPr>
            <w:r>
              <w:rPr>
                <w:rFonts w:hint="eastAsia"/>
                <w:sz w:val="21"/>
                <w:szCs w:val="21"/>
                <w:highlight w:val="none"/>
                <w:shd w:val="clear" w:color="auto" w:fill="FFFFFF"/>
                <w:lang w:val="en-US" w:bidi="ar"/>
              </w:rPr>
              <w:t>3.5</w:t>
            </w:r>
          </w:p>
        </w:tc>
        <w:tc>
          <w:tcPr>
            <w:tcW w:w="1830" w:type="dxa"/>
          </w:tcPr>
          <w:p w14:paraId="7558136D">
            <w:pPr>
              <w:pStyle w:val="71"/>
              <w:spacing w:before="1" w:line="460" w:lineRule="exact"/>
              <w:ind w:left="194" w:right="183"/>
              <w:rPr>
                <w:sz w:val="21"/>
                <w:szCs w:val="21"/>
                <w:highlight w:val="none"/>
                <w:shd w:val="clear" w:color="auto" w:fill="FFFFFF"/>
                <w:lang w:val="en-US" w:bidi="ar"/>
              </w:rPr>
            </w:pPr>
            <w:r>
              <w:rPr>
                <w:rFonts w:hint="eastAsia"/>
                <w:sz w:val="21"/>
                <w:szCs w:val="21"/>
                <w:highlight w:val="none"/>
                <w:shd w:val="clear" w:color="auto" w:fill="FFFFFF"/>
                <w:lang w:val="en-US" w:bidi="ar"/>
              </w:rPr>
              <w:t>是否允许递交备选投标方案</w:t>
            </w:r>
          </w:p>
        </w:tc>
        <w:tc>
          <w:tcPr>
            <w:tcW w:w="7076" w:type="dxa"/>
          </w:tcPr>
          <w:p w14:paraId="672B29B3">
            <w:pPr>
              <w:pStyle w:val="71"/>
              <w:rPr>
                <w:sz w:val="21"/>
                <w:szCs w:val="21"/>
                <w:highlight w:val="none"/>
                <w:shd w:val="clear" w:color="auto" w:fill="FFFFFF"/>
                <w:lang w:val="en-US" w:bidi="ar"/>
              </w:rPr>
            </w:pPr>
          </w:p>
          <w:p w14:paraId="2D21F232">
            <w:pPr>
              <w:pStyle w:val="71"/>
              <w:spacing w:before="1"/>
              <w:ind w:left="106"/>
              <w:rPr>
                <w:sz w:val="21"/>
                <w:szCs w:val="21"/>
                <w:highlight w:val="none"/>
                <w:shd w:val="clear" w:color="auto" w:fill="FFFFFF"/>
                <w:lang w:val="en-US" w:bidi="ar"/>
              </w:rPr>
            </w:pPr>
            <w:r>
              <w:rPr>
                <w:rFonts w:hint="eastAsia"/>
                <w:sz w:val="21"/>
                <w:szCs w:val="21"/>
                <w:highlight w:val="none"/>
                <w:shd w:val="clear" w:color="auto" w:fill="FFFFFF"/>
                <w:lang w:val="en-US" w:bidi="ar"/>
              </w:rPr>
              <w:t>不允许</w:t>
            </w:r>
          </w:p>
        </w:tc>
      </w:tr>
      <w:tr w14:paraId="0986F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960" w:type="dxa"/>
          </w:tcPr>
          <w:p w14:paraId="4B8780BA">
            <w:pPr>
              <w:pStyle w:val="71"/>
              <w:spacing w:before="11"/>
              <w:rPr>
                <w:sz w:val="21"/>
                <w:szCs w:val="21"/>
                <w:highlight w:val="none"/>
                <w:shd w:val="clear" w:color="auto" w:fill="FFFFFF"/>
                <w:lang w:val="en-US" w:bidi="ar"/>
              </w:rPr>
            </w:pPr>
          </w:p>
          <w:p w14:paraId="32E952B3">
            <w:pPr>
              <w:pStyle w:val="71"/>
              <w:ind w:right="168"/>
              <w:jc w:val="right"/>
              <w:rPr>
                <w:sz w:val="21"/>
                <w:szCs w:val="21"/>
                <w:highlight w:val="none"/>
                <w:shd w:val="clear" w:color="auto" w:fill="FFFFFF"/>
                <w:lang w:val="en-US" w:bidi="ar"/>
              </w:rPr>
            </w:pPr>
            <w:r>
              <w:rPr>
                <w:rFonts w:hint="eastAsia"/>
                <w:sz w:val="21"/>
                <w:szCs w:val="21"/>
                <w:highlight w:val="none"/>
                <w:shd w:val="clear" w:color="auto" w:fill="FFFFFF"/>
                <w:lang w:val="en-US" w:bidi="ar"/>
              </w:rPr>
              <w:t>3.6.3</w:t>
            </w:r>
          </w:p>
        </w:tc>
        <w:tc>
          <w:tcPr>
            <w:tcW w:w="1830" w:type="dxa"/>
          </w:tcPr>
          <w:p w14:paraId="6990DD5F">
            <w:pPr>
              <w:pStyle w:val="71"/>
              <w:spacing w:before="127"/>
              <w:ind w:left="174"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签字或盖章要</w:t>
            </w:r>
          </w:p>
          <w:p w14:paraId="62A6986E">
            <w:pPr>
              <w:pStyle w:val="71"/>
              <w:spacing w:before="153"/>
              <w:ind w:left="8"/>
              <w:jc w:val="center"/>
              <w:rPr>
                <w:sz w:val="21"/>
                <w:szCs w:val="21"/>
                <w:highlight w:val="none"/>
                <w:shd w:val="clear" w:color="auto" w:fill="FFFFFF"/>
                <w:lang w:val="en-US" w:bidi="ar"/>
              </w:rPr>
            </w:pPr>
            <w:r>
              <w:rPr>
                <w:rFonts w:hint="eastAsia"/>
                <w:sz w:val="21"/>
                <w:szCs w:val="21"/>
                <w:highlight w:val="none"/>
                <w:shd w:val="clear" w:color="auto" w:fill="FFFFFF"/>
                <w:lang w:val="en-US" w:bidi="ar"/>
              </w:rPr>
              <w:t>求</w:t>
            </w:r>
          </w:p>
        </w:tc>
        <w:tc>
          <w:tcPr>
            <w:tcW w:w="7076" w:type="dxa"/>
          </w:tcPr>
          <w:p w14:paraId="3200907F">
            <w:pPr>
              <w:pStyle w:val="71"/>
              <w:spacing w:before="11"/>
              <w:rPr>
                <w:sz w:val="21"/>
                <w:szCs w:val="21"/>
                <w:highlight w:val="none"/>
                <w:shd w:val="clear" w:color="auto" w:fill="FFFFFF"/>
                <w:lang w:val="en-US" w:bidi="ar"/>
              </w:rPr>
            </w:pPr>
          </w:p>
          <w:p w14:paraId="77E081A7">
            <w:pPr>
              <w:pStyle w:val="71"/>
              <w:ind w:left="106"/>
              <w:rPr>
                <w:sz w:val="21"/>
                <w:szCs w:val="21"/>
                <w:highlight w:val="none"/>
                <w:shd w:val="clear" w:color="auto" w:fill="FFFFFF"/>
                <w:lang w:val="en-US" w:bidi="ar"/>
              </w:rPr>
            </w:pPr>
            <w:r>
              <w:rPr>
                <w:rFonts w:hint="eastAsia"/>
                <w:sz w:val="21"/>
                <w:szCs w:val="21"/>
                <w:highlight w:val="none"/>
                <w:shd w:val="clear" w:color="auto" w:fill="FFFFFF"/>
                <w:lang w:val="en-US" w:eastAsia="zh-CN" w:bidi="ar"/>
              </w:rPr>
              <w:t>投标人</w:t>
            </w:r>
            <w:r>
              <w:rPr>
                <w:rFonts w:hint="eastAsia"/>
                <w:sz w:val="21"/>
                <w:szCs w:val="21"/>
                <w:highlight w:val="none"/>
                <w:shd w:val="clear" w:color="auto" w:fill="FFFFFF"/>
                <w:lang w:val="en-US" w:bidi="ar"/>
              </w:rPr>
              <w:t>必须按照招标文件的规定和要求签字、盖章</w:t>
            </w:r>
          </w:p>
        </w:tc>
      </w:tr>
      <w:tr w14:paraId="36156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960" w:type="dxa"/>
          </w:tcPr>
          <w:p w14:paraId="5435977B">
            <w:pPr>
              <w:pStyle w:val="71"/>
              <w:rPr>
                <w:sz w:val="21"/>
                <w:szCs w:val="21"/>
                <w:highlight w:val="none"/>
                <w:shd w:val="clear" w:color="auto" w:fill="FFFFFF"/>
                <w:lang w:val="en-US" w:bidi="ar"/>
              </w:rPr>
            </w:pPr>
          </w:p>
          <w:p w14:paraId="285D65BE">
            <w:pPr>
              <w:pStyle w:val="71"/>
              <w:ind w:right="168"/>
              <w:jc w:val="right"/>
              <w:rPr>
                <w:sz w:val="21"/>
                <w:szCs w:val="21"/>
                <w:highlight w:val="none"/>
                <w:shd w:val="clear" w:color="auto" w:fill="FFFFFF"/>
                <w:lang w:val="en-US" w:bidi="ar"/>
              </w:rPr>
            </w:pPr>
            <w:r>
              <w:rPr>
                <w:rFonts w:hint="eastAsia"/>
                <w:sz w:val="21"/>
                <w:szCs w:val="21"/>
                <w:highlight w:val="none"/>
                <w:shd w:val="clear" w:color="auto" w:fill="FFFFFF"/>
                <w:lang w:val="en-US" w:bidi="ar"/>
              </w:rPr>
              <w:t>3.6.4</w:t>
            </w:r>
          </w:p>
        </w:tc>
        <w:tc>
          <w:tcPr>
            <w:tcW w:w="1830" w:type="dxa"/>
          </w:tcPr>
          <w:p w14:paraId="0BC94672">
            <w:pPr>
              <w:pStyle w:val="71"/>
              <w:rPr>
                <w:sz w:val="21"/>
                <w:szCs w:val="21"/>
                <w:highlight w:val="none"/>
                <w:shd w:val="clear" w:color="auto" w:fill="FFFFFF"/>
                <w:lang w:val="en-US" w:bidi="ar"/>
              </w:rPr>
            </w:pPr>
          </w:p>
          <w:p w14:paraId="321553E6">
            <w:pPr>
              <w:pStyle w:val="71"/>
              <w:ind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投标文件说明</w:t>
            </w:r>
          </w:p>
        </w:tc>
        <w:tc>
          <w:tcPr>
            <w:tcW w:w="7076" w:type="dxa"/>
          </w:tcPr>
          <w:p w14:paraId="7094D996">
            <w:pPr>
              <w:pStyle w:val="71"/>
              <w:numPr>
                <w:ilvl w:val="0"/>
                <w:numId w:val="7"/>
              </w:numPr>
              <w:spacing w:before="2" w:line="362" w:lineRule="auto"/>
              <w:ind w:left="106" w:right="98"/>
              <w:rPr>
                <w:rFonts w:hint="eastAsia"/>
                <w:sz w:val="21"/>
                <w:szCs w:val="21"/>
                <w:highlight w:val="none"/>
                <w:shd w:val="clear" w:color="auto" w:fill="FFFFFF"/>
                <w:lang w:val="en-US" w:bidi="ar"/>
              </w:rPr>
            </w:pPr>
            <w:r>
              <w:rPr>
                <w:rFonts w:hint="eastAsia"/>
                <w:sz w:val="21"/>
                <w:szCs w:val="21"/>
                <w:highlight w:val="none"/>
                <w:shd w:val="clear" w:color="auto" w:fill="FFFFFF"/>
                <w:lang w:val="en-US" w:bidi="ar"/>
              </w:rPr>
              <w:t>本项目无须提供纸质投标文件，</w:t>
            </w:r>
            <w:r>
              <w:rPr>
                <w:rFonts w:hint="eastAsia"/>
                <w:sz w:val="21"/>
                <w:szCs w:val="21"/>
                <w:highlight w:val="none"/>
                <w:shd w:val="clear" w:color="auto" w:fill="FFFFFF"/>
                <w:lang w:val="en-US" w:eastAsia="zh-CN" w:bidi="ar"/>
              </w:rPr>
              <w:t>投标人</w:t>
            </w:r>
            <w:r>
              <w:rPr>
                <w:rFonts w:hint="eastAsia"/>
                <w:sz w:val="21"/>
                <w:szCs w:val="21"/>
                <w:highlight w:val="none"/>
                <w:shd w:val="clear" w:color="auto" w:fill="FFFFFF"/>
                <w:lang w:val="en-US" w:bidi="ar"/>
              </w:rPr>
              <w:t>须在投标文件递交截止时间前上传加密电子投标文件（加密.SXSTF 格式）。</w:t>
            </w:r>
          </w:p>
          <w:p w14:paraId="371596D4">
            <w:pPr>
              <w:pStyle w:val="71"/>
              <w:numPr>
                <w:ilvl w:val="0"/>
                <w:numId w:val="7"/>
              </w:numPr>
              <w:spacing w:before="2" w:line="362" w:lineRule="auto"/>
              <w:ind w:left="106" w:right="98"/>
              <w:rPr>
                <w:rFonts w:hint="eastAsia"/>
                <w:sz w:val="21"/>
                <w:szCs w:val="21"/>
                <w:highlight w:val="none"/>
                <w:shd w:val="clear" w:color="auto" w:fill="FFFFFF"/>
                <w:lang w:val="en-US" w:bidi="ar"/>
              </w:rPr>
            </w:pPr>
            <w:r>
              <w:rPr>
                <w:rFonts w:hint="eastAsia"/>
                <w:sz w:val="21"/>
                <w:szCs w:val="21"/>
                <w:highlight w:val="none"/>
                <w:shd w:val="clear" w:color="auto" w:fill="FFFFFF"/>
                <w:lang w:val="en-US" w:eastAsia="zh-CN" w:bidi="ar"/>
              </w:rPr>
              <w:t>中标结果公告发出后，中标人向招标代理机构提供投标文件正本1套、副本2套、电子版光盘1份（纸质文件盖章后的PDF扫描件）</w:t>
            </w:r>
          </w:p>
        </w:tc>
      </w:tr>
      <w:tr w14:paraId="28CB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960" w:type="dxa"/>
          </w:tcPr>
          <w:p w14:paraId="1FF15E54">
            <w:pPr>
              <w:pStyle w:val="71"/>
              <w:spacing w:before="4"/>
              <w:rPr>
                <w:sz w:val="21"/>
                <w:szCs w:val="21"/>
                <w:highlight w:val="none"/>
                <w:shd w:val="clear" w:color="auto" w:fill="FFFFFF"/>
                <w:lang w:val="en-US" w:bidi="ar"/>
              </w:rPr>
            </w:pPr>
          </w:p>
          <w:p w14:paraId="2583B545">
            <w:pPr>
              <w:pStyle w:val="71"/>
              <w:ind w:right="168"/>
              <w:jc w:val="right"/>
              <w:rPr>
                <w:sz w:val="21"/>
                <w:szCs w:val="21"/>
                <w:highlight w:val="none"/>
                <w:shd w:val="clear" w:color="auto" w:fill="FFFFFF"/>
                <w:lang w:val="en-US" w:bidi="ar"/>
              </w:rPr>
            </w:pPr>
            <w:r>
              <w:rPr>
                <w:rFonts w:hint="eastAsia"/>
                <w:sz w:val="21"/>
                <w:szCs w:val="21"/>
                <w:highlight w:val="none"/>
                <w:shd w:val="clear" w:color="auto" w:fill="FFFFFF"/>
                <w:lang w:val="en-US" w:bidi="ar"/>
              </w:rPr>
              <w:t>3.6.5</w:t>
            </w:r>
          </w:p>
        </w:tc>
        <w:tc>
          <w:tcPr>
            <w:tcW w:w="1830" w:type="dxa"/>
          </w:tcPr>
          <w:p w14:paraId="59A3C5F3">
            <w:pPr>
              <w:pStyle w:val="71"/>
              <w:spacing w:before="6" w:line="458" w:lineRule="exact"/>
              <w:ind w:left="314" w:right="183" w:hanging="120"/>
              <w:rPr>
                <w:sz w:val="21"/>
                <w:szCs w:val="21"/>
                <w:highlight w:val="none"/>
                <w:shd w:val="clear" w:color="auto" w:fill="FFFFFF"/>
                <w:lang w:val="en-US" w:bidi="ar"/>
              </w:rPr>
            </w:pPr>
            <w:r>
              <w:rPr>
                <w:rFonts w:hint="eastAsia"/>
                <w:sz w:val="21"/>
                <w:szCs w:val="21"/>
                <w:highlight w:val="none"/>
                <w:shd w:val="clear" w:color="auto" w:fill="FFFFFF"/>
                <w:lang w:val="en-US" w:bidi="ar"/>
              </w:rPr>
              <w:t>电子投标文件的编制要求</w:t>
            </w:r>
          </w:p>
        </w:tc>
        <w:tc>
          <w:tcPr>
            <w:tcW w:w="7076" w:type="dxa"/>
          </w:tcPr>
          <w:p w14:paraId="549A96BB">
            <w:pPr>
              <w:widowControl/>
              <w:shd w:val="clear" w:color="auto" w:fill="FFFFFF"/>
              <w:spacing w:line="360" w:lineRule="auto"/>
              <w:rPr>
                <w:sz w:val="21"/>
                <w:szCs w:val="21"/>
                <w:highlight w:val="none"/>
              </w:rPr>
            </w:pPr>
            <w:r>
              <w:rPr>
                <w:rFonts w:hint="eastAsia"/>
                <w:sz w:val="21"/>
                <w:szCs w:val="21"/>
                <w:highlight w:val="none"/>
                <w:shd w:val="clear" w:color="auto" w:fill="FFFFFF"/>
                <w:lang w:val="en-US" w:bidi="ar"/>
              </w:rPr>
              <w:t>本项目采用全流程电子化采购方式，实行不见面开标/见面开标，请投标人在西安市公共资源交易平台下载相关操作手册，了解具体操作程序和方法以及软硬件运行环境，也可向国泰新点软件股份有限公司咨询（技术支持，联系电话：400-998-0000/400-928-0095；驻场技术人员：029-86510166/86510167转80310）。</w:t>
            </w:r>
          </w:p>
          <w:p w14:paraId="28EBA652">
            <w:pPr>
              <w:widowControl/>
              <w:shd w:val="clear" w:color="auto" w:fill="FFFFFF"/>
              <w:spacing w:line="360" w:lineRule="auto"/>
              <w:ind w:firstLine="422"/>
              <w:rPr>
                <w:sz w:val="21"/>
                <w:szCs w:val="21"/>
                <w:highlight w:val="none"/>
              </w:rPr>
            </w:pPr>
            <w:r>
              <w:rPr>
                <w:rFonts w:hint="eastAsia"/>
                <w:b/>
                <w:bCs/>
                <w:sz w:val="21"/>
                <w:szCs w:val="21"/>
                <w:highlight w:val="none"/>
                <w:shd w:val="clear" w:color="auto" w:fill="FFFFFF"/>
                <w:lang w:val="en-US" w:bidi="ar"/>
              </w:rPr>
              <w:t>（1）预览招标文件</w:t>
            </w:r>
          </w:p>
          <w:p w14:paraId="68070141">
            <w:pPr>
              <w:widowControl/>
              <w:shd w:val="clear" w:color="auto" w:fill="FFFFFF"/>
              <w:spacing w:line="360" w:lineRule="auto"/>
              <w:ind w:firstLine="420"/>
              <w:rPr>
                <w:sz w:val="21"/>
                <w:szCs w:val="21"/>
                <w:highlight w:val="none"/>
              </w:rPr>
            </w:pPr>
            <w:r>
              <w:rPr>
                <w:rFonts w:hint="eastAsia"/>
                <w:sz w:val="21"/>
                <w:szCs w:val="21"/>
                <w:highlight w:val="none"/>
                <w:shd w:val="clear" w:color="auto" w:fill="FFFFFF"/>
                <w:lang w:val="en-US" w:bidi="ar"/>
              </w:rPr>
              <w:t>社会公众和想了解招标项目情况的投标人，可打开西安市公共资源交易平台网站预览招标文件。即〖首页·〉交易大厅·〉政府采购〗栏目，下载和阅读本项目招标文件的预览版本（WORD\PDF格式）。电子交易平台同时提供WORD\PDF格式（仅用于预览）和SXSZF格式（用于制作电子投标文件）两个版本，文件内容一致。</w:t>
            </w:r>
          </w:p>
          <w:p w14:paraId="213E2C44">
            <w:pPr>
              <w:widowControl/>
              <w:shd w:val="clear" w:color="auto" w:fill="FFFFFF"/>
              <w:spacing w:line="360" w:lineRule="auto"/>
              <w:ind w:firstLine="422"/>
              <w:rPr>
                <w:sz w:val="21"/>
                <w:szCs w:val="21"/>
                <w:highlight w:val="none"/>
              </w:rPr>
            </w:pPr>
            <w:r>
              <w:rPr>
                <w:rFonts w:hint="eastAsia"/>
                <w:b/>
                <w:bCs/>
                <w:sz w:val="21"/>
                <w:szCs w:val="21"/>
                <w:highlight w:val="none"/>
                <w:shd w:val="clear" w:color="auto" w:fill="FFFFFF"/>
                <w:lang w:val="en-US" w:bidi="ar"/>
              </w:rPr>
              <w:t>（2）注册、CA认证和企业信息绑定</w:t>
            </w:r>
          </w:p>
          <w:p w14:paraId="6B4EB84A">
            <w:pPr>
              <w:widowControl/>
              <w:shd w:val="clear" w:color="auto" w:fill="FFFFFF"/>
              <w:spacing w:line="360" w:lineRule="auto"/>
              <w:ind w:right="-197" w:firstLine="420"/>
              <w:rPr>
                <w:sz w:val="21"/>
                <w:szCs w:val="21"/>
                <w:highlight w:val="none"/>
              </w:rPr>
            </w:pPr>
            <w:r>
              <w:rPr>
                <w:rFonts w:hint="eastAsia"/>
                <w:sz w:val="21"/>
                <w:szCs w:val="21"/>
                <w:highlight w:val="none"/>
                <w:shd w:val="clear" w:color="auto" w:fill="FFFFFF"/>
                <w:lang w:val="en-US" w:bidi="ar"/>
              </w:rPr>
              <w:t>投标人初次登录西安市公共资源交易平台的，应事先完成诚信入库登记、CA认证和企业信息绑定。详见西安市公共资源交易平台〖首页·〉服务指南·〉下载专区〗中的《西安市市级单位电子化政府采购项目投标指南》。</w:t>
            </w:r>
          </w:p>
          <w:p w14:paraId="319C7185">
            <w:pPr>
              <w:widowControl/>
              <w:shd w:val="clear" w:color="auto" w:fill="FFFFFF"/>
              <w:spacing w:line="360" w:lineRule="auto"/>
              <w:ind w:firstLine="422"/>
              <w:rPr>
                <w:sz w:val="21"/>
                <w:szCs w:val="21"/>
                <w:highlight w:val="none"/>
              </w:rPr>
            </w:pPr>
            <w:r>
              <w:rPr>
                <w:rFonts w:hint="eastAsia"/>
                <w:b/>
                <w:bCs/>
                <w:sz w:val="21"/>
                <w:szCs w:val="21"/>
                <w:highlight w:val="none"/>
                <w:shd w:val="clear" w:color="auto" w:fill="FFFFFF"/>
                <w:lang w:val="en-US" w:bidi="ar"/>
              </w:rPr>
              <w:t>（3）获取电子招标文件</w:t>
            </w:r>
          </w:p>
          <w:p w14:paraId="3D2E3EA0">
            <w:pPr>
              <w:widowControl/>
              <w:shd w:val="clear" w:color="auto" w:fill="FFFFFF"/>
              <w:spacing w:line="360" w:lineRule="auto"/>
              <w:ind w:firstLine="420"/>
              <w:rPr>
                <w:sz w:val="21"/>
                <w:szCs w:val="21"/>
                <w:highlight w:val="none"/>
              </w:rPr>
            </w:pPr>
            <w:r>
              <w:rPr>
                <w:rFonts w:hint="eastAsia"/>
                <w:sz w:val="21"/>
                <w:szCs w:val="21"/>
                <w:highlight w:val="none"/>
                <w:shd w:val="clear" w:color="auto" w:fill="FFFFFF"/>
                <w:lang w:val="en-US" w:bidi="ar"/>
              </w:rPr>
              <w:t>在西安市公共资源交易平台（网址：</w:t>
            </w:r>
            <w:r>
              <w:rPr>
                <w:highlight w:val="none"/>
              </w:rPr>
              <w:fldChar w:fldCharType="begin"/>
            </w:r>
            <w:r>
              <w:rPr>
                <w:highlight w:val="none"/>
              </w:rPr>
              <w:instrText xml:space="preserve"> HYPERLINK "http://sxggzyjy.xa.gov.cn/" </w:instrText>
            </w:r>
            <w:r>
              <w:rPr>
                <w:highlight w:val="none"/>
              </w:rPr>
              <w:fldChar w:fldCharType="separate"/>
            </w:r>
            <w:r>
              <w:rPr>
                <w:rStyle w:val="50"/>
                <w:rFonts w:hint="eastAsia"/>
                <w:color w:val="auto"/>
                <w:sz w:val="21"/>
                <w:szCs w:val="21"/>
                <w:highlight w:val="none"/>
                <w:u w:val="none"/>
                <w:shd w:val="clear" w:color="auto" w:fill="FFFFFF"/>
              </w:rPr>
              <w:t>http://sxggzyjy.xa.gov.cn/</w:t>
            </w:r>
            <w:r>
              <w:rPr>
                <w:rStyle w:val="50"/>
                <w:rFonts w:hint="eastAsia"/>
                <w:color w:val="auto"/>
                <w:sz w:val="21"/>
                <w:szCs w:val="21"/>
                <w:highlight w:val="none"/>
                <w:u w:val="none"/>
                <w:shd w:val="clear" w:color="auto" w:fill="FFFFFF"/>
              </w:rPr>
              <w:fldChar w:fldCharType="end"/>
            </w:r>
            <w:r>
              <w:rPr>
                <w:rFonts w:hint="eastAsia"/>
                <w:sz w:val="21"/>
                <w:szCs w:val="21"/>
                <w:highlight w:val="none"/>
                <w:shd w:val="clear" w:color="auto" w:fill="FFFFFF"/>
                <w:lang w:val="en-US" w:bidi="ar"/>
              </w:rPr>
              <w:t>），〖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未在规定期限内通过西安市公共资源交易平台获取招标文件的</w:t>
            </w:r>
            <w:r>
              <w:rPr>
                <w:rFonts w:hint="eastAsia"/>
                <w:b/>
                <w:bCs/>
                <w:sz w:val="21"/>
                <w:szCs w:val="21"/>
                <w:highlight w:val="none"/>
                <w:shd w:val="clear" w:color="auto" w:fill="FFFFFF"/>
                <w:lang w:val="en-US" w:bidi="ar"/>
              </w:rPr>
              <w:t>投标无效</w:t>
            </w:r>
            <w:r>
              <w:rPr>
                <w:rFonts w:hint="eastAsia"/>
                <w:sz w:val="21"/>
                <w:szCs w:val="21"/>
                <w:highlight w:val="none"/>
                <w:shd w:val="clear" w:color="auto" w:fill="FFFFFF"/>
                <w:lang w:val="en-US" w:bidi="ar"/>
              </w:rPr>
              <w:t>。</w:t>
            </w:r>
          </w:p>
          <w:p w14:paraId="09A65795">
            <w:pPr>
              <w:widowControl/>
              <w:shd w:val="clear" w:color="auto" w:fill="FFFFFF"/>
              <w:spacing w:line="360" w:lineRule="auto"/>
              <w:ind w:right="-197" w:firstLine="422"/>
              <w:rPr>
                <w:sz w:val="21"/>
                <w:szCs w:val="21"/>
                <w:highlight w:val="none"/>
              </w:rPr>
            </w:pPr>
            <w:r>
              <w:rPr>
                <w:rFonts w:hint="eastAsia"/>
                <w:b/>
                <w:bCs/>
                <w:sz w:val="21"/>
                <w:szCs w:val="21"/>
                <w:highlight w:val="none"/>
                <w:shd w:val="clear" w:color="auto" w:fill="FFFFFF"/>
                <w:lang w:val="en-US" w:bidi="ar"/>
              </w:rPr>
              <w:t>（4）编制电子投标文件</w:t>
            </w:r>
          </w:p>
          <w:p w14:paraId="6D297E7D">
            <w:pPr>
              <w:widowControl/>
              <w:shd w:val="clear" w:color="auto" w:fill="FFFFFF"/>
              <w:spacing w:line="360" w:lineRule="auto"/>
              <w:ind w:right="-197" w:firstLine="420"/>
              <w:rPr>
                <w:sz w:val="21"/>
                <w:szCs w:val="21"/>
                <w:highlight w:val="none"/>
              </w:rPr>
            </w:pPr>
            <w:r>
              <w:rPr>
                <w:rFonts w:hint="eastAsia"/>
                <w:sz w:val="21"/>
                <w:szCs w:val="21"/>
                <w:highlight w:val="none"/>
                <w:shd w:val="clear" w:color="auto" w:fill="FFFFFF"/>
                <w:lang w:val="en-US" w:bidi="ar"/>
              </w:rPr>
              <w:t>制作电子投标文件（*.SXSTF）需要使用专用制作工具。软件下载及操作说明详见西安市公共资源交易平台〖首页·〉服务指南·〉下载专区〗中的《政府采购项目投标文件制作软件及操作手册》。投标人电子投标文件需要加密并加盖电子签章。</w:t>
            </w:r>
          </w:p>
          <w:p w14:paraId="60A10110">
            <w:pPr>
              <w:widowControl/>
              <w:shd w:val="clear" w:color="auto" w:fill="FFFFFF"/>
              <w:spacing w:line="360" w:lineRule="auto"/>
              <w:ind w:right="-197" w:firstLine="420"/>
              <w:rPr>
                <w:sz w:val="21"/>
                <w:szCs w:val="21"/>
                <w:highlight w:val="none"/>
              </w:rPr>
            </w:pPr>
            <w:r>
              <w:rPr>
                <w:rFonts w:hint="eastAsia"/>
                <w:sz w:val="21"/>
                <w:szCs w:val="21"/>
                <w:highlight w:val="none"/>
                <w:shd w:val="clear" w:color="auto" w:fill="FFFFFF"/>
                <w:lang w:val="en-US" w:bidi="ar"/>
              </w:rPr>
              <w:t>提交投标文件截止时间前，投标人应随时留意《陕西省政府采购网》、《西安市公共资源交易平台》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31174C76">
            <w:pPr>
              <w:widowControl/>
              <w:shd w:val="clear" w:color="auto" w:fill="FFFFFF"/>
              <w:spacing w:line="360" w:lineRule="auto"/>
              <w:ind w:right="-197" w:firstLine="422"/>
              <w:rPr>
                <w:sz w:val="21"/>
                <w:szCs w:val="21"/>
                <w:highlight w:val="none"/>
              </w:rPr>
            </w:pPr>
            <w:r>
              <w:rPr>
                <w:rFonts w:hint="eastAsia"/>
                <w:b/>
                <w:bCs/>
                <w:sz w:val="21"/>
                <w:szCs w:val="21"/>
                <w:highlight w:val="none"/>
                <w:shd w:val="clear" w:color="auto" w:fill="FFFFFF"/>
                <w:lang w:val="en-US" w:bidi="ar"/>
              </w:rPr>
              <w:t>（5）提交电子投标文件</w:t>
            </w:r>
          </w:p>
          <w:p w14:paraId="54DE4D78">
            <w:pPr>
              <w:widowControl/>
              <w:shd w:val="clear" w:color="auto" w:fill="FFFFFF"/>
              <w:spacing w:line="360" w:lineRule="auto"/>
              <w:ind w:right="-197" w:firstLine="420"/>
              <w:rPr>
                <w:sz w:val="21"/>
                <w:szCs w:val="21"/>
                <w:highlight w:val="none"/>
              </w:rPr>
            </w:pPr>
            <w:r>
              <w:rPr>
                <w:rFonts w:hint="eastAsia"/>
                <w:sz w:val="21"/>
                <w:szCs w:val="21"/>
                <w:highlight w:val="none"/>
                <w:shd w:val="clear" w:color="auto" w:fill="FFFFFF"/>
                <w:lang w:val="en-US" w:bidi="ar"/>
              </w:rPr>
              <w:t>本项目采用线上投标方式，不接受投标人递交的纸质投标文件。投标人应于投标截止时间前，将电子投标文件成功提交（上传）到西安市公共资源交易平台，上传电子投标文件过程中请保持与互联网的连接畅通，对于逾期提交（上传）的，系统将不予接受。投标人在西安市公共资源交易平台〖首页·〉电子交易平台·〉陕西政府采购交易系统·〉企业端〗登录，登录后切换到〖我的项目〗模块，依次点选〖项目流程·〉项目管理·〉上传响应文件〗上传加密后的电子投标文件（*.SXSTF）。</w:t>
            </w:r>
          </w:p>
          <w:p w14:paraId="2F2420C4">
            <w:pPr>
              <w:widowControl/>
              <w:shd w:val="clear" w:color="auto" w:fill="FFFFFF"/>
              <w:spacing w:line="360" w:lineRule="auto"/>
              <w:ind w:firstLine="422"/>
              <w:rPr>
                <w:sz w:val="21"/>
                <w:szCs w:val="21"/>
                <w:highlight w:val="none"/>
              </w:rPr>
            </w:pPr>
            <w:r>
              <w:rPr>
                <w:rFonts w:hint="eastAsia"/>
                <w:b/>
                <w:bCs/>
                <w:sz w:val="21"/>
                <w:szCs w:val="21"/>
                <w:highlight w:val="none"/>
                <w:shd w:val="clear" w:color="auto" w:fill="FFFFFF"/>
                <w:lang w:val="en-US" w:bidi="ar"/>
              </w:rPr>
              <w:t>（6）电子开标形式</w:t>
            </w:r>
          </w:p>
          <w:p w14:paraId="55A9B0FA">
            <w:pPr>
              <w:widowControl/>
              <w:shd w:val="clear" w:color="auto" w:fill="FFFFFF"/>
              <w:spacing w:line="360" w:lineRule="auto"/>
              <w:ind w:firstLine="420"/>
              <w:rPr>
                <w:sz w:val="21"/>
                <w:szCs w:val="21"/>
                <w:highlight w:val="none"/>
                <w:shd w:val="clear" w:color="auto" w:fill="FFFFFF"/>
                <w:lang w:val="en-US" w:bidi="ar"/>
              </w:rPr>
            </w:pPr>
            <w:r>
              <w:rPr>
                <w:rFonts w:hint="eastAsia"/>
                <w:sz w:val="21"/>
                <w:szCs w:val="21"/>
                <w:highlight w:val="none"/>
                <w:shd w:val="clear" w:color="auto" w:fill="FFFFFF"/>
                <w:lang w:val="en-US" w:bidi="ar"/>
              </w:rPr>
              <w:t>本项目采用“不见面开标”形式，投标人持CA锁远程在线解密电子投标文件。操作说明详见平台〖首页·〉服务指南·〉下载专区〗中的《西安公共资源交易不见面开标大厅投标人操作手册》。</w:t>
            </w:r>
          </w:p>
        </w:tc>
      </w:tr>
      <w:tr w14:paraId="71EB2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60" w:type="dxa"/>
          </w:tcPr>
          <w:p w14:paraId="581E1C60">
            <w:pPr>
              <w:pStyle w:val="71"/>
              <w:spacing w:before="12"/>
              <w:rPr>
                <w:sz w:val="21"/>
                <w:szCs w:val="21"/>
                <w:highlight w:val="none"/>
                <w:shd w:val="clear" w:color="auto" w:fill="FFFFFF"/>
                <w:lang w:val="en-US" w:bidi="ar"/>
              </w:rPr>
            </w:pPr>
          </w:p>
          <w:p w14:paraId="510FA1DC">
            <w:pPr>
              <w:pStyle w:val="71"/>
              <w:ind w:left="159" w:right="150"/>
              <w:jc w:val="center"/>
              <w:rPr>
                <w:sz w:val="21"/>
                <w:szCs w:val="21"/>
                <w:highlight w:val="none"/>
                <w:shd w:val="clear" w:color="auto" w:fill="FFFFFF"/>
                <w:lang w:val="en-US" w:bidi="ar"/>
              </w:rPr>
            </w:pPr>
            <w:r>
              <w:rPr>
                <w:rFonts w:hint="eastAsia"/>
                <w:sz w:val="21"/>
                <w:szCs w:val="21"/>
                <w:highlight w:val="none"/>
                <w:shd w:val="clear" w:color="auto" w:fill="FFFFFF"/>
                <w:lang w:val="en-US" w:bidi="ar"/>
              </w:rPr>
              <w:t>4.2.1</w:t>
            </w:r>
          </w:p>
        </w:tc>
        <w:tc>
          <w:tcPr>
            <w:tcW w:w="1830" w:type="dxa"/>
          </w:tcPr>
          <w:p w14:paraId="0D22BAB5">
            <w:pPr>
              <w:pStyle w:val="71"/>
              <w:spacing w:before="128"/>
              <w:ind w:left="174"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递交投标文件</w:t>
            </w:r>
          </w:p>
          <w:p w14:paraId="57896277">
            <w:pPr>
              <w:pStyle w:val="71"/>
              <w:spacing w:before="153"/>
              <w:ind w:left="174"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地点</w:t>
            </w:r>
          </w:p>
        </w:tc>
        <w:tc>
          <w:tcPr>
            <w:tcW w:w="7076" w:type="dxa"/>
          </w:tcPr>
          <w:p w14:paraId="5D77ED3B">
            <w:pPr>
              <w:pStyle w:val="71"/>
              <w:spacing w:before="128" w:line="360" w:lineRule="auto"/>
              <w:ind w:left="106"/>
              <w:rPr>
                <w:sz w:val="21"/>
                <w:szCs w:val="21"/>
                <w:highlight w:val="none"/>
                <w:shd w:val="clear" w:color="auto" w:fill="FFFFFF"/>
                <w:lang w:val="en-US" w:bidi="ar"/>
              </w:rPr>
            </w:pPr>
            <w:r>
              <w:rPr>
                <w:rFonts w:hint="eastAsia"/>
                <w:sz w:val="21"/>
                <w:szCs w:val="21"/>
                <w:highlight w:val="none"/>
                <w:shd w:val="clear" w:color="auto" w:fill="FFFFFF"/>
                <w:lang w:val="en-US" w:bidi="ar"/>
              </w:rPr>
              <w:t>本项目采用不见面开标，电子投标文件上传至全国公共资源交易平台(陕西省·西安市)。</w:t>
            </w:r>
          </w:p>
        </w:tc>
      </w:tr>
      <w:tr w14:paraId="47299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960" w:type="dxa"/>
          </w:tcPr>
          <w:p w14:paraId="0973A42F">
            <w:pPr>
              <w:pStyle w:val="71"/>
              <w:rPr>
                <w:sz w:val="21"/>
                <w:szCs w:val="21"/>
                <w:highlight w:val="none"/>
                <w:shd w:val="clear" w:color="auto" w:fill="FFFFFF"/>
                <w:lang w:val="en-US" w:bidi="ar"/>
              </w:rPr>
            </w:pPr>
          </w:p>
          <w:p w14:paraId="7B3DF4B3">
            <w:pPr>
              <w:pStyle w:val="71"/>
              <w:rPr>
                <w:sz w:val="21"/>
                <w:szCs w:val="21"/>
                <w:highlight w:val="none"/>
                <w:shd w:val="clear" w:color="auto" w:fill="FFFFFF"/>
                <w:lang w:val="en-US" w:bidi="ar"/>
              </w:rPr>
            </w:pPr>
          </w:p>
          <w:p w14:paraId="1498D583">
            <w:pPr>
              <w:pStyle w:val="71"/>
              <w:spacing w:before="1"/>
              <w:ind w:left="159" w:right="150"/>
              <w:jc w:val="center"/>
              <w:rPr>
                <w:sz w:val="21"/>
                <w:szCs w:val="21"/>
                <w:highlight w:val="none"/>
                <w:shd w:val="clear" w:color="auto" w:fill="FFFFFF"/>
                <w:lang w:val="en-US" w:bidi="ar"/>
              </w:rPr>
            </w:pPr>
            <w:r>
              <w:rPr>
                <w:rFonts w:hint="eastAsia"/>
                <w:sz w:val="21"/>
                <w:szCs w:val="21"/>
                <w:highlight w:val="none"/>
                <w:shd w:val="clear" w:color="auto" w:fill="FFFFFF"/>
                <w:lang w:val="en-US" w:bidi="ar"/>
              </w:rPr>
              <w:t>5.1</w:t>
            </w:r>
          </w:p>
        </w:tc>
        <w:tc>
          <w:tcPr>
            <w:tcW w:w="1830" w:type="dxa"/>
          </w:tcPr>
          <w:p w14:paraId="4D1A27CC">
            <w:pPr>
              <w:pStyle w:val="71"/>
              <w:spacing w:before="1"/>
              <w:rPr>
                <w:sz w:val="21"/>
                <w:szCs w:val="21"/>
                <w:highlight w:val="none"/>
                <w:shd w:val="clear" w:color="auto" w:fill="FFFFFF"/>
                <w:lang w:val="en-US" w:bidi="ar"/>
              </w:rPr>
            </w:pPr>
          </w:p>
          <w:p w14:paraId="498B94EF">
            <w:pPr>
              <w:pStyle w:val="71"/>
              <w:spacing w:line="357" w:lineRule="auto"/>
              <w:ind w:left="794" w:right="183" w:hanging="600"/>
              <w:rPr>
                <w:sz w:val="21"/>
                <w:szCs w:val="21"/>
                <w:highlight w:val="none"/>
                <w:shd w:val="clear" w:color="auto" w:fill="FFFFFF"/>
                <w:lang w:val="en-US" w:bidi="ar"/>
              </w:rPr>
            </w:pPr>
            <w:r>
              <w:rPr>
                <w:rFonts w:hint="eastAsia"/>
                <w:sz w:val="21"/>
                <w:szCs w:val="21"/>
                <w:highlight w:val="none"/>
                <w:shd w:val="clear" w:color="auto" w:fill="FFFFFF"/>
                <w:lang w:val="en-US" w:bidi="ar"/>
              </w:rPr>
              <w:t>开标时间和地点</w:t>
            </w:r>
          </w:p>
        </w:tc>
        <w:tc>
          <w:tcPr>
            <w:tcW w:w="7076" w:type="dxa"/>
          </w:tcPr>
          <w:p w14:paraId="35E610E8">
            <w:pPr>
              <w:pStyle w:val="71"/>
              <w:spacing w:before="129"/>
              <w:ind w:left="106"/>
              <w:rPr>
                <w:sz w:val="21"/>
                <w:szCs w:val="21"/>
                <w:highlight w:val="none"/>
                <w:shd w:val="clear" w:color="auto" w:fill="FFFFFF"/>
                <w:lang w:val="en-US" w:bidi="ar"/>
              </w:rPr>
            </w:pPr>
            <w:r>
              <w:rPr>
                <w:rFonts w:hint="eastAsia"/>
                <w:sz w:val="21"/>
                <w:szCs w:val="21"/>
                <w:highlight w:val="none"/>
                <w:shd w:val="clear" w:color="auto" w:fill="FFFFFF"/>
                <w:lang w:val="en-US" w:bidi="ar"/>
              </w:rPr>
              <w:t>开标时间：202</w:t>
            </w:r>
            <w:r>
              <w:rPr>
                <w:rFonts w:hint="eastAsia"/>
                <w:sz w:val="21"/>
                <w:szCs w:val="21"/>
                <w:highlight w:val="none"/>
                <w:shd w:val="clear" w:color="auto" w:fill="FFFFFF"/>
                <w:lang w:val="en-US" w:eastAsia="zh-CN" w:bidi="ar"/>
              </w:rPr>
              <w:t xml:space="preserve">4 </w:t>
            </w:r>
            <w:r>
              <w:rPr>
                <w:rFonts w:hint="eastAsia"/>
                <w:sz w:val="21"/>
                <w:szCs w:val="21"/>
                <w:highlight w:val="none"/>
                <w:shd w:val="clear" w:color="auto" w:fill="FFFFFF"/>
                <w:lang w:val="en-US" w:bidi="ar"/>
              </w:rPr>
              <w:t xml:space="preserve">年 </w:t>
            </w:r>
            <w:r>
              <w:rPr>
                <w:rFonts w:hint="eastAsia"/>
                <w:sz w:val="21"/>
                <w:szCs w:val="21"/>
                <w:highlight w:val="none"/>
                <w:shd w:val="clear" w:color="auto" w:fill="FFFFFF"/>
                <w:lang w:val="en-US" w:eastAsia="zh-CN" w:bidi="ar"/>
              </w:rPr>
              <w:t>7</w:t>
            </w:r>
            <w:r>
              <w:rPr>
                <w:rFonts w:hint="eastAsia"/>
                <w:sz w:val="21"/>
                <w:szCs w:val="21"/>
                <w:highlight w:val="none"/>
                <w:shd w:val="clear" w:color="auto" w:fill="FFFFFF"/>
                <w:lang w:val="en-US" w:bidi="ar"/>
              </w:rPr>
              <w:t xml:space="preserve"> 月</w:t>
            </w:r>
            <w:r>
              <w:rPr>
                <w:rFonts w:hint="eastAsia"/>
                <w:sz w:val="21"/>
                <w:szCs w:val="21"/>
                <w:highlight w:val="none"/>
                <w:shd w:val="clear" w:color="auto" w:fill="FFFFFF"/>
                <w:lang w:val="en-US" w:eastAsia="zh-CN" w:bidi="ar"/>
              </w:rPr>
              <w:t xml:space="preserve"> 24 </w:t>
            </w:r>
            <w:r>
              <w:rPr>
                <w:rFonts w:hint="eastAsia"/>
                <w:sz w:val="21"/>
                <w:szCs w:val="21"/>
                <w:highlight w:val="none"/>
                <w:shd w:val="clear" w:color="auto" w:fill="FFFFFF"/>
                <w:lang w:val="en-US" w:bidi="ar"/>
              </w:rPr>
              <w:t>日 09:30 时（同投标截止时间）</w:t>
            </w:r>
          </w:p>
          <w:p w14:paraId="337CD0B2">
            <w:pPr>
              <w:pStyle w:val="71"/>
              <w:spacing w:before="1" w:line="460" w:lineRule="atLeast"/>
              <w:ind w:left="106" w:right="-29"/>
              <w:rPr>
                <w:sz w:val="21"/>
                <w:szCs w:val="21"/>
                <w:highlight w:val="none"/>
                <w:shd w:val="clear" w:color="auto" w:fill="FFFFFF"/>
                <w:lang w:val="en-US" w:bidi="ar"/>
              </w:rPr>
            </w:pPr>
            <w:r>
              <w:rPr>
                <w:rFonts w:hint="eastAsia"/>
                <w:sz w:val="21"/>
                <w:szCs w:val="21"/>
                <w:highlight w:val="none"/>
                <w:shd w:val="clear" w:color="auto" w:fill="FFFFFF"/>
                <w:lang w:val="en-US" w:bidi="ar"/>
              </w:rPr>
              <w:t>开标地点：全国公共资源交易平台（陕西省·西安市）网站〖首页〉电子交易平台〉陕西政府采购交易系统〉企业端〗不见面开标大厅。</w:t>
            </w:r>
          </w:p>
        </w:tc>
      </w:tr>
      <w:tr w14:paraId="35593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960" w:type="dxa"/>
          </w:tcPr>
          <w:p w14:paraId="23EB47F5">
            <w:pPr>
              <w:pStyle w:val="71"/>
              <w:rPr>
                <w:sz w:val="21"/>
                <w:szCs w:val="21"/>
                <w:highlight w:val="none"/>
                <w:shd w:val="clear" w:color="auto" w:fill="FFFFFF"/>
                <w:lang w:val="en-US" w:bidi="ar"/>
              </w:rPr>
            </w:pPr>
          </w:p>
          <w:p w14:paraId="4340905F">
            <w:pPr>
              <w:pStyle w:val="71"/>
              <w:rPr>
                <w:sz w:val="21"/>
                <w:szCs w:val="21"/>
                <w:highlight w:val="none"/>
                <w:shd w:val="clear" w:color="auto" w:fill="FFFFFF"/>
                <w:lang w:val="en-US" w:bidi="ar"/>
              </w:rPr>
            </w:pPr>
          </w:p>
          <w:p w14:paraId="21859F18">
            <w:pPr>
              <w:pStyle w:val="71"/>
              <w:spacing w:before="203"/>
              <w:ind w:left="159" w:right="150"/>
              <w:jc w:val="center"/>
              <w:rPr>
                <w:sz w:val="21"/>
                <w:szCs w:val="21"/>
                <w:highlight w:val="none"/>
                <w:shd w:val="clear" w:color="auto" w:fill="FFFFFF"/>
                <w:lang w:val="en-US" w:bidi="ar"/>
              </w:rPr>
            </w:pPr>
            <w:r>
              <w:rPr>
                <w:rFonts w:hint="eastAsia"/>
                <w:sz w:val="21"/>
                <w:szCs w:val="21"/>
                <w:highlight w:val="none"/>
                <w:shd w:val="clear" w:color="auto" w:fill="FFFFFF"/>
                <w:lang w:val="en-US" w:bidi="ar"/>
              </w:rPr>
              <w:t>6.1.1</w:t>
            </w:r>
          </w:p>
        </w:tc>
        <w:tc>
          <w:tcPr>
            <w:tcW w:w="1830" w:type="dxa"/>
          </w:tcPr>
          <w:p w14:paraId="1AB92234">
            <w:pPr>
              <w:pStyle w:val="71"/>
              <w:rPr>
                <w:sz w:val="21"/>
                <w:szCs w:val="21"/>
                <w:highlight w:val="none"/>
                <w:shd w:val="clear" w:color="auto" w:fill="FFFFFF"/>
                <w:lang w:val="en-US" w:bidi="ar"/>
              </w:rPr>
            </w:pPr>
          </w:p>
          <w:p w14:paraId="73E78411">
            <w:pPr>
              <w:pStyle w:val="71"/>
              <w:rPr>
                <w:sz w:val="21"/>
                <w:szCs w:val="21"/>
                <w:highlight w:val="none"/>
                <w:shd w:val="clear" w:color="auto" w:fill="FFFFFF"/>
                <w:lang w:val="en-US" w:bidi="ar"/>
              </w:rPr>
            </w:pPr>
          </w:p>
          <w:p w14:paraId="29708D1D">
            <w:pPr>
              <w:pStyle w:val="71"/>
              <w:spacing w:before="1" w:line="357" w:lineRule="auto"/>
              <w:ind w:left="674" w:right="183" w:hanging="480"/>
              <w:rPr>
                <w:sz w:val="21"/>
                <w:szCs w:val="21"/>
                <w:highlight w:val="none"/>
                <w:shd w:val="clear" w:color="auto" w:fill="FFFFFF"/>
                <w:lang w:val="en-US" w:bidi="ar"/>
              </w:rPr>
            </w:pPr>
            <w:r>
              <w:rPr>
                <w:rFonts w:hint="eastAsia"/>
                <w:sz w:val="21"/>
                <w:szCs w:val="21"/>
                <w:highlight w:val="none"/>
                <w:shd w:val="clear" w:color="auto" w:fill="FFFFFF"/>
                <w:lang w:val="en-US" w:bidi="ar"/>
              </w:rPr>
              <w:t>评标委员会的组建</w:t>
            </w:r>
          </w:p>
        </w:tc>
        <w:tc>
          <w:tcPr>
            <w:tcW w:w="7076" w:type="dxa"/>
          </w:tcPr>
          <w:p w14:paraId="50122398">
            <w:pPr>
              <w:pStyle w:val="71"/>
              <w:spacing w:before="129"/>
              <w:ind w:left="106"/>
              <w:rPr>
                <w:sz w:val="21"/>
                <w:szCs w:val="21"/>
                <w:highlight w:val="none"/>
                <w:shd w:val="clear" w:color="auto" w:fill="FFFFFF"/>
                <w:lang w:val="en-US" w:bidi="ar"/>
              </w:rPr>
            </w:pPr>
            <w:r>
              <w:rPr>
                <w:rFonts w:hint="eastAsia"/>
                <w:sz w:val="21"/>
                <w:szCs w:val="21"/>
                <w:highlight w:val="none"/>
                <w:shd w:val="clear" w:color="auto" w:fill="FFFFFF"/>
                <w:lang w:val="en-US" w:bidi="ar"/>
              </w:rPr>
              <w:t>评标委员会组建：依法组成。</w:t>
            </w:r>
          </w:p>
          <w:p w14:paraId="58AFFF40">
            <w:pPr>
              <w:pStyle w:val="71"/>
              <w:spacing w:before="153"/>
              <w:ind w:left="106"/>
              <w:rPr>
                <w:sz w:val="21"/>
                <w:szCs w:val="21"/>
                <w:highlight w:val="none"/>
                <w:shd w:val="clear" w:color="auto" w:fill="FFFFFF"/>
                <w:lang w:val="en-US" w:bidi="ar"/>
              </w:rPr>
            </w:pPr>
            <w:r>
              <w:rPr>
                <w:rFonts w:hint="eastAsia"/>
                <w:sz w:val="21"/>
                <w:szCs w:val="21"/>
                <w:highlight w:val="none"/>
                <w:shd w:val="clear" w:color="auto" w:fill="FFFFFF"/>
                <w:lang w:val="en-US" w:bidi="ar"/>
              </w:rPr>
              <w:t xml:space="preserve">评标委员会构成： </w:t>
            </w:r>
            <w:r>
              <w:rPr>
                <w:rFonts w:hint="eastAsia"/>
                <w:sz w:val="21"/>
                <w:szCs w:val="21"/>
                <w:highlight w:val="none"/>
                <w:shd w:val="clear" w:color="auto" w:fill="FFFFFF"/>
                <w:lang w:val="en-US" w:eastAsia="zh-CN" w:bidi="ar"/>
              </w:rPr>
              <w:t>5</w:t>
            </w:r>
            <w:r>
              <w:rPr>
                <w:rFonts w:hint="eastAsia"/>
                <w:sz w:val="21"/>
                <w:szCs w:val="21"/>
                <w:highlight w:val="none"/>
                <w:shd w:val="clear" w:color="auto" w:fill="FFFFFF"/>
                <w:lang w:val="en-US" w:bidi="ar"/>
              </w:rPr>
              <w:t xml:space="preserve"> 人，甲方代表</w:t>
            </w:r>
            <w:r>
              <w:rPr>
                <w:rFonts w:hint="eastAsia"/>
                <w:sz w:val="21"/>
                <w:szCs w:val="21"/>
                <w:highlight w:val="none"/>
                <w:shd w:val="clear" w:color="auto" w:fill="FFFFFF"/>
                <w:lang w:val="en-US" w:eastAsia="zh-CN" w:bidi="ar"/>
              </w:rPr>
              <w:t xml:space="preserve"> 1</w:t>
            </w:r>
            <w:r>
              <w:rPr>
                <w:rFonts w:hint="eastAsia"/>
                <w:sz w:val="21"/>
                <w:szCs w:val="21"/>
                <w:highlight w:val="none"/>
                <w:shd w:val="clear" w:color="auto" w:fill="FFFFFF"/>
                <w:lang w:val="en-US" w:bidi="ar"/>
              </w:rPr>
              <w:t xml:space="preserve"> 名，专家 </w:t>
            </w:r>
            <w:r>
              <w:rPr>
                <w:rFonts w:hint="eastAsia"/>
                <w:sz w:val="21"/>
                <w:szCs w:val="21"/>
                <w:highlight w:val="none"/>
                <w:shd w:val="clear" w:color="auto" w:fill="FFFFFF"/>
                <w:lang w:val="en-US" w:eastAsia="zh-CN" w:bidi="ar"/>
              </w:rPr>
              <w:t>4</w:t>
            </w:r>
            <w:r>
              <w:rPr>
                <w:rFonts w:hint="eastAsia"/>
                <w:sz w:val="21"/>
                <w:szCs w:val="21"/>
                <w:highlight w:val="none"/>
                <w:shd w:val="clear" w:color="auto" w:fill="FFFFFF"/>
                <w:lang w:val="en-US" w:bidi="ar"/>
              </w:rPr>
              <w:t xml:space="preserve"> 名。</w:t>
            </w:r>
          </w:p>
          <w:p w14:paraId="369D3656">
            <w:pPr>
              <w:pStyle w:val="71"/>
              <w:spacing w:before="23" w:line="460" w:lineRule="exact"/>
              <w:ind w:left="106" w:right="117"/>
              <w:rPr>
                <w:sz w:val="21"/>
                <w:szCs w:val="21"/>
                <w:highlight w:val="none"/>
                <w:shd w:val="clear" w:color="auto" w:fill="FFFFFF"/>
                <w:lang w:val="en-US" w:bidi="ar"/>
              </w:rPr>
            </w:pPr>
            <w:r>
              <w:rPr>
                <w:rFonts w:hint="eastAsia"/>
                <w:sz w:val="21"/>
                <w:szCs w:val="21"/>
                <w:highlight w:val="none"/>
                <w:shd w:val="clear" w:color="auto" w:fill="FFFFFF"/>
                <w:lang w:val="en-US" w:bidi="ar"/>
              </w:rPr>
              <w:t>评标专家确定方式：评标</w:t>
            </w:r>
            <w:r>
              <w:rPr>
                <w:rFonts w:hint="eastAsia"/>
                <w:sz w:val="21"/>
                <w:szCs w:val="21"/>
                <w:highlight w:val="none"/>
                <w:shd w:val="clear" w:color="auto" w:fill="FFFFFF"/>
                <w:lang w:val="en-US" w:eastAsia="zh-CN" w:bidi="ar"/>
              </w:rPr>
              <w:t>当天在</w:t>
            </w:r>
            <w:r>
              <w:rPr>
                <w:rFonts w:hint="eastAsia"/>
                <w:sz w:val="21"/>
                <w:szCs w:val="21"/>
                <w:highlight w:val="none"/>
                <w:shd w:val="clear" w:color="auto" w:fill="FFFFFF"/>
                <w:lang w:val="en-US" w:bidi="ar"/>
              </w:rPr>
              <w:t>内在省级财政部门设立的政府采购评审专家库中随机抽取技术、经济方面的专家。</w:t>
            </w:r>
          </w:p>
        </w:tc>
      </w:tr>
      <w:tr w14:paraId="34B32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960" w:type="dxa"/>
          </w:tcPr>
          <w:p w14:paraId="5040BB9F">
            <w:pPr>
              <w:pStyle w:val="71"/>
              <w:rPr>
                <w:sz w:val="21"/>
                <w:szCs w:val="21"/>
                <w:highlight w:val="none"/>
                <w:shd w:val="clear" w:color="auto" w:fill="FFFFFF"/>
                <w:lang w:val="en-US" w:bidi="ar"/>
              </w:rPr>
            </w:pPr>
          </w:p>
          <w:p w14:paraId="160FFB3B">
            <w:pPr>
              <w:pStyle w:val="71"/>
              <w:spacing w:before="11"/>
              <w:rPr>
                <w:sz w:val="21"/>
                <w:szCs w:val="21"/>
                <w:highlight w:val="none"/>
                <w:shd w:val="clear" w:color="auto" w:fill="FFFFFF"/>
                <w:lang w:val="en-US" w:bidi="ar"/>
              </w:rPr>
            </w:pPr>
          </w:p>
          <w:p w14:paraId="71DB7031">
            <w:pPr>
              <w:pStyle w:val="71"/>
              <w:ind w:left="159" w:right="150"/>
              <w:jc w:val="center"/>
              <w:rPr>
                <w:sz w:val="21"/>
                <w:szCs w:val="21"/>
                <w:highlight w:val="none"/>
                <w:shd w:val="clear" w:color="auto" w:fill="FFFFFF"/>
                <w:lang w:val="en-US" w:bidi="ar"/>
              </w:rPr>
            </w:pPr>
            <w:r>
              <w:rPr>
                <w:rFonts w:hint="eastAsia"/>
                <w:sz w:val="21"/>
                <w:szCs w:val="21"/>
                <w:highlight w:val="none"/>
                <w:shd w:val="clear" w:color="auto" w:fill="FFFFFF"/>
                <w:lang w:val="en-US" w:bidi="ar"/>
              </w:rPr>
              <w:t>7.1</w:t>
            </w:r>
          </w:p>
        </w:tc>
        <w:tc>
          <w:tcPr>
            <w:tcW w:w="1830" w:type="dxa"/>
          </w:tcPr>
          <w:p w14:paraId="4B7E3BE5">
            <w:pPr>
              <w:pStyle w:val="71"/>
              <w:spacing w:before="130" w:line="357" w:lineRule="auto"/>
              <w:ind w:left="194" w:right="183"/>
              <w:jc w:val="center"/>
              <w:rPr>
                <w:sz w:val="21"/>
                <w:szCs w:val="21"/>
                <w:highlight w:val="none"/>
                <w:shd w:val="clear" w:color="auto" w:fill="FFFFFF"/>
                <w:lang w:val="en-US" w:bidi="ar"/>
              </w:rPr>
            </w:pPr>
            <w:r>
              <w:rPr>
                <w:rFonts w:hint="eastAsia"/>
                <w:sz w:val="21"/>
                <w:szCs w:val="21"/>
                <w:highlight w:val="none"/>
                <w:shd w:val="clear" w:color="auto" w:fill="FFFFFF"/>
                <w:lang w:val="en-US" w:bidi="ar"/>
              </w:rPr>
              <w:t>是否授权评标委员会确定中</w:t>
            </w:r>
          </w:p>
          <w:p w14:paraId="02C7C90F">
            <w:pPr>
              <w:pStyle w:val="71"/>
              <w:spacing w:before="2"/>
              <w:ind w:left="174" w:right="166"/>
              <w:jc w:val="center"/>
              <w:rPr>
                <w:sz w:val="21"/>
                <w:szCs w:val="21"/>
                <w:highlight w:val="none"/>
                <w:shd w:val="clear" w:color="auto" w:fill="FFFFFF"/>
                <w:lang w:val="en-US" w:bidi="ar"/>
              </w:rPr>
            </w:pPr>
            <w:r>
              <w:rPr>
                <w:rFonts w:hint="eastAsia"/>
                <w:sz w:val="21"/>
                <w:szCs w:val="21"/>
                <w:highlight w:val="none"/>
                <w:shd w:val="clear" w:color="auto" w:fill="FFFFFF"/>
                <w:lang w:val="en-US" w:bidi="ar"/>
              </w:rPr>
              <w:t>标人</w:t>
            </w:r>
          </w:p>
        </w:tc>
        <w:tc>
          <w:tcPr>
            <w:tcW w:w="7076" w:type="dxa"/>
          </w:tcPr>
          <w:p w14:paraId="53C7C299">
            <w:pPr>
              <w:pStyle w:val="71"/>
              <w:rPr>
                <w:sz w:val="21"/>
                <w:szCs w:val="21"/>
                <w:highlight w:val="none"/>
                <w:shd w:val="clear" w:color="auto" w:fill="FFFFFF"/>
                <w:lang w:val="en-US" w:bidi="ar"/>
              </w:rPr>
            </w:pPr>
          </w:p>
          <w:p w14:paraId="49ECBDEC">
            <w:pPr>
              <w:pStyle w:val="71"/>
              <w:spacing w:before="11"/>
              <w:rPr>
                <w:sz w:val="21"/>
                <w:szCs w:val="21"/>
                <w:highlight w:val="none"/>
                <w:shd w:val="clear" w:color="auto" w:fill="FFFFFF"/>
                <w:lang w:val="en-US" w:bidi="ar"/>
              </w:rPr>
            </w:pPr>
          </w:p>
          <w:p w14:paraId="4C9B1609">
            <w:pPr>
              <w:pStyle w:val="71"/>
              <w:ind w:left="106"/>
              <w:rPr>
                <w:sz w:val="21"/>
                <w:szCs w:val="21"/>
                <w:highlight w:val="none"/>
                <w:shd w:val="clear" w:color="auto" w:fill="FFFFFF"/>
                <w:lang w:val="en-US" w:bidi="ar"/>
              </w:rPr>
            </w:pPr>
            <w:r>
              <w:rPr>
                <w:rFonts w:hint="eastAsia"/>
                <w:sz w:val="21"/>
                <w:szCs w:val="21"/>
                <w:highlight w:val="none"/>
                <w:shd w:val="clear" w:color="auto" w:fill="FFFFFF"/>
                <w:lang w:val="en-US" w:bidi="ar"/>
              </w:rPr>
              <w:t>否，由评标委员会推选得分较高的前三名为中标候选人</w:t>
            </w:r>
          </w:p>
        </w:tc>
      </w:tr>
      <w:tr w14:paraId="655C5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960" w:type="dxa"/>
          </w:tcPr>
          <w:p w14:paraId="4A2F32F9">
            <w:pPr>
              <w:pStyle w:val="71"/>
              <w:spacing w:before="5"/>
              <w:rPr>
                <w:sz w:val="21"/>
                <w:szCs w:val="21"/>
                <w:highlight w:val="none"/>
                <w:shd w:val="clear" w:color="auto" w:fill="FFFFFF"/>
                <w:lang w:val="en-US" w:bidi="ar"/>
              </w:rPr>
            </w:pPr>
          </w:p>
          <w:p w14:paraId="57E5F576">
            <w:pPr>
              <w:pStyle w:val="71"/>
              <w:ind w:left="159" w:right="150"/>
              <w:jc w:val="center"/>
              <w:rPr>
                <w:sz w:val="21"/>
                <w:szCs w:val="21"/>
                <w:highlight w:val="none"/>
                <w:shd w:val="clear" w:color="auto" w:fill="FFFFFF"/>
                <w:lang w:val="en-US" w:bidi="ar"/>
              </w:rPr>
            </w:pPr>
            <w:r>
              <w:rPr>
                <w:rFonts w:hint="eastAsia"/>
                <w:sz w:val="21"/>
                <w:szCs w:val="21"/>
                <w:highlight w:val="none"/>
                <w:shd w:val="clear" w:color="auto" w:fill="FFFFFF"/>
                <w:lang w:val="en-US" w:bidi="ar"/>
              </w:rPr>
              <w:t>10</w:t>
            </w:r>
          </w:p>
        </w:tc>
        <w:tc>
          <w:tcPr>
            <w:tcW w:w="1830" w:type="dxa"/>
          </w:tcPr>
          <w:p w14:paraId="7E0207F0">
            <w:pPr>
              <w:pStyle w:val="71"/>
              <w:spacing w:before="5"/>
              <w:rPr>
                <w:sz w:val="21"/>
                <w:szCs w:val="21"/>
                <w:highlight w:val="none"/>
                <w:shd w:val="clear" w:color="auto" w:fill="FFFFFF"/>
                <w:lang w:val="en-US" w:bidi="ar"/>
              </w:rPr>
            </w:pPr>
          </w:p>
          <w:p w14:paraId="41695BDB">
            <w:pPr>
              <w:pStyle w:val="71"/>
              <w:ind w:left="434"/>
              <w:rPr>
                <w:sz w:val="21"/>
                <w:szCs w:val="21"/>
                <w:highlight w:val="none"/>
                <w:shd w:val="clear" w:color="auto" w:fill="FFFFFF"/>
                <w:lang w:val="en-US" w:bidi="ar"/>
              </w:rPr>
            </w:pPr>
            <w:r>
              <w:rPr>
                <w:rFonts w:hint="eastAsia"/>
                <w:sz w:val="21"/>
                <w:szCs w:val="21"/>
                <w:highlight w:val="none"/>
                <w:shd w:val="clear" w:color="auto" w:fill="FFFFFF"/>
                <w:lang w:val="en-US" w:bidi="ar"/>
              </w:rPr>
              <w:t>履约担保</w:t>
            </w:r>
          </w:p>
        </w:tc>
        <w:tc>
          <w:tcPr>
            <w:tcW w:w="7076" w:type="dxa"/>
          </w:tcPr>
          <w:p w14:paraId="5704047D">
            <w:pPr>
              <w:pStyle w:val="71"/>
              <w:spacing w:before="5"/>
              <w:rPr>
                <w:sz w:val="21"/>
                <w:szCs w:val="21"/>
                <w:highlight w:val="none"/>
                <w:shd w:val="clear" w:color="auto" w:fill="FFFFFF"/>
                <w:lang w:val="en-US" w:bidi="ar"/>
              </w:rPr>
            </w:pPr>
          </w:p>
          <w:p w14:paraId="16A47CAE">
            <w:pPr>
              <w:pStyle w:val="71"/>
              <w:ind w:left="106"/>
              <w:rPr>
                <w:sz w:val="21"/>
                <w:szCs w:val="21"/>
                <w:highlight w:val="none"/>
                <w:shd w:val="clear" w:color="auto" w:fill="FFFFFF"/>
                <w:lang w:val="en-US" w:bidi="ar"/>
              </w:rPr>
            </w:pPr>
            <w:r>
              <w:rPr>
                <w:rFonts w:hint="eastAsia"/>
                <w:sz w:val="21"/>
                <w:szCs w:val="21"/>
                <w:highlight w:val="none"/>
                <w:shd w:val="clear" w:color="auto" w:fill="FFFFFF"/>
                <w:lang w:val="en-US" w:bidi="ar"/>
              </w:rPr>
              <w:t>承包人提供履约担保的形式、金额及期限：本项目无履约担保。</w:t>
            </w:r>
          </w:p>
        </w:tc>
      </w:tr>
      <w:tr w14:paraId="17558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960" w:type="dxa"/>
            <w:vAlign w:val="center"/>
          </w:tcPr>
          <w:p w14:paraId="5A0A4BB9">
            <w:pPr>
              <w:pStyle w:val="72"/>
              <w:jc w:val="center"/>
              <w:rPr>
                <w:sz w:val="21"/>
                <w:szCs w:val="21"/>
                <w:highlight w:val="none"/>
                <w:shd w:val="clear" w:color="auto" w:fill="FFFFFF"/>
                <w:lang w:bidi="ar"/>
              </w:rPr>
            </w:pPr>
            <w:r>
              <w:rPr>
                <w:rFonts w:hint="eastAsia" w:cs="Courier New"/>
                <w:sz w:val="21"/>
                <w:szCs w:val="21"/>
                <w:highlight w:val="none"/>
              </w:rPr>
              <w:t>11</w:t>
            </w:r>
          </w:p>
        </w:tc>
        <w:tc>
          <w:tcPr>
            <w:tcW w:w="1830" w:type="dxa"/>
            <w:vAlign w:val="center"/>
          </w:tcPr>
          <w:p w14:paraId="39D8360B">
            <w:pPr>
              <w:pStyle w:val="72"/>
              <w:jc w:val="center"/>
              <w:rPr>
                <w:sz w:val="21"/>
                <w:szCs w:val="21"/>
                <w:highlight w:val="none"/>
                <w:shd w:val="clear" w:color="auto" w:fill="FFFFFF"/>
                <w:lang w:bidi="ar"/>
              </w:rPr>
            </w:pPr>
            <w:r>
              <w:rPr>
                <w:rFonts w:hint="eastAsia"/>
                <w:sz w:val="21"/>
                <w:szCs w:val="21"/>
                <w:highlight w:val="none"/>
                <w:lang w:val="zh-CN"/>
              </w:rPr>
              <w:t>其他</w:t>
            </w:r>
          </w:p>
        </w:tc>
        <w:tc>
          <w:tcPr>
            <w:tcW w:w="7076" w:type="dxa"/>
            <w:vAlign w:val="center"/>
          </w:tcPr>
          <w:p w14:paraId="7384F662">
            <w:pPr>
              <w:spacing w:line="340" w:lineRule="exact"/>
              <w:ind w:right="110" w:rightChars="50"/>
              <w:rPr>
                <w:b/>
                <w:bCs/>
                <w:szCs w:val="21"/>
                <w:highlight w:val="none"/>
              </w:rPr>
            </w:pPr>
            <w:r>
              <w:rPr>
                <w:rFonts w:hint="eastAsia"/>
                <w:b/>
                <w:bCs/>
                <w:szCs w:val="21"/>
                <w:highlight w:val="none"/>
              </w:rPr>
              <w:t>不见面开标注意事项:</w:t>
            </w:r>
          </w:p>
          <w:p w14:paraId="7AF8D966">
            <w:pPr>
              <w:spacing w:line="340" w:lineRule="exact"/>
              <w:ind w:right="110" w:rightChars="50"/>
              <w:rPr>
                <w:rFonts w:hint="eastAsia" w:eastAsia="宋体"/>
                <w:szCs w:val="21"/>
                <w:highlight w:val="none"/>
                <w:lang w:eastAsia="zh-CN"/>
              </w:rPr>
            </w:pPr>
            <w:r>
              <w:rPr>
                <w:rFonts w:hint="eastAsia"/>
                <w:szCs w:val="21"/>
                <w:highlight w:val="none"/>
              </w:rPr>
              <w:t>(1)为顺利实现本项目开标的远程交互，建议</w:t>
            </w:r>
            <w:r>
              <w:rPr>
                <w:rFonts w:hint="eastAsia"/>
                <w:szCs w:val="21"/>
                <w:highlight w:val="none"/>
                <w:lang w:eastAsia="zh-CN"/>
              </w:rPr>
              <w:t>投标人</w:t>
            </w:r>
            <w:r>
              <w:rPr>
                <w:rFonts w:hint="eastAsia"/>
                <w:szCs w:val="21"/>
                <w:highlight w:val="none"/>
              </w:rPr>
              <w:t>提前调试好硬件设备</w:t>
            </w:r>
            <w:r>
              <w:rPr>
                <w:rFonts w:hint="eastAsia"/>
                <w:szCs w:val="21"/>
                <w:highlight w:val="none"/>
                <w:lang w:eastAsia="zh-CN"/>
              </w:rPr>
              <w:t>。</w:t>
            </w:r>
          </w:p>
          <w:p w14:paraId="67D0D57D">
            <w:pPr>
              <w:spacing w:line="340" w:lineRule="exact"/>
              <w:ind w:right="110" w:rightChars="50"/>
              <w:rPr>
                <w:szCs w:val="21"/>
                <w:highlight w:val="none"/>
              </w:rPr>
            </w:pPr>
            <w:r>
              <w:rPr>
                <w:rFonts w:hint="eastAsia"/>
                <w:szCs w:val="21"/>
                <w:highlight w:val="none"/>
              </w:rPr>
              <w:t>(2)建议</w:t>
            </w:r>
            <w:r>
              <w:rPr>
                <w:rFonts w:hint="eastAsia"/>
                <w:szCs w:val="21"/>
                <w:highlight w:val="none"/>
                <w:lang w:eastAsia="zh-CN"/>
              </w:rPr>
              <w:t>投标人</w:t>
            </w:r>
            <w:r>
              <w:rPr>
                <w:rFonts w:hint="eastAsia"/>
                <w:szCs w:val="21"/>
                <w:highlight w:val="none"/>
              </w:rPr>
              <w:t>在投标文件递交截止时间前 60分钟内登录不见面开标大厅，并及时签到(响应文件递交截止时间前 60分钟开始签到)，否则将无法参与不见面开标。</w:t>
            </w:r>
          </w:p>
          <w:p w14:paraId="14453DD0">
            <w:pPr>
              <w:spacing w:line="340" w:lineRule="exact"/>
              <w:ind w:right="110" w:rightChars="50"/>
              <w:rPr>
                <w:szCs w:val="21"/>
                <w:highlight w:val="none"/>
              </w:rPr>
            </w:pPr>
            <w:r>
              <w:rPr>
                <w:rFonts w:hint="eastAsia"/>
                <w:szCs w:val="21"/>
                <w:highlight w:val="none"/>
              </w:rPr>
              <w:t>(3)</w:t>
            </w:r>
            <w:r>
              <w:rPr>
                <w:rFonts w:hint="eastAsia"/>
                <w:szCs w:val="21"/>
                <w:highlight w:val="none"/>
                <w:lang w:eastAsia="zh-CN"/>
              </w:rPr>
              <w:t>投标人</w:t>
            </w:r>
            <w:r>
              <w:rPr>
                <w:rFonts w:hint="eastAsia"/>
                <w:szCs w:val="21"/>
                <w:highlight w:val="none"/>
              </w:rPr>
              <w:t>需注意 CA 锁一定要提前准备好，并确保 CA 锁为制作投标文件的 CA 锁。</w:t>
            </w:r>
          </w:p>
          <w:p w14:paraId="0951DAE3">
            <w:pPr>
              <w:spacing w:line="340" w:lineRule="exact"/>
              <w:ind w:right="110" w:rightChars="50"/>
              <w:rPr>
                <w:szCs w:val="21"/>
                <w:highlight w:val="none"/>
              </w:rPr>
            </w:pPr>
            <w:r>
              <w:rPr>
                <w:rFonts w:hint="eastAsia"/>
                <w:szCs w:val="21"/>
                <w:highlight w:val="none"/>
              </w:rPr>
              <w:t>(4)各投标人需要</w:t>
            </w:r>
            <w:r>
              <w:rPr>
                <w:rFonts w:hint="eastAsia"/>
                <w:szCs w:val="21"/>
                <w:highlight w:val="none"/>
                <w:lang w:val="en-US" w:eastAsia="zh-CN"/>
              </w:rPr>
              <w:t>进入不见面开标系统</w:t>
            </w:r>
            <w:r>
              <w:rPr>
                <w:rFonts w:hint="eastAsia"/>
                <w:szCs w:val="21"/>
                <w:highlight w:val="none"/>
              </w:rPr>
              <w:t>，未按时加入系统或未在线参加互动的，视为放弃标书解密和对开标评标全过程质疑、澄清、答辩的权利，并承担由此产生的相应后果。</w:t>
            </w:r>
          </w:p>
          <w:p w14:paraId="40088CC9">
            <w:pPr>
              <w:spacing w:line="340" w:lineRule="exact"/>
              <w:ind w:right="110" w:rightChars="50"/>
              <w:rPr>
                <w:sz w:val="21"/>
                <w:szCs w:val="21"/>
                <w:highlight w:val="none"/>
                <w:shd w:val="clear" w:color="auto" w:fill="FFFFFF"/>
                <w:lang w:val="en-US" w:bidi="ar"/>
              </w:rPr>
            </w:pPr>
            <w:r>
              <w:rPr>
                <w:rFonts w:hint="eastAsia"/>
                <w:szCs w:val="21"/>
                <w:highlight w:val="none"/>
              </w:rPr>
              <w:t>(5)开标、评标过程中，参与远程互动的各投标人应为同一个人，在否决投标、澄清、质疑等特殊情况下需要互动时，投标人一端参与互动的人员只能是投标人的法定代表人或授权委托人(答辩等类似环节需要其他人员参与的除外),投标人不得以不承认互动人员的资格或身份等为借口推脱，投标人自行承担随意更换人员所导致的一切后果。</w:t>
            </w:r>
          </w:p>
        </w:tc>
      </w:tr>
      <w:tr w14:paraId="16A7E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960" w:type="dxa"/>
            <w:vAlign w:val="center"/>
          </w:tcPr>
          <w:p w14:paraId="7F5222CD">
            <w:pPr>
              <w:pStyle w:val="72"/>
              <w:jc w:val="center"/>
              <w:rPr>
                <w:rFonts w:cs="Courier New"/>
                <w:sz w:val="21"/>
                <w:szCs w:val="21"/>
                <w:highlight w:val="none"/>
              </w:rPr>
            </w:pPr>
            <w:r>
              <w:rPr>
                <w:rFonts w:hint="eastAsia" w:cs="Courier New"/>
                <w:sz w:val="21"/>
                <w:szCs w:val="21"/>
                <w:highlight w:val="none"/>
              </w:rPr>
              <w:t>12</w:t>
            </w:r>
          </w:p>
        </w:tc>
        <w:tc>
          <w:tcPr>
            <w:tcW w:w="1830" w:type="dxa"/>
            <w:vAlign w:val="center"/>
          </w:tcPr>
          <w:p w14:paraId="376D1E0F">
            <w:pPr>
              <w:pStyle w:val="72"/>
              <w:jc w:val="center"/>
              <w:rPr>
                <w:sz w:val="21"/>
                <w:szCs w:val="21"/>
                <w:highlight w:val="none"/>
                <w:lang w:val="zh-CN"/>
              </w:rPr>
            </w:pPr>
            <w:r>
              <w:rPr>
                <w:rFonts w:hint="eastAsia"/>
                <w:sz w:val="21"/>
                <w:szCs w:val="21"/>
                <w:highlight w:val="none"/>
              </w:rPr>
              <w:t>招标代理服务费</w:t>
            </w:r>
          </w:p>
        </w:tc>
        <w:tc>
          <w:tcPr>
            <w:tcW w:w="7076" w:type="dxa"/>
            <w:vAlign w:val="center"/>
          </w:tcPr>
          <w:p w14:paraId="781599A9">
            <w:pPr>
              <w:spacing w:line="360" w:lineRule="auto"/>
              <w:rPr>
                <w:szCs w:val="21"/>
                <w:highlight w:val="none"/>
              </w:rPr>
            </w:pPr>
            <w:r>
              <w:rPr>
                <w:rFonts w:hint="eastAsia"/>
                <w:szCs w:val="21"/>
                <w:highlight w:val="none"/>
              </w:rPr>
              <w:t>招标代理服务费</w:t>
            </w:r>
            <w:r>
              <w:rPr>
                <w:rFonts w:hint="eastAsia"/>
                <w:szCs w:val="21"/>
                <w:highlight w:val="none"/>
                <w:lang w:val="en-US"/>
              </w:rPr>
              <w:t>参照</w:t>
            </w:r>
            <w:r>
              <w:rPr>
                <w:rFonts w:hint="eastAsia"/>
                <w:szCs w:val="21"/>
                <w:highlight w:val="none"/>
              </w:rPr>
              <w:t>《国家计委关于印发招标代理服务收费管理暂行办法的通知》（计价格〔2002〕1980号）和国家发改委办公厅《关于招标代理服务收费有关问题的通知》（发改办价格〔2003〕857号）文件规定标准收取。</w:t>
            </w:r>
            <w:r>
              <w:rPr>
                <w:rFonts w:hint="eastAsia"/>
                <w:szCs w:val="21"/>
                <w:highlight w:val="none"/>
                <w:lang w:val="en-US"/>
              </w:rPr>
              <w:t>由中标人一次性全额支付招标代理服务费</w:t>
            </w:r>
            <w:r>
              <w:rPr>
                <w:rFonts w:hint="eastAsia"/>
                <w:szCs w:val="21"/>
                <w:highlight w:val="none"/>
              </w:rPr>
              <w:t>。</w:t>
            </w:r>
          </w:p>
        </w:tc>
      </w:tr>
      <w:tr w14:paraId="07747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960" w:type="dxa"/>
            <w:vAlign w:val="center"/>
          </w:tcPr>
          <w:p w14:paraId="11721200">
            <w:pPr>
              <w:pStyle w:val="72"/>
              <w:jc w:val="center"/>
              <w:rPr>
                <w:rFonts w:cs="Courier New"/>
                <w:sz w:val="21"/>
                <w:szCs w:val="21"/>
                <w:highlight w:val="none"/>
              </w:rPr>
            </w:pPr>
            <w:r>
              <w:rPr>
                <w:rFonts w:hint="eastAsia" w:cs="Courier New"/>
                <w:sz w:val="21"/>
                <w:szCs w:val="21"/>
                <w:highlight w:val="none"/>
              </w:rPr>
              <w:t>13</w:t>
            </w:r>
          </w:p>
        </w:tc>
        <w:tc>
          <w:tcPr>
            <w:tcW w:w="1830" w:type="dxa"/>
            <w:vAlign w:val="center"/>
          </w:tcPr>
          <w:p w14:paraId="58B5E74E">
            <w:pPr>
              <w:pStyle w:val="72"/>
              <w:jc w:val="center"/>
              <w:rPr>
                <w:sz w:val="21"/>
                <w:szCs w:val="21"/>
                <w:highlight w:val="none"/>
              </w:rPr>
            </w:pPr>
            <w:r>
              <w:rPr>
                <w:rFonts w:hint="eastAsia"/>
                <w:sz w:val="21"/>
                <w:szCs w:val="21"/>
                <w:highlight w:val="none"/>
              </w:rPr>
              <w:t>其他</w:t>
            </w:r>
          </w:p>
        </w:tc>
        <w:tc>
          <w:tcPr>
            <w:tcW w:w="7076" w:type="dxa"/>
            <w:vAlign w:val="center"/>
          </w:tcPr>
          <w:p w14:paraId="5243FDD1">
            <w:pPr>
              <w:spacing w:line="360" w:lineRule="auto"/>
              <w:rPr>
                <w:rFonts w:hint="eastAsia" w:eastAsia="宋体"/>
                <w:szCs w:val="21"/>
                <w:highlight w:val="none"/>
                <w:lang w:val="en-US" w:eastAsia="zh-CN"/>
              </w:rPr>
            </w:pPr>
            <w:r>
              <w:rPr>
                <w:rFonts w:hint="eastAsia"/>
                <w:szCs w:val="21"/>
                <w:highlight w:val="none"/>
                <w:lang w:val="en-US"/>
              </w:rPr>
              <w:t>行业划分：建筑业</w:t>
            </w:r>
            <w:r>
              <w:rPr>
                <w:rFonts w:hint="eastAsia"/>
                <w:szCs w:val="21"/>
                <w:highlight w:val="none"/>
                <w:lang w:val="en-US"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7BCBF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9866" w:type="dxa"/>
            <w:gridSpan w:val="3"/>
            <w:vAlign w:val="center"/>
          </w:tcPr>
          <w:p w14:paraId="77D50A36">
            <w:pPr>
              <w:spacing w:line="360" w:lineRule="auto"/>
              <w:rPr>
                <w:szCs w:val="21"/>
                <w:highlight w:val="none"/>
                <w:lang w:val="en-US"/>
              </w:rPr>
            </w:pPr>
            <w:r>
              <w:rPr>
                <w:rFonts w:hint="eastAsia"/>
                <w:sz w:val="21"/>
                <w:szCs w:val="21"/>
                <w:highlight w:val="none"/>
                <w:shd w:val="clear" w:color="auto" w:fill="FFFFFF"/>
                <w:lang w:val="en-US" w:bidi="ar"/>
              </w:rPr>
              <w:t>本表是对投标人须知的提示、补充和修改，如有矛盾，应以本表为准。如本表未说明的，以本招标文件内容为准。</w:t>
            </w:r>
          </w:p>
        </w:tc>
      </w:tr>
    </w:tbl>
    <w:p w14:paraId="63DA62CF">
      <w:pPr>
        <w:rPr>
          <w:sz w:val="21"/>
          <w:szCs w:val="21"/>
          <w:highlight w:val="none"/>
          <w:shd w:val="clear" w:color="auto" w:fill="FFFFFF"/>
          <w:lang w:val="en-US" w:bidi="ar"/>
        </w:rPr>
        <w:sectPr>
          <w:pgSz w:w="11910" w:h="16840"/>
          <w:pgMar w:top="1340" w:right="180" w:bottom="1100" w:left="800" w:header="0" w:footer="909" w:gutter="0"/>
          <w:cols w:space="720" w:num="1"/>
        </w:sectPr>
      </w:pPr>
    </w:p>
    <w:p w14:paraId="14DC6CE0">
      <w:pPr>
        <w:spacing w:before="23"/>
        <w:ind w:left="956" w:right="1576"/>
        <w:jc w:val="center"/>
        <w:rPr>
          <w:b/>
          <w:sz w:val="36"/>
          <w:highlight w:val="none"/>
        </w:rPr>
      </w:pPr>
      <w:r>
        <w:rPr>
          <w:sz w:val="36"/>
          <w:highlight w:val="none"/>
        </w:rPr>
        <w:t>（二）</w:t>
      </w:r>
      <w:r>
        <w:rPr>
          <w:b/>
          <w:sz w:val="36"/>
          <w:highlight w:val="none"/>
        </w:rPr>
        <w:t>投标人须知</w:t>
      </w:r>
    </w:p>
    <w:p w14:paraId="7057637F">
      <w:pPr>
        <w:pStyle w:val="16"/>
        <w:spacing w:before="9"/>
        <w:rPr>
          <w:b/>
          <w:sz w:val="21"/>
          <w:highlight w:val="none"/>
        </w:rPr>
      </w:pPr>
    </w:p>
    <w:p w14:paraId="548338FA">
      <w:pPr>
        <w:pStyle w:val="8"/>
        <w:spacing w:before="67"/>
        <w:ind w:left="956" w:right="1093"/>
        <w:jc w:val="center"/>
        <w:rPr>
          <w:sz w:val="21"/>
          <w:szCs w:val="21"/>
          <w:highlight w:val="none"/>
        </w:rPr>
      </w:pPr>
      <w:bookmarkStart w:id="6" w:name="二、招标文件的组成"/>
      <w:bookmarkEnd w:id="6"/>
      <w:bookmarkStart w:id="7" w:name="一、总则"/>
      <w:bookmarkEnd w:id="7"/>
      <w:r>
        <w:rPr>
          <w:rFonts w:hint="eastAsia"/>
          <w:sz w:val="21"/>
          <w:szCs w:val="21"/>
          <w:highlight w:val="none"/>
        </w:rPr>
        <w:t>一、总则</w:t>
      </w:r>
    </w:p>
    <w:p w14:paraId="268D36C2">
      <w:pPr>
        <w:pStyle w:val="70"/>
        <w:numPr>
          <w:ilvl w:val="1"/>
          <w:numId w:val="8"/>
        </w:numPr>
        <w:tabs>
          <w:tab w:val="left" w:pos="1634"/>
        </w:tabs>
        <w:spacing w:before="158"/>
        <w:ind w:left="1581" w:leftChars="0" w:hanging="481" w:firstLineChars="0"/>
        <w:rPr>
          <w:sz w:val="21"/>
          <w:szCs w:val="21"/>
          <w:highlight w:val="none"/>
        </w:rPr>
      </w:pPr>
      <w:bookmarkStart w:id="8" w:name="1.1_项目概况"/>
      <w:bookmarkEnd w:id="8"/>
      <w:r>
        <w:rPr>
          <w:rFonts w:hint="eastAsia"/>
          <w:sz w:val="21"/>
          <w:szCs w:val="21"/>
          <w:highlight w:val="none"/>
        </w:rPr>
        <w:t>项目概况</w:t>
      </w:r>
    </w:p>
    <w:p w14:paraId="06CEF5E6">
      <w:pPr>
        <w:pStyle w:val="70"/>
        <w:numPr>
          <w:ilvl w:val="2"/>
          <w:numId w:val="8"/>
        </w:numPr>
        <w:tabs>
          <w:tab w:val="left" w:pos="1814"/>
        </w:tabs>
        <w:spacing w:before="160" w:line="362" w:lineRule="auto"/>
        <w:ind w:right="1171" w:firstLine="480"/>
        <w:rPr>
          <w:sz w:val="21"/>
          <w:szCs w:val="21"/>
          <w:highlight w:val="none"/>
        </w:rPr>
      </w:pPr>
      <w:bookmarkStart w:id="9" w:name="1.1.1根据《中华人民共和国招标投标法》《中华人民共和国政府采购法》以及有关法"/>
      <w:bookmarkEnd w:id="9"/>
      <w:r>
        <w:rPr>
          <w:rFonts w:hint="eastAsia"/>
          <w:spacing w:val="-9"/>
          <w:sz w:val="21"/>
          <w:szCs w:val="21"/>
          <w:highlight w:val="none"/>
        </w:rPr>
        <w:t>根据《中华人民共和国招标投标法》《中华人民共和国政府采购法》以及有</w:t>
      </w:r>
      <w:r>
        <w:rPr>
          <w:rFonts w:hint="eastAsia"/>
          <w:spacing w:val="-10"/>
          <w:sz w:val="21"/>
          <w:szCs w:val="21"/>
          <w:highlight w:val="none"/>
        </w:rPr>
        <w:t>关法律、法规和规章的规定，本招标项目已具备招标条件，现对本工程施工进行招标。</w:t>
      </w:r>
    </w:p>
    <w:p w14:paraId="3D8C0E4D">
      <w:pPr>
        <w:pStyle w:val="70"/>
        <w:numPr>
          <w:ilvl w:val="2"/>
          <w:numId w:val="8"/>
        </w:numPr>
        <w:tabs>
          <w:tab w:val="left" w:pos="1934"/>
        </w:tabs>
        <w:spacing w:before="5"/>
        <w:ind w:left="1933" w:hanging="721"/>
        <w:rPr>
          <w:sz w:val="21"/>
          <w:szCs w:val="21"/>
          <w:highlight w:val="none"/>
        </w:rPr>
      </w:pPr>
      <w:bookmarkStart w:id="10" w:name="1.1.2_本招标项目采购人：见投标人须知前附表。"/>
      <w:bookmarkEnd w:id="10"/>
      <w:r>
        <w:rPr>
          <w:rFonts w:hint="eastAsia"/>
          <w:sz w:val="21"/>
          <w:szCs w:val="21"/>
          <w:highlight w:val="none"/>
        </w:rPr>
        <w:t>本招标项目</w:t>
      </w:r>
      <w:r>
        <w:rPr>
          <w:rFonts w:hint="eastAsia"/>
          <w:sz w:val="21"/>
          <w:szCs w:val="21"/>
          <w:highlight w:val="none"/>
          <w:lang w:eastAsia="zh-CN"/>
        </w:rPr>
        <w:t>招标人</w:t>
      </w:r>
      <w:r>
        <w:rPr>
          <w:rFonts w:hint="eastAsia"/>
          <w:sz w:val="21"/>
          <w:szCs w:val="21"/>
          <w:highlight w:val="none"/>
        </w:rPr>
        <w:t>：见投标人须知前附表。</w:t>
      </w:r>
    </w:p>
    <w:p w14:paraId="68423F8E">
      <w:pPr>
        <w:pStyle w:val="70"/>
        <w:numPr>
          <w:ilvl w:val="2"/>
          <w:numId w:val="8"/>
        </w:numPr>
        <w:tabs>
          <w:tab w:val="left" w:pos="1934"/>
        </w:tabs>
        <w:spacing w:before="158"/>
        <w:ind w:left="1933" w:hanging="721"/>
        <w:rPr>
          <w:sz w:val="21"/>
          <w:szCs w:val="21"/>
          <w:highlight w:val="none"/>
        </w:rPr>
      </w:pPr>
      <w:bookmarkStart w:id="11" w:name="1.1.3_本招标项目采购代理机构：见投标人须知前附表。"/>
      <w:bookmarkEnd w:id="11"/>
      <w:r>
        <w:rPr>
          <w:rFonts w:hint="eastAsia"/>
          <w:sz w:val="21"/>
          <w:szCs w:val="21"/>
          <w:highlight w:val="none"/>
        </w:rPr>
        <w:t>本招标项目</w:t>
      </w:r>
      <w:r>
        <w:rPr>
          <w:rFonts w:hint="eastAsia"/>
          <w:sz w:val="21"/>
          <w:szCs w:val="21"/>
          <w:highlight w:val="none"/>
          <w:lang w:eastAsia="zh-CN"/>
        </w:rPr>
        <w:t>招标代理机构</w:t>
      </w:r>
      <w:r>
        <w:rPr>
          <w:rFonts w:hint="eastAsia"/>
          <w:sz w:val="21"/>
          <w:szCs w:val="21"/>
          <w:highlight w:val="none"/>
        </w:rPr>
        <w:t>：见投标人须知前附表。</w:t>
      </w:r>
    </w:p>
    <w:p w14:paraId="59AABFEA">
      <w:pPr>
        <w:pStyle w:val="70"/>
        <w:numPr>
          <w:ilvl w:val="2"/>
          <w:numId w:val="8"/>
        </w:numPr>
        <w:tabs>
          <w:tab w:val="left" w:pos="1934"/>
        </w:tabs>
        <w:spacing w:before="161"/>
        <w:ind w:left="1933" w:hanging="721"/>
        <w:rPr>
          <w:sz w:val="21"/>
          <w:szCs w:val="21"/>
          <w:highlight w:val="none"/>
        </w:rPr>
      </w:pPr>
      <w:bookmarkStart w:id="12" w:name="1.1.4_本招标项目名称：见投标人须知前附表。"/>
      <w:bookmarkEnd w:id="12"/>
      <w:r>
        <w:rPr>
          <w:rFonts w:hint="eastAsia"/>
          <w:sz w:val="21"/>
          <w:szCs w:val="21"/>
          <w:highlight w:val="none"/>
        </w:rPr>
        <w:t>本招标项目名称：见投标人须知前附表。</w:t>
      </w:r>
    </w:p>
    <w:p w14:paraId="179C9309">
      <w:pPr>
        <w:pStyle w:val="70"/>
        <w:numPr>
          <w:ilvl w:val="2"/>
          <w:numId w:val="8"/>
        </w:numPr>
        <w:tabs>
          <w:tab w:val="left" w:pos="1934"/>
        </w:tabs>
        <w:spacing w:before="158"/>
        <w:ind w:left="1933" w:hanging="721"/>
        <w:rPr>
          <w:sz w:val="21"/>
          <w:szCs w:val="21"/>
          <w:highlight w:val="none"/>
        </w:rPr>
      </w:pPr>
      <w:bookmarkStart w:id="13" w:name="1.1.5_本招标项目建设地点：见投标人须知前附表。"/>
      <w:bookmarkEnd w:id="13"/>
      <w:r>
        <w:rPr>
          <w:rFonts w:hint="eastAsia"/>
          <w:sz w:val="21"/>
          <w:szCs w:val="21"/>
          <w:highlight w:val="none"/>
        </w:rPr>
        <w:t>本招标项目建设地点：见投标人须知前附表。</w:t>
      </w:r>
    </w:p>
    <w:p w14:paraId="4A270D86">
      <w:pPr>
        <w:pStyle w:val="70"/>
        <w:numPr>
          <w:ilvl w:val="2"/>
          <w:numId w:val="8"/>
        </w:numPr>
        <w:tabs>
          <w:tab w:val="left" w:pos="1934"/>
        </w:tabs>
        <w:spacing w:before="161"/>
        <w:ind w:left="1933" w:hanging="721"/>
        <w:rPr>
          <w:sz w:val="21"/>
          <w:szCs w:val="21"/>
          <w:highlight w:val="none"/>
        </w:rPr>
      </w:pPr>
      <w:bookmarkStart w:id="14" w:name="1.1.6_本招标项目项目预算：见投标人须知前附表。"/>
      <w:bookmarkEnd w:id="14"/>
      <w:r>
        <w:rPr>
          <w:rFonts w:hint="eastAsia"/>
          <w:sz w:val="21"/>
          <w:szCs w:val="21"/>
          <w:highlight w:val="none"/>
        </w:rPr>
        <w:t>本招标项目项目预算：见投标人须知前附表。</w:t>
      </w:r>
    </w:p>
    <w:p w14:paraId="6D900BAA">
      <w:pPr>
        <w:pStyle w:val="70"/>
        <w:numPr>
          <w:ilvl w:val="1"/>
          <w:numId w:val="8"/>
        </w:numPr>
        <w:tabs>
          <w:tab w:val="left" w:pos="1634"/>
        </w:tabs>
        <w:spacing w:before="158"/>
        <w:ind w:left="1581" w:leftChars="0" w:hanging="481" w:firstLineChars="0"/>
        <w:rPr>
          <w:sz w:val="21"/>
          <w:szCs w:val="21"/>
          <w:highlight w:val="none"/>
        </w:rPr>
      </w:pPr>
      <w:bookmarkStart w:id="15" w:name="1.2_资金来源和落实情况"/>
      <w:bookmarkEnd w:id="15"/>
      <w:r>
        <w:rPr>
          <w:rFonts w:hint="eastAsia"/>
          <w:sz w:val="21"/>
          <w:szCs w:val="21"/>
          <w:highlight w:val="none"/>
        </w:rPr>
        <w:t>资金来源和落实情况</w:t>
      </w:r>
    </w:p>
    <w:p w14:paraId="7913F291">
      <w:pPr>
        <w:pStyle w:val="70"/>
        <w:numPr>
          <w:ilvl w:val="2"/>
          <w:numId w:val="8"/>
        </w:numPr>
        <w:tabs>
          <w:tab w:val="left" w:pos="1934"/>
        </w:tabs>
        <w:spacing w:before="160"/>
        <w:ind w:left="1933" w:hanging="721"/>
        <w:rPr>
          <w:sz w:val="21"/>
          <w:szCs w:val="21"/>
          <w:highlight w:val="none"/>
        </w:rPr>
      </w:pPr>
      <w:bookmarkStart w:id="16" w:name="1.2.1_本招标项目的资金来源：见投标人须知前附表。"/>
      <w:bookmarkEnd w:id="16"/>
      <w:r>
        <w:rPr>
          <w:rFonts w:hint="eastAsia"/>
          <w:sz w:val="21"/>
          <w:szCs w:val="21"/>
          <w:highlight w:val="none"/>
        </w:rPr>
        <w:t>本招标项目的资金来源：见投标人须知前附表。</w:t>
      </w:r>
    </w:p>
    <w:p w14:paraId="180CBEA7">
      <w:pPr>
        <w:pStyle w:val="70"/>
        <w:numPr>
          <w:ilvl w:val="2"/>
          <w:numId w:val="8"/>
        </w:numPr>
        <w:tabs>
          <w:tab w:val="left" w:pos="1934"/>
        </w:tabs>
        <w:spacing w:before="158"/>
        <w:ind w:left="1933" w:hanging="721"/>
        <w:rPr>
          <w:sz w:val="21"/>
          <w:szCs w:val="21"/>
          <w:highlight w:val="none"/>
        </w:rPr>
      </w:pPr>
      <w:bookmarkStart w:id="17" w:name="1.2.2_本招标项目的资金落实情况：见投标人须知前附表。"/>
      <w:bookmarkEnd w:id="17"/>
      <w:r>
        <w:rPr>
          <w:rFonts w:hint="eastAsia"/>
          <w:sz w:val="21"/>
          <w:szCs w:val="21"/>
          <w:highlight w:val="none"/>
        </w:rPr>
        <w:t>本招标项目的资金落实情况：见投标人须知前附表。</w:t>
      </w:r>
    </w:p>
    <w:p w14:paraId="75F78981">
      <w:pPr>
        <w:pStyle w:val="70"/>
        <w:numPr>
          <w:ilvl w:val="1"/>
          <w:numId w:val="8"/>
        </w:numPr>
        <w:tabs>
          <w:tab w:val="left" w:pos="1634"/>
        </w:tabs>
        <w:spacing w:before="161"/>
        <w:ind w:left="1581" w:leftChars="0" w:hanging="481" w:firstLineChars="0"/>
        <w:rPr>
          <w:sz w:val="21"/>
          <w:szCs w:val="21"/>
          <w:highlight w:val="none"/>
        </w:rPr>
      </w:pPr>
      <w:bookmarkStart w:id="18" w:name="1.3_招标范围、计划工期和质量要求"/>
      <w:bookmarkEnd w:id="18"/>
      <w:r>
        <w:rPr>
          <w:rFonts w:hint="eastAsia"/>
          <w:sz w:val="21"/>
          <w:szCs w:val="21"/>
          <w:highlight w:val="none"/>
        </w:rPr>
        <w:t>招标范围、计划工期和质量要求</w:t>
      </w:r>
    </w:p>
    <w:p w14:paraId="2BC8BAB9">
      <w:pPr>
        <w:pStyle w:val="70"/>
        <w:numPr>
          <w:ilvl w:val="2"/>
          <w:numId w:val="8"/>
        </w:numPr>
        <w:tabs>
          <w:tab w:val="left" w:pos="1874"/>
        </w:tabs>
        <w:spacing w:before="160"/>
        <w:ind w:left="1873" w:hanging="721"/>
        <w:rPr>
          <w:sz w:val="21"/>
          <w:szCs w:val="21"/>
          <w:highlight w:val="none"/>
        </w:rPr>
      </w:pPr>
      <w:bookmarkStart w:id="19" w:name="1.3.1_本次招标范围：见投标人须知前附表。"/>
      <w:bookmarkEnd w:id="19"/>
      <w:r>
        <w:rPr>
          <w:rFonts w:hint="eastAsia"/>
          <w:sz w:val="21"/>
          <w:szCs w:val="21"/>
          <w:highlight w:val="none"/>
        </w:rPr>
        <w:t>本次招标范围：见投标人须知前附表。</w:t>
      </w:r>
    </w:p>
    <w:p w14:paraId="695441EF">
      <w:pPr>
        <w:pStyle w:val="70"/>
        <w:numPr>
          <w:ilvl w:val="2"/>
          <w:numId w:val="8"/>
        </w:numPr>
        <w:tabs>
          <w:tab w:val="left" w:pos="1874"/>
        </w:tabs>
        <w:spacing w:before="158"/>
        <w:ind w:left="1873" w:hanging="721"/>
        <w:rPr>
          <w:sz w:val="21"/>
          <w:szCs w:val="21"/>
          <w:highlight w:val="none"/>
        </w:rPr>
      </w:pPr>
      <w:bookmarkStart w:id="20" w:name="1.3.2_本招标项目的计划工期：见投标人须知前附表。"/>
      <w:bookmarkEnd w:id="20"/>
      <w:r>
        <w:rPr>
          <w:rFonts w:hint="eastAsia"/>
          <w:sz w:val="21"/>
          <w:szCs w:val="21"/>
          <w:highlight w:val="none"/>
        </w:rPr>
        <w:t>本招标项目的计划工期：见投标人须知前附表。</w:t>
      </w:r>
    </w:p>
    <w:p w14:paraId="6C8D0418">
      <w:pPr>
        <w:pStyle w:val="70"/>
        <w:numPr>
          <w:ilvl w:val="2"/>
          <w:numId w:val="8"/>
        </w:numPr>
        <w:tabs>
          <w:tab w:val="left" w:pos="1874"/>
        </w:tabs>
        <w:spacing w:before="161"/>
        <w:ind w:left="1873" w:hanging="721"/>
        <w:rPr>
          <w:sz w:val="21"/>
          <w:szCs w:val="21"/>
          <w:highlight w:val="none"/>
        </w:rPr>
      </w:pPr>
      <w:bookmarkStart w:id="21" w:name="1.3.3_本招标项目的质量要求：见投标人须知前附表。"/>
      <w:bookmarkEnd w:id="21"/>
      <w:r>
        <w:rPr>
          <w:rFonts w:hint="eastAsia"/>
          <w:sz w:val="21"/>
          <w:szCs w:val="21"/>
          <w:highlight w:val="none"/>
        </w:rPr>
        <w:t>本招标项目的质量要求：见投标人须知前附表。</w:t>
      </w:r>
    </w:p>
    <w:p w14:paraId="1A3E46C2">
      <w:pPr>
        <w:pStyle w:val="70"/>
        <w:numPr>
          <w:ilvl w:val="1"/>
          <w:numId w:val="8"/>
        </w:numPr>
        <w:tabs>
          <w:tab w:val="left" w:pos="1634"/>
        </w:tabs>
        <w:spacing w:before="158"/>
        <w:ind w:left="1581" w:leftChars="0" w:hanging="481" w:firstLineChars="0"/>
        <w:rPr>
          <w:sz w:val="21"/>
          <w:szCs w:val="21"/>
          <w:highlight w:val="none"/>
        </w:rPr>
      </w:pPr>
      <w:bookmarkStart w:id="22" w:name="1.4_投标人资格要求"/>
      <w:bookmarkEnd w:id="22"/>
      <w:r>
        <w:rPr>
          <w:rFonts w:hint="eastAsia"/>
          <w:sz w:val="21"/>
          <w:szCs w:val="21"/>
          <w:highlight w:val="none"/>
        </w:rPr>
        <w:t>投标人资格要求</w:t>
      </w:r>
    </w:p>
    <w:p w14:paraId="2576A36A">
      <w:pPr>
        <w:pStyle w:val="70"/>
        <w:numPr>
          <w:ilvl w:val="2"/>
          <w:numId w:val="8"/>
        </w:numPr>
        <w:tabs>
          <w:tab w:val="left" w:pos="1814"/>
        </w:tabs>
        <w:spacing w:before="158"/>
        <w:ind w:left="1813" w:hanging="661"/>
        <w:rPr>
          <w:sz w:val="21"/>
          <w:szCs w:val="21"/>
          <w:highlight w:val="none"/>
        </w:rPr>
      </w:pPr>
      <w:bookmarkStart w:id="23" w:name="1.4.1投标人应具备承担本项目施工的资质条件。"/>
      <w:bookmarkEnd w:id="23"/>
      <w:r>
        <w:rPr>
          <w:rFonts w:hint="eastAsia"/>
          <w:sz w:val="21"/>
          <w:szCs w:val="21"/>
          <w:highlight w:val="none"/>
        </w:rPr>
        <w:t>投标人应具备承担本项目施工的资质条件。</w:t>
      </w:r>
    </w:p>
    <w:p w14:paraId="380BF9DC">
      <w:pPr>
        <w:pStyle w:val="70"/>
        <w:numPr>
          <w:ilvl w:val="0"/>
          <w:numId w:val="9"/>
        </w:numPr>
        <w:tabs>
          <w:tab w:val="left" w:pos="1815"/>
        </w:tabs>
        <w:spacing w:before="161"/>
        <w:ind w:hanging="602"/>
        <w:rPr>
          <w:sz w:val="21"/>
          <w:szCs w:val="21"/>
          <w:highlight w:val="none"/>
        </w:rPr>
      </w:pPr>
      <w:bookmarkStart w:id="24" w:name="（1）资质条件：见投标人须知前附表；__"/>
      <w:bookmarkEnd w:id="24"/>
      <w:r>
        <w:rPr>
          <w:rFonts w:hint="eastAsia"/>
          <w:sz w:val="21"/>
          <w:szCs w:val="21"/>
          <w:highlight w:val="none"/>
        </w:rPr>
        <w:t>资质条件：见投标人须知前附表；</w:t>
      </w:r>
    </w:p>
    <w:p w14:paraId="0F5FEE01">
      <w:pPr>
        <w:pStyle w:val="70"/>
        <w:numPr>
          <w:ilvl w:val="0"/>
          <w:numId w:val="9"/>
        </w:numPr>
        <w:tabs>
          <w:tab w:val="left" w:pos="1815"/>
        </w:tabs>
        <w:spacing w:before="160"/>
        <w:ind w:hanging="602"/>
        <w:rPr>
          <w:sz w:val="21"/>
          <w:szCs w:val="21"/>
          <w:highlight w:val="none"/>
        </w:rPr>
      </w:pPr>
      <w:bookmarkStart w:id="25" w:name="（2）项目经理资格：见投标人须知前附表；"/>
      <w:bookmarkEnd w:id="25"/>
      <w:r>
        <w:rPr>
          <w:rFonts w:hint="eastAsia"/>
          <w:sz w:val="21"/>
          <w:szCs w:val="21"/>
          <w:highlight w:val="none"/>
        </w:rPr>
        <w:t>项目经理资格：见投标人须知前附表；</w:t>
      </w:r>
    </w:p>
    <w:p w14:paraId="6A13FE28">
      <w:pPr>
        <w:pStyle w:val="70"/>
        <w:numPr>
          <w:ilvl w:val="0"/>
          <w:numId w:val="9"/>
        </w:numPr>
        <w:tabs>
          <w:tab w:val="left" w:pos="1815"/>
        </w:tabs>
        <w:spacing w:before="158"/>
        <w:ind w:hanging="602"/>
        <w:rPr>
          <w:sz w:val="21"/>
          <w:szCs w:val="21"/>
          <w:highlight w:val="none"/>
        </w:rPr>
      </w:pPr>
      <w:bookmarkStart w:id="26" w:name="（3）其他要求：见投标人须知前附表。"/>
      <w:bookmarkEnd w:id="26"/>
      <w:r>
        <w:rPr>
          <w:rFonts w:hint="eastAsia"/>
          <w:sz w:val="21"/>
          <w:szCs w:val="21"/>
          <w:highlight w:val="none"/>
        </w:rPr>
        <w:t>其他要求：见投标人须知前附表。</w:t>
      </w:r>
    </w:p>
    <w:p w14:paraId="00237C92">
      <w:pPr>
        <w:pStyle w:val="70"/>
        <w:numPr>
          <w:ilvl w:val="2"/>
          <w:numId w:val="8"/>
        </w:numPr>
        <w:tabs>
          <w:tab w:val="left" w:pos="1934"/>
        </w:tabs>
        <w:spacing w:before="161"/>
        <w:ind w:left="1933" w:hanging="721"/>
        <w:rPr>
          <w:sz w:val="21"/>
          <w:szCs w:val="21"/>
          <w:highlight w:val="none"/>
        </w:rPr>
      </w:pPr>
      <w:bookmarkStart w:id="27" w:name="1.4.2_投标人不得存在下列情形之一："/>
      <w:bookmarkEnd w:id="27"/>
      <w:r>
        <w:rPr>
          <w:rFonts w:hint="eastAsia"/>
          <w:sz w:val="21"/>
          <w:szCs w:val="21"/>
          <w:highlight w:val="none"/>
        </w:rPr>
        <w:t>投标人不得存在下列情形之一：</w:t>
      </w:r>
    </w:p>
    <w:p w14:paraId="41580A36">
      <w:pPr>
        <w:pStyle w:val="70"/>
        <w:numPr>
          <w:ilvl w:val="0"/>
          <w:numId w:val="10"/>
        </w:numPr>
        <w:tabs>
          <w:tab w:val="left" w:pos="1815"/>
        </w:tabs>
        <w:spacing w:before="158"/>
        <w:ind w:hanging="602"/>
        <w:rPr>
          <w:sz w:val="21"/>
          <w:szCs w:val="21"/>
          <w:highlight w:val="none"/>
        </w:rPr>
      </w:pPr>
      <w:bookmarkStart w:id="28" w:name="（1）为采购人不具有独立法人资格的附属机构（单位）；"/>
      <w:bookmarkEnd w:id="28"/>
      <w:r>
        <w:rPr>
          <w:rFonts w:hint="eastAsia"/>
          <w:sz w:val="21"/>
          <w:szCs w:val="21"/>
          <w:highlight w:val="none"/>
        </w:rPr>
        <w:t>为</w:t>
      </w:r>
      <w:r>
        <w:rPr>
          <w:rFonts w:hint="eastAsia"/>
          <w:sz w:val="21"/>
          <w:szCs w:val="21"/>
          <w:highlight w:val="none"/>
          <w:lang w:val="en-US" w:eastAsia="zh-CN"/>
        </w:rPr>
        <w:t>招标人</w:t>
      </w:r>
      <w:r>
        <w:rPr>
          <w:rFonts w:hint="eastAsia"/>
          <w:sz w:val="21"/>
          <w:szCs w:val="21"/>
          <w:highlight w:val="none"/>
        </w:rPr>
        <w:t>不具有独立法人资格的附属机构（单位）；</w:t>
      </w:r>
    </w:p>
    <w:p w14:paraId="711E723C">
      <w:pPr>
        <w:pStyle w:val="70"/>
        <w:numPr>
          <w:ilvl w:val="0"/>
          <w:numId w:val="10"/>
        </w:numPr>
        <w:tabs>
          <w:tab w:val="left" w:pos="1815"/>
        </w:tabs>
        <w:spacing w:before="160"/>
        <w:ind w:hanging="602"/>
        <w:rPr>
          <w:sz w:val="21"/>
          <w:szCs w:val="21"/>
          <w:highlight w:val="none"/>
        </w:rPr>
      </w:pPr>
      <w:bookmarkStart w:id="29" w:name="（2）为本招标项目前期准备提供设计或咨询服务的，但设计施工总承包的除外；"/>
      <w:bookmarkEnd w:id="29"/>
      <w:r>
        <w:rPr>
          <w:rFonts w:hint="eastAsia"/>
          <w:sz w:val="21"/>
          <w:szCs w:val="21"/>
          <w:highlight w:val="none"/>
        </w:rPr>
        <w:t>为本招标项目前期准备提供设计或咨询服务的，但设计施工总承包的除外；</w:t>
      </w:r>
    </w:p>
    <w:p w14:paraId="141D608D">
      <w:pPr>
        <w:pStyle w:val="70"/>
        <w:numPr>
          <w:ilvl w:val="0"/>
          <w:numId w:val="10"/>
        </w:numPr>
        <w:tabs>
          <w:tab w:val="left" w:pos="1815"/>
        </w:tabs>
        <w:spacing w:before="161"/>
        <w:ind w:hanging="602"/>
        <w:rPr>
          <w:sz w:val="21"/>
          <w:szCs w:val="21"/>
          <w:highlight w:val="none"/>
        </w:rPr>
      </w:pPr>
      <w:bookmarkStart w:id="30" w:name="（3）为本招标项目的监理人；"/>
      <w:bookmarkEnd w:id="30"/>
      <w:r>
        <w:rPr>
          <w:rFonts w:hint="eastAsia"/>
          <w:sz w:val="21"/>
          <w:szCs w:val="21"/>
          <w:highlight w:val="none"/>
        </w:rPr>
        <w:t>为本招标项目的监理人；</w:t>
      </w:r>
    </w:p>
    <w:p w14:paraId="7E30E837">
      <w:pPr>
        <w:pStyle w:val="70"/>
        <w:numPr>
          <w:ilvl w:val="0"/>
          <w:numId w:val="10"/>
        </w:numPr>
        <w:tabs>
          <w:tab w:val="left" w:pos="1815"/>
        </w:tabs>
        <w:spacing w:before="158"/>
        <w:ind w:hanging="602"/>
        <w:rPr>
          <w:sz w:val="21"/>
          <w:szCs w:val="21"/>
          <w:highlight w:val="none"/>
        </w:rPr>
      </w:pPr>
      <w:bookmarkStart w:id="31" w:name="（4）为本招标项目的代建人；"/>
      <w:bookmarkEnd w:id="31"/>
      <w:r>
        <w:rPr>
          <w:rFonts w:hint="eastAsia"/>
          <w:sz w:val="21"/>
          <w:szCs w:val="21"/>
          <w:highlight w:val="none"/>
        </w:rPr>
        <w:t>为本招标项目的代建人；</w:t>
      </w:r>
    </w:p>
    <w:p w14:paraId="784A0258">
      <w:pPr>
        <w:pStyle w:val="70"/>
        <w:numPr>
          <w:ilvl w:val="0"/>
          <w:numId w:val="10"/>
        </w:numPr>
        <w:tabs>
          <w:tab w:val="left" w:pos="1815"/>
        </w:tabs>
        <w:spacing w:before="158"/>
        <w:ind w:hanging="602"/>
        <w:rPr>
          <w:sz w:val="21"/>
          <w:szCs w:val="21"/>
          <w:highlight w:val="none"/>
        </w:rPr>
      </w:pPr>
      <w:bookmarkStart w:id="32" w:name="（5）为本招标项目提供招标代理服务的；"/>
      <w:bookmarkEnd w:id="32"/>
      <w:r>
        <w:rPr>
          <w:rFonts w:hint="eastAsia"/>
          <w:sz w:val="21"/>
          <w:szCs w:val="21"/>
          <w:highlight w:val="none"/>
        </w:rPr>
        <w:t>为本招标项目提供招标代理服务的；</w:t>
      </w:r>
    </w:p>
    <w:p w14:paraId="3CB51B37">
      <w:pPr>
        <w:pStyle w:val="70"/>
        <w:numPr>
          <w:ilvl w:val="0"/>
          <w:numId w:val="10"/>
        </w:numPr>
        <w:tabs>
          <w:tab w:val="left" w:pos="1815"/>
        </w:tabs>
        <w:spacing w:before="160"/>
        <w:ind w:hanging="602"/>
        <w:rPr>
          <w:sz w:val="21"/>
          <w:szCs w:val="21"/>
          <w:highlight w:val="none"/>
        </w:rPr>
      </w:pPr>
      <w:bookmarkStart w:id="33" w:name="（6）与本招标项目的监理人或代建人或采购代理机构同为一个法定代表人的；"/>
      <w:bookmarkEnd w:id="33"/>
      <w:r>
        <w:rPr>
          <w:rFonts w:hint="eastAsia"/>
          <w:sz w:val="21"/>
          <w:szCs w:val="21"/>
          <w:highlight w:val="none"/>
        </w:rPr>
        <w:t>与本招标项目的监理人或代建人或</w:t>
      </w:r>
      <w:r>
        <w:rPr>
          <w:rFonts w:hint="eastAsia"/>
          <w:sz w:val="21"/>
          <w:szCs w:val="21"/>
          <w:highlight w:val="none"/>
          <w:lang w:eastAsia="zh-CN"/>
        </w:rPr>
        <w:t>招标代理机构</w:t>
      </w:r>
      <w:r>
        <w:rPr>
          <w:rFonts w:hint="eastAsia"/>
          <w:sz w:val="21"/>
          <w:szCs w:val="21"/>
          <w:highlight w:val="none"/>
        </w:rPr>
        <w:t>同为一个法定代表人的；</w:t>
      </w:r>
    </w:p>
    <w:p w14:paraId="72802233">
      <w:pPr>
        <w:rPr>
          <w:sz w:val="21"/>
          <w:szCs w:val="21"/>
          <w:highlight w:val="none"/>
        </w:rPr>
        <w:sectPr>
          <w:footerReference r:id="rId4" w:type="default"/>
          <w:pgSz w:w="11910" w:h="16840"/>
          <w:pgMar w:top="1400" w:right="180" w:bottom="1100" w:left="800" w:header="0" w:footer="909" w:gutter="0"/>
          <w:cols w:space="720" w:num="1"/>
        </w:sectPr>
      </w:pPr>
    </w:p>
    <w:p w14:paraId="2DC6071B">
      <w:pPr>
        <w:pStyle w:val="70"/>
        <w:numPr>
          <w:ilvl w:val="0"/>
          <w:numId w:val="10"/>
        </w:numPr>
        <w:tabs>
          <w:tab w:val="left" w:pos="1815"/>
        </w:tabs>
        <w:spacing w:before="44"/>
        <w:ind w:hanging="602"/>
        <w:rPr>
          <w:sz w:val="21"/>
          <w:szCs w:val="21"/>
          <w:highlight w:val="none"/>
        </w:rPr>
      </w:pPr>
      <w:bookmarkStart w:id="34" w:name="（7）与本招标项目的监理人或代建人或采购代理机构相互控股或参股的；"/>
      <w:bookmarkEnd w:id="34"/>
      <w:r>
        <w:rPr>
          <w:rFonts w:hint="eastAsia"/>
          <w:sz w:val="21"/>
          <w:szCs w:val="21"/>
          <w:highlight w:val="none"/>
        </w:rPr>
        <w:t>与本招标项目的监理人或代建人或</w:t>
      </w:r>
      <w:r>
        <w:rPr>
          <w:rFonts w:hint="eastAsia"/>
          <w:sz w:val="21"/>
          <w:szCs w:val="21"/>
          <w:highlight w:val="none"/>
          <w:lang w:eastAsia="zh-CN"/>
        </w:rPr>
        <w:t>招标代理机构</w:t>
      </w:r>
      <w:r>
        <w:rPr>
          <w:rFonts w:hint="eastAsia"/>
          <w:sz w:val="21"/>
          <w:szCs w:val="21"/>
          <w:highlight w:val="none"/>
        </w:rPr>
        <w:t>相互控股或参股的；</w:t>
      </w:r>
    </w:p>
    <w:p w14:paraId="169A1DEF">
      <w:pPr>
        <w:pStyle w:val="70"/>
        <w:numPr>
          <w:ilvl w:val="0"/>
          <w:numId w:val="10"/>
        </w:numPr>
        <w:tabs>
          <w:tab w:val="left" w:pos="1815"/>
        </w:tabs>
        <w:spacing w:before="160"/>
        <w:ind w:hanging="602"/>
        <w:rPr>
          <w:sz w:val="21"/>
          <w:szCs w:val="21"/>
          <w:highlight w:val="none"/>
        </w:rPr>
      </w:pPr>
      <w:bookmarkStart w:id="35" w:name="（8）与本招标项目的监理人或代建人或采购代理机构相互任职或工作的；"/>
      <w:bookmarkEnd w:id="35"/>
      <w:r>
        <w:rPr>
          <w:rFonts w:hint="eastAsia"/>
          <w:sz w:val="21"/>
          <w:szCs w:val="21"/>
          <w:highlight w:val="none"/>
        </w:rPr>
        <w:t>与本招标项目的监理人或代建人或</w:t>
      </w:r>
      <w:r>
        <w:rPr>
          <w:rFonts w:hint="eastAsia"/>
          <w:sz w:val="21"/>
          <w:szCs w:val="21"/>
          <w:highlight w:val="none"/>
          <w:lang w:eastAsia="zh-CN"/>
        </w:rPr>
        <w:t>招标代理机构</w:t>
      </w:r>
      <w:r>
        <w:rPr>
          <w:rFonts w:hint="eastAsia"/>
          <w:sz w:val="21"/>
          <w:szCs w:val="21"/>
          <w:highlight w:val="none"/>
        </w:rPr>
        <w:t>相互任职或工作的；</w:t>
      </w:r>
    </w:p>
    <w:p w14:paraId="379CD477">
      <w:pPr>
        <w:pStyle w:val="70"/>
        <w:numPr>
          <w:ilvl w:val="0"/>
          <w:numId w:val="10"/>
        </w:numPr>
        <w:tabs>
          <w:tab w:val="left" w:pos="1815"/>
        </w:tabs>
        <w:spacing w:before="158"/>
        <w:ind w:hanging="602"/>
        <w:rPr>
          <w:sz w:val="21"/>
          <w:szCs w:val="21"/>
          <w:highlight w:val="none"/>
        </w:rPr>
      </w:pPr>
      <w:bookmarkStart w:id="36" w:name="（9）投标单位负责人为同一人或者存在控股、管理关系的不同单位的；"/>
      <w:bookmarkEnd w:id="36"/>
      <w:r>
        <w:rPr>
          <w:rFonts w:hint="eastAsia"/>
          <w:sz w:val="21"/>
          <w:szCs w:val="21"/>
          <w:highlight w:val="none"/>
        </w:rPr>
        <w:t>投标单位负责人为同一人或者存在控股、管理关系的不同单位的；</w:t>
      </w:r>
    </w:p>
    <w:p w14:paraId="79BEEAEE">
      <w:pPr>
        <w:pStyle w:val="70"/>
        <w:numPr>
          <w:ilvl w:val="0"/>
          <w:numId w:val="10"/>
        </w:numPr>
        <w:tabs>
          <w:tab w:val="left" w:pos="1935"/>
        </w:tabs>
        <w:spacing w:before="161"/>
        <w:ind w:left="1934" w:hanging="722"/>
        <w:rPr>
          <w:sz w:val="21"/>
          <w:szCs w:val="21"/>
          <w:highlight w:val="none"/>
        </w:rPr>
      </w:pPr>
      <w:bookmarkStart w:id="37" w:name="（10）被责令停业的；"/>
      <w:bookmarkEnd w:id="37"/>
      <w:r>
        <w:rPr>
          <w:rFonts w:hint="eastAsia"/>
          <w:sz w:val="21"/>
          <w:szCs w:val="21"/>
          <w:highlight w:val="none"/>
        </w:rPr>
        <w:t>被责令停业的；</w:t>
      </w:r>
    </w:p>
    <w:p w14:paraId="491CEFAF">
      <w:pPr>
        <w:pStyle w:val="70"/>
        <w:numPr>
          <w:ilvl w:val="0"/>
          <w:numId w:val="10"/>
        </w:numPr>
        <w:tabs>
          <w:tab w:val="left" w:pos="1935"/>
        </w:tabs>
        <w:spacing w:before="158"/>
        <w:ind w:left="1934" w:hanging="722"/>
        <w:rPr>
          <w:sz w:val="21"/>
          <w:szCs w:val="21"/>
          <w:highlight w:val="none"/>
        </w:rPr>
      </w:pPr>
      <w:bookmarkStart w:id="38" w:name="（11）被暂停或取消投标资格的；"/>
      <w:bookmarkEnd w:id="38"/>
      <w:r>
        <w:rPr>
          <w:rFonts w:hint="eastAsia"/>
          <w:sz w:val="21"/>
          <w:szCs w:val="21"/>
          <w:highlight w:val="none"/>
        </w:rPr>
        <w:t>被暂停或取消投标资格的；</w:t>
      </w:r>
    </w:p>
    <w:p w14:paraId="4579996E">
      <w:pPr>
        <w:pStyle w:val="70"/>
        <w:numPr>
          <w:ilvl w:val="0"/>
          <w:numId w:val="10"/>
        </w:numPr>
        <w:tabs>
          <w:tab w:val="left" w:pos="1935"/>
        </w:tabs>
        <w:spacing w:before="160"/>
        <w:ind w:left="1934" w:hanging="722"/>
        <w:rPr>
          <w:sz w:val="21"/>
          <w:szCs w:val="21"/>
          <w:highlight w:val="none"/>
        </w:rPr>
      </w:pPr>
      <w:bookmarkStart w:id="39" w:name="（12）财产被接管或冻结的；"/>
      <w:bookmarkEnd w:id="39"/>
      <w:r>
        <w:rPr>
          <w:rFonts w:hint="eastAsia"/>
          <w:sz w:val="21"/>
          <w:szCs w:val="21"/>
          <w:highlight w:val="none"/>
        </w:rPr>
        <w:t>财产被接管或冻结的；</w:t>
      </w:r>
    </w:p>
    <w:p w14:paraId="6C66C4DA">
      <w:pPr>
        <w:pStyle w:val="70"/>
        <w:numPr>
          <w:ilvl w:val="0"/>
          <w:numId w:val="10"/>
        </w:numPr>
        <w:tabs>
          <w:tab w:val="left" w:pos="1935"/>
        </w:tabs>
        <w:spacing w:before="161"/>
        <w:ind w:left="1934" w:hanging="722"/>
        <w:rPr>
          <w:sz w:val="21"/>
          <w:szCs w:val="21"/>
          <w:highlight w:val="none"/>
        </w:rPr>
      </w:pPr>
      <w:bookmarkStart w:id="40" w:name="（13）在最近三年内有骗取中标或严重违约或重大工程质量问题的。"/>
      <w:bookmarkEnd w:id="40"/>
      <w:r>
        <w:rPr>
          <w:rFonts w:hint="eastAsia"/>
          <w:sz w:val="21"/>
          <w:szCs w:val="21"/>
          <w:highlight w:val="none"/>
        </w:rPr>
        <w:t>在最近三年内有骗取中标或严重违约或重大工程质量问题的</w:t>
      </w:r>
      <w:r>
        <w:rPr>
          <w:rFonts w:hint="eastAsia"/>
          <w:sz w:val="21"/>
          <w:szCs w:val="21"/>
          <w:highlight w:val="none"/>
          <w:lang w:eastAsia="zh-CN"/>
        </w:rPr>
        <w:t>；</w:t>
      </w:r>
    </w:p>
    <w:p w14:paraId="4C3AF135">
      <w:pPr>
        <w:pStyle w:val="70"/>
        <w:numPr>
          <w:ilvl w:val="0"/>
          <w:numId w:val="10"/>
        </w:numPr>
        <w:tabs>
          <w:tab w:val="left" w:pos="1935"/>
        </w:tabs>
        <w:spacing w:before="161"/>
        <w:ind w:left="1934" w:hanging="722"/>
        <w:rPr>
          <w:sz w:val="21"/>
          <w:szCs w:val="21"/>
          <w:highlight w:val="none"/>
        </w:rPr>
      </w:pPr>
      <w:r>
        <w:rPr>
          <w:rFonts w:hint="eastAsia"/>
          <w:sz w:val="21"/>
          <w:szCs w:val="21"/>
          <w:highlight w:val="none"/>
          <w:lang w:val="en-US" w:eastAsia="zh-CN"/>
        </w:rPr>
        <w:t>投标人违反</w:t>
      </w:r>
      <w:r>
        <w:rPr>
          <w:rFonts w:hint="eastAsia"/>
          <w:spacing w:val="-9"/>
          <w:sz w:val="21"/>
          <w:szCs w:val="21"/>
          <w:highlight w:val="none"/>
        </w:rPr>
        <w:t>《中华人民共和国政府采购法》</w:t>
      </w:r>
      <w:r>
        <w:rPr>
          <w:rFonts w:hint="eastAsia"/>
          <w:sz w:val="21"/>
          <w:szCs w:val="21"/>
          <w:highlight w:val="none"/>
          <w:lang w:val="en-US" w:eastAsia="zh-CN"/>
        </w:rPr>
        <w:t>二十二条有关规定；</w:t>
      </w:r>
    </w:p>
    <w:p w14:paraId="19050185">
      <w:pPr>
        <w:pStyle w:val="70"/>
        <w:numPr>
          <w:ilvl w:val="0"/>
          <w:numId w:val="10"/>
        </w:numPr>
        <w:tabs>
          <w:tab w:val="left" w:pos="1935"/>
        </w:tabs>
        <w:spacing w:before="161"/>
        <w:ind w:left="1934" w:hanging="722"/>
        <w:rPr>
          <w:sz w:val="21"/>
          <w:szCs w:val="21"/>
          <w:highlight w:val="none"/>
        </w:rPr>
      </w:pPr>
      <w:r>
        <w:rPr>
          <w:rFonts w:hint="eastAsia"/>
          <w:sz w:val="21"/>
          <w:szCs w:val="21"/>
          <w:highlight w:val="none"/>
          <w:lang w:val="en-US" w:eastAsia="zh-CN"/>
        </w:rPr>
        <w:t>投标人违反相关法律法规规定的其他情形。</w:t>
      </w:r>
    </w:p>
    <w:p w14:paraId="2D1FBCAE">
      <w:pPr>
        <w:pStyle w:val="70"/>
        <w:numPr>
          <w:ilvl w:val="1"/>
          <w:numId w:val="8"/>
        </w:numPr>
        <w:tabs>
          <w:tab w:val="left" w:pos="1634"/>
        </w:tabs>
        <w:spacing w:before="158"/>
        <w:ind w:left="1581" w:leftChars="0" w:hanging="481" w:firstLineChars="0"/>
        <w:rPr>
          <w:sz w:val="21"/>
          <w:szCs w:val="21"/>
          <w:highlight w:val="none"/>
        </w:rPr>
      </w:pPr>
      <w:bookmarkStart w:id="41" w:name="1.5_费用承担"/>
      <w:bookmarkEnd w:id="41"/>
      <w:r>
        <w:rPr>
          <w:rFonts w:hint="eastAsia"/>
          <w:sz w:val="21"/>
          <w:szCs w:val="21"/>
          <w:highlight w:val="none"/>
        </w:rPr>
        <w:t>费用承担</w:t>
      </w:r>
    </w:p>
    <w:p w14:paraId="4C7A1811">
      <w:pPr>
        <w:pStyle w:val="70"/>
        <w:numPr>
          <w:ilvl w:val="2"/>
          <w:numId w:val="8"/>
        </w:numPr>
        <w:tabs>
          <w:tab w:val="left" w:pos="1874"/>
        </w:tabs>
        <w:spacing w:before="160"/>
        <w:ind w:left="1873" w:hanging="661"/>
        <w:rPr>
          <w:sz w:val="21"/>
          <w:szCs w:val="21"/>
          <w:highlight w:val="none"/>
        </w:rPr>
      </w:pPr>
      <w:bookmarkStart w:id="42" w:name="1.5.1投标人准备和参加投标活动发生的费用自理。"/>
      <w:bookmarkEnd w:id="42"/>
      <w:r>
        <w:rPr>
          <w:rFonts w:hint="eastAsia"/>
          <w:sz w:val="21"/>
          <w:szCs w:val="21"/>
          <w:highlight w:val="none"/>
        </w:rPr>
        <w:t>投标人准备和参加投标活动发生的费用自理。</w:t>
      </w:r>
    </w:p>
    <w:p w14:paraId="366C2054">
      <w:pPr>
        <w:pStyle w:val="70"/>
        <w:numPr>
          <w:ilvl w:val="1"/>
          <w:numId w:val="8"/>
        </w:numPr>
        <w:tabs>
          <w:tab w:val="left" w:pos="1634"/>
        </w:tabs>
        <w:spacing w:before="158"/>
        <w:ind w:left="1581" w:leftChars="0" w:hanging="481" w:firstLineChars="0"/>
        <w:rPr>
          <w:sz w:val="21"/>
          <w:szCs w:val="21"/>
          <w:highlight w:val="none"/>
        </w:rPr>
      </w:pPr>
      <w:bookmarkStart w:id="43" w:name="1.6_保密"/>
      <w:bookmarkEnd w:id="43"/>
      <w:r>
        <w:rPr>
          <w:rFonts w:hint="eastAsia"/>
          <w:sz w:val="21"/>
          <w:szCs w:val="21"/>
          <w:highlight w:val="none"/>
        </w:rPr>
        <w:t>保密</w:t>
      </w:r>
    </w:p>
    <w:p w14:paraId="00114CC6">
      <w:pPr>
        <w:pStyle w:val="16"/>
        <w:spacing w:before="159" w:line="364" w:lineRule="auto"/>
        <w:ind w:left="673" w:right="1293" w:firstLine="480"/>
        <w:rPr>
          <w:sz w:val="21"/>
          <w:szCs w:val="21"/>
          <w:highlight w:val="none"/>
        </w:rPr>
      </w:pPr>
      <w:bookmarkStart w:id="44" w:name="参与招标投标活动的各方应对招标文件和投标文件中的商业和技术等秘密保密，违者应对由"/>
      <w:bookmarkEnd w:id="44"/>
      <w:r>
        <w:rPr>
          <w:rFonts w:hint="eastAsia"/>
          <w:sz w:val="21"/>
          <w:szCs w:val="21"/>
          <w:highlight w:val="none"/>
        </w:rPr>
        <w:t>参与招标投标活动的各方应对招标文件和投标文件中的商业和技术等秘密保密， 违者应对由此造成的后果承担法律责任。</w:t>
      </w:r>
    </w:p>
    <w:p w14:paraId="0A460F5C">
      <w:pPr>
        <w:pStyle w:val="70"/>
        <w:numPr>
          <w:ilvl w:val="1"/>
          <w:numId w:val="8"/>
        </w:numPr>
        <w:tabs>
          <w:tab w:val="left" w:pos="1634"/>
        </w:tabs>
        <w:spacing w:before="1"/>
        <w:ind w:left="1581" w:leftChars="0" w:hanging="481" w:firstLineChars="0"/>
        <w:rPr>
          <w:sz w:val="21"/>
          <w:szCs w:val="21"/>
          <w:highlight w:val="none"/>
        </w:rPr>
      </w:pPr>
      <w:bookmarkStart w:id="45" w:name="1.7_语言文字"/>
      <w:bookmarkEnd w:id="45"/>
      <w:r>
        <w:rPr>
          <w:rFonts w:hint="eastAsia"/>
          <w:sz w:val="21"/>
          <w:szCs w:val="21"/>
          <w:highlight w:val="none"/>
        </w:rPr>
        <w:t>语言文字</w:t>
      </w:r>
    </w:p>
    <w:p w14:paraId="1BBA99A9">
      <w:pPr>
        <w:pStyle w:val="16"/>
        <w:spacing w:before="158" w:line="364" w:lineRule="auto"/>
        <w:ind w:left="673" w:right="1293" w:firstLine="480"/>
        <w:rPr>
          <w:sz w:val="21"/>
          <w:szCs w:val="21"/>
          <w:highlight w:val="none"/>
        </w:rPr>
      </w:pPr>
      <w:bookmarkStart w:id="46" w:name="除专用术语外，与招标投标有关的语言均使用中文。必要时专用术语应附有中文注释。"/>
      <w:bookmarkEnd w:id="46"/>
      <w:r>
        <w:rPr>
          <w:rFonts w:hint="eastAsia"/>
          <w:sz w:val="21"/>
          <w:szCs w:val="21"/>
          <w:highlight w:val="none"/>
        </w:rPr>
        <w:t>除专用术语外，与招标投标有关的语言均使用中文。必要时专用术语应附有中文注释。</w:t>
      </w:r>
    </w:p>
    <w:p w14:paraId="3274602F">
      <w:pPr>
        <w:pStyle w:val="70"/>
        <w:numPr>
          <w:ilvl w:val="1"/>
          <w:numId w:val="8"/>
        </w:numPr>
        <w:tabs>
          <w:tab w:val="left" w:pos="1634"/>
        </w:tabs>
        <w:spacing w:line="306" w:lineRule="exact"/>
        <w:ind w:left="1581" w:leftChars="0" w:hanging="481" w:firstLineChars="0"/>
        <w:rPr>
          <w:sz w:val="21"/>
          <w:szCs w:val="21"/>
          <w:highlight w:val="none"/>
        </w:rPr>
      </w:pPr>
      <w:bookmarkStart w:id="47" w:name="1.8_计量单位"/>
      <w:bookmarkEnd w:id="47"/>
      <w:r>
        <w:rPr>
          <w:rFonts w:hint="eastAsia"/>
          <w:sz w:val="21"/>
          <w:szCs w:val="21"/>
          <w:highlight w:val="none"/>
        </w:rPr>
        <w:t>计量单位</w:t>
      </w:r>
    </w:p>
    <w:p w14:paraId="4C9D8F02">
      <w:pPr>
        <w:pStyle w:val="16"/>
        <w:spacing w:before="160"/>
        <w:ind w:left="1153"/>
        <w:rPr>
          <w:sz w:val="21"/>
          <w:szCs w:val="21"/>
          <w:highlight w:val="none"/>
        </w:rPr>
      </w:pPr>
      <w:bookmarkStart w:id="48" w:name="所有计量均采用中华人民共和国法定计量单位。"/>
      <w:bookmarkEnd w:id="48"/>
      <w:r>
        <w:rPr>
          <w:rFonts w:hint="eastAsia"/>
          <w:sz w:val="21"/>
          <w:szCs w:val="21"/>
          <w:highlight w:val="none"/>
        </w:rPr>
        <w:t>所有计量均采用中华人民共和国法定计量单位。</w:t>
      </w:r>
    </w:p>
    <w:p w14:paraId="232FBA75">
      <w:pPr>
        <w:pStyle w:val="70"/>
        <w:numPr>
          <w:ilvl w:val="1"/>
          <w:numId w:val="8"/>
        </w:numPr>
        <w:tabs>
          <w:tab w:val="left" w:pos="1634"/>
        </w:tabs>
        <w:spacing w:before="158"/>
        <w:ind w:left="1581" w:leftChars="0" w:hanging="481" w:firstLineChars="0"/>
        <w:rPr>
          <w:sz w:val="21"/>
          <w:szCs w:val="21"/>
          <w:highlight w:val="none"/>
        </w:rPr>
      </w:pPr>
      <w:bookmarkStart w:id="49" w:name="1.9_踏勘现场"/>
      <w:bookmarkEnd w:id="49"/>
      <w:r>
        <w:rPr>
          <w:rFonts w:hint="eastAsia"/>
          <w:sz w:val="21"/>
          <w:szCs w:val="21"/>
          <w:highlight w:val="none"/>
        </w:rPr>
        <w:t>踏勘现场</w:t>
      </w:r>
    </w:p>
    <w:p w14:paraId="40385F87">
      <w:pPr>
        <w:pStyle w:val="70"/>
        <w:numPr>
          <w:ilvl w:val="2"/>
          <w:numId w:val="8"/>
        </w:numPr>
        <w:tabs>
          <w:tab w:val="left" w:pos="1874"/>
        </w:tabs>
        <w:spacing w:before="161"/>
        <w:ind w:left="1873" w:hanging="721"/>
        <w:rPr>
          <w:sz w:val="21"/>
          <w:szCs w:val="21"/>
          <w:highlight w:val="none"/>
        </w:rPr>
      </w:pPr>
      <w:bookmarkStart w:id="50" w:name="1.9.1_踏勘现场：见投标人须知前附表。"/>
      <w:bookmarkEnd w:id="50"/>
      <w:r>
        <w:rPr>
          <w:rFonts w:hint="eastAsia"/>
          <w:sz w:val="21"/>
          <w:szCs w:val="21"/>
          <w:highlight w:val="none"/>
        </w:rPr>
        <w:t>踏勘现场：见投标人须知前附表。</w:t>
      </w:r>
    </w:p>
    <w:p w14:paraId="26B04E39">
      <w:pPr>
        <w:pStyle w:val="70"/>
        <w:numPr>
          <w:ilvl w:val="2"/>
          <w:numId w:val="8"/>
        </w:numPr>
        <w:tabs>
          <w:tab w:val="left" w:pos="1874"/>
        </w:tabs>
        <w:spacing w:before="158"/>
        <w:ind w:left="1873" w:hanging="721"/>
        <w:rPr>
          <w:sz w:val="21"/>
          <w:szCs w:val="21"/>
          <w:highlight w:val="none"/>
        </w:rPr>
      </w:pPr>
      <w:bookmarkStart w:id="51" w:name="1.9.2_投标人踏勘现场发生的费用自理。"/>
      <w:bookmarkEnd w:id="51"/>
      <w:r>
        <w:rPr>
          <w:rFonts w:hint="eastAsia"/>
          <w:sz w:val="21"/>
          <w:szCs w:val="21"/>
          <w:highlight w:val="none"/>
        </w:rPr>
        <w:t>投标人踏勘现场发生的费用自理。</w:t>
      </w:r>
    </w:p>
    <w:p w14:paraId="51AFA0F8">
      <w:pPr>
        <w:pStyle w:val="70"/>
        <w:numPr>
          <w:ilvl w:val="2"/>
          <w:numId w:val="8"/>
        </w:numPr>
        <w:tabs>
          <w:tab w:val="left" w:pos="1876"/>
        </w:tabs>
        <w:spacing w:before="160" w:line="362" w:lineRule="auto"/>
        <w:ind w:right="1293" w:firstLine="480"/>
        <w:rPr>
          <w:sz w:val="21"/>
          <w:szCs w:val="21"/>
          <w:highlight w:val="none"/>
        </w:rPr>
      </w:pPr>
      <w:bookmarkStart w:id="52" w:name="1.9.3_除采购人的原因外，投标人自行负责在踏勘现场中所发生的人员伤亡和财产损"/>
      <w:bookmarkEnd w:id="52"/>
      <w:r>
        <w:rPr>
          <w:rFonts w:hint="eastAsia"/>
          <w:sz w:val="21"/>
          <w:szCs w:val="21"/>
          <w:highlight w:val="none"/>
        </w:rPr>
        <w:t>除</w:t>
      </w:r>
      <w:r>
        <w:rPr>
          <w:rFonts w:hint="eastAsia"/>
          <w:sz w:val="21"/>
          <w:szCs w:val="21"/>
          <w:highlight w:val="none"/>
          <w:lang w:eastAsia="zh-CN"/>
        </w:rPr>
        <w:t>招标人</w:t>
      </w:r>
      <w:r>
        <w:rPr>
          <w:rFonts w:hint="eastAsia"/>
          <w:sz w:val="21"/>
          <w:szCs w:val="21"/>
          <w:highlight w:val="none"/>
        </w:rPr>
        <w:t>的原因外，投标人自行负责在踏勘现场中所发生的人员伤亡和财产损失。</w:t>
      </w:r>
    </w:p>
    <w:p w14:paraId="001EB456">
      <w:pPr>
        <w:pStyle w:val="70"/>
        <w:numPr>
          <w:ilvl w:val="2"/>
          <w:numId w:val="8"/>
        </w:numPr>
        <w:tabs>
          <w:tab w:val="left" w:pos="1876"/>
        </w:tabs>
        <w:spacing w:before="5" w:line="364" w:lineRule="auto"/>
        <w:ind w:right="1293" w:firstLine="480"/>
        <w:rPr>
          <w:sz w:val="21"/>
          <w:szCs w:val="21"/>
          <w:highlight w:val="none"/>
        </w:rPr>
      </w:pPr>
      <w:bookmarkStart w:id="53" w:name="1.9.4_采购人在踏勘现场中介绍的工程场地和相关的周边环境情况，供投标人在编制"/>
      <w:bookmarkEnd w:id="53"/>
      <w:r>
        <w:rPr>
          <w:rFonts w:hint="eastAsia"/>
          <w:sz w:val="21"/>
          <w:szCs w:val="21"/>
          <w:highlight w:val="none"/>
          <w:lang w:eastAsia="zh-CN"/>
        </w:rPr>
        <w:t>招标人</w:t>
      </w:r>
      <w:r>
        <w:rPr>
          <w:rFonts w:hint="eastAsia"/>
          <w:sz w:val="21"/>
          <w:szCs w:val="21"/>
          <w:highlight w:val="none"/>
        </w:rPr>
        <w:t>在踏勘现场中介绍的工程场地和相关的周边环境情况，供投标人在编制投标文件时参考，</w:t>
      </w:r>
      <w:r>
        <w:rPr>
          <w:rFonts w:hint="eastAsia"/>
          <w:sz w:val="21"/>
          <w:szCs w:val="21"/>
          <w:highlight w:val="none"/>
          <w:lang w:eastAsia="zh-CN"/>
        </w:rPr>
        <w:t>招标人</w:t>
      </w:r>
      <w:r>
        <w:rPr>
          <w:rFonts w:hint="eastAsia"/>
          <w:sz w:val="21"/>
          <w:szCs w:val="21"/>
          <w:highlight w:val="none"/>
        </w:rPr>
        <w:t>不对投标人据此作出的判断和决策负责。</w:t>
      </w:r>
    </w:p>
    <w:p w14:paraId="1CE8A45B">
      <w:pPr>
        <w:pStyle w:val="70"/>
        <w:numPr>
          <w:ilvl w:val="1"/>
          <w:numId w:val="8"/>
        </w:numPr>
        <w:tabs>
          <w:tab w:val="left" w:pos="1754"/>
        </w:tabs>
        <w:spacing w:line="306" w:lineRule="exact"/>
        <w:ind w:left="1701" w:leftChars="0" w:hanging="601" w:firstLineChars="0"/>
        <w:rPr>
          <w:sz w:val="21"/>
          <w:szCs w:val="21"/>
          <w:highlight w:val="none"/>
        </w:rPr>
      </w:pPr>
      <w:bookmarkStart w:id="54" w:name="1.10_答疑"/>
      <w:bookmarkEnd w:id="54"/>
      <w:r>
        <w:rPr>
          <w:rFonts w:hint="eastAsia"/>
          <w:sz w:val="21"/>
          <w:szCs w:val="21"/>
          <w:highlight w:val="none"/>
        </w:rPr>
        <w:t>答疑</w:t>
      </w:r>
    </w:p>
    <w:p w14:paraId="7222F824">
      <w:pPr>
        <w:pStyle w:val="16"/>
        <w:spacing w:before="159"/>
        <w:ind w:left="1153"/>
        <w:rPr>
          <w:sz w:val="21"/>
          <w:szCs w:val="21"/>
          <w:highlight w:val="none"/>
        </w:rPr>
      </w:pPr>
      <w:r>
        <w:rPr>
          <w:rFonts w:hint="eastAsia"/>
          <w:sz w:val="21"/>
          <w:szCs w:val="21"/>
          <w:highlight w:val="none"/>
        </w:rPr>
        <w:t>见投标人须知前附表。</w:t>
      </w:r>
    </w:p>
    <w:p w14:paraId="480A286A">
      <w:pPr>
        <w:pStyle w:val="16"/>
        <w:spacing w:before="160"/>
        <w:ind w:left="1153"/>
        <w:rPr>
          <w:sz w:val="21"/>
          <w:szCs w:val="21"/>
          <w:highlight w:val="none"/>
        </w:rPr>
      </w:pPr>
      <w:bookmarkStart w:id="55" w:name="答疑内容为招标文件的组成部分。"/>
      <w:bookmarkEnd w:id="55"/>
      <w:r>
        <w:rPr>
          <w:rFonts w:hint="eastAsia"/>
          <w:sz w:val="21"/>
          <w:szCs w:val="21"/>
          <w:highlight w:val="none"/>
        </w:rPr>
        <w:t>答疑内容为招标文件的组成部分。</w:t>
      </w:r>
    </w:p>
    <w:p w14:paraId="2CC4B77C">
      <w:pPr>
        <w:pStyle w:val="70"/>
        <w:numPr>
          <w:ilvl w:val="1"/>
          <w:numId w:val="8"/>
        </w:numPr>
        <w:tabs>
          <w:tab w:val="left" w:pos="1754"/>
        </w:tabs>
        <w:spacing w:before="161"/>
        <w:ind w:left="1701" w:leftChars="0" w:hanging="601" w:firstLineChars="0"/>
        <w:rPr>
          <w:sz w:val="21"/>
          <w:szCs w:val="21"/>
          <w:highlight w:val="none"/>
        </w:rPr>
      </w:pPr>
      <w:bookmarkStart w:id="56" w:name="1.11_分包"/>
      <w:bookmarkEnd w:id="56"/>
      <w:r>
        <w:rPr>
          <w:rFonts w:hint="eastAsia"/>
          <w:sz w:val="21"/>
          <w:szCs w:val="21"/>
          <w:highlight w:val="none"/>
        </w:rPr>
        <w:t>分包</w:t>
      </w:r>
    </w:p>
    <w:p w14:paraId="60AD8E07">
      <w:pPr>
        <w:pStyle w:val="16"/>
        <w:spacing w:before="158"/>
        <w:ind w:left="1153"/>
        <w:rPr>
          <w:sz w:val="21"/>
          <w:szCs w:val="21"/>
          <w:highlight w:val="none"/>
        </w:rPr>
      </w:pPr>
      <w:r>
        <w:rPr>
          <w:rFonts w:hint="eastAsia"/>
          <w:sz w:val="21"/>
          <w:szCs w:val="21"/>
          <w:highlight w:val="none"/>
        </w:rPr>
        <w:t>见投标人须知前附表。</w:t>
      </w:r>
    </w:p>
    <w:p w14:paraId="350AE274">
      <w:pPr>
        <w:pStyle w:val="70"/>
        <w:numPr>
          <w:ilvl w:val="1"/>
          <w:numId w:val="8"/>
        </w:numPr>
        <w:tabs>
          <w:tab w:val="left" w:pos="1754"/>
        </w:tabs>
        <w:spacing w:before="44"/>
        <w:ind w:left="1701" w:leftChars="0" w:hanging="601" w:firstLineChars="0"/>
        <w:rPr>
          <w:sz w:val="21"/>
          <w:szCs w:val="21"/>
          <w:highlight w:val="none"/>
        </w:rPr>
      </w:pPr>
      <w:bookmarkStart w:id="57" w:name="1.12_偏离"/>
      <w:bookmarkEnd w:id="57"/>
      <w:r>
        <w:rPr>
          <w:rFonts w:hint="eastAsia"/>
          <w:sz w:val="21"/>
          <w:szCs w:val="21"/>
          <w:highlight w:val="none"/>
        </w:rPr>
        <w:t>偏离</w:t>
      </w:r>
    </w:p>
    <w:p w14:paraId="2FEB06E8">
      <w:pPr>
        <w:pStyle w:val="16"/>
        <w:spacing w:before="160"/>
        <w:ind w:left="1153"/>
        <w:rPr>
          <w:rFonts w:hint="eastAsia"/>
          <w:sz w:val="21"/>
          <w:szCs w:val="21"/>
          <w:highlight w:val="none"/>
        </w:rPr>
      </w:pPr>
      <w:bookmarkStart w:id="58" w:name="见投标人须知前附表。"/>
      <w:bookmarkEnd w:id="58"/>
      <w:r>
        <w:rPr>
          <w:rFonts w:hint="eastAsia"/>
          <w:sz w:val="21"/>
          <w:szCs w:val="21"/>
          <w:highlight w:val="none"/>
        </w:rPr>
        <w:t>见投标人须知前附表。</w:t>
      </w:r>
    </w:p>
    <w:p w14:paraId="6A16D496">
      <w:pPr>
        <w:rPr>
          <w:highlight w:val="none"/>
        </w:rPr>
      </w:pPr>
    </w:p>
    <w:p w14:paraId="47330135">
      <w:pPr>
        <w:adjustRightInd w:val="0"/>
        <w:snapToGrid w:val="0"/>
        <w:spacing w:before="120" w:beforeLines="50" w:after="120" w:afterLines="50" w:line="360" w:lineRule="auto"/>
        <w:jc w:val="left"/>
        <w:rPr>
          <w:rFonts w:hint="eastAsia" w:ascii="宋体" w:hAnsi="宋体" w:eastAsia="宋体" w:cs="宋体"/>
          <w:sz w:val="21"/>
          <w:szCs w:val="21"/>
          <w:highlight w:val="none"/>
          <w:lang w:val="zh-CN" w:eastAsia="zh-CN" w:bidi="zh-CN"/>
        </w:rPr>
      </w:pPr>
      <w:r>
        <w:rPr>
          <w:rFonts w:hint="eastAsia"/>
          <w:sz w:val="21"/>
          <w:szCs w:val="21"/>
          <w:highlight w:val="none"/>
          <w:lang w:val="en-US" w:eastAsia="zh-CN"/>
        </w:rPr>
        <w:t xml:space="preserve">        </w:t>
      </w:r>
      <w:r>
        <w:rPr>
          <w:rFonts w:hint="eastAsia"/>
          <w:sz w:val="24"/>
          <w:szCs w:val="24"/>
          <w:highlight w:val="none"/>
          <w:lang w:val="en-US" w:eastAsia="zh-CN"/>
        </w:rPr>
        <w:t xml:space="preserve">  1.13 </w:t>
      </w:r>
      <w:r>
        <w:rPr>
          <w:rFonts w:hint="eastAsia" w:ascii="宋体" w:hAnsi="宋体" w:eastAsia="宋体" w:cs="宋体"/>
          <w:sz w:val="21"/>
          <w:szCs w:val="21"/>
          <w:highlight w:val="none"/>
          <w:lang w:val="zh-CN" w:eastAsia="zh-CN" w:bidi="zh-CN"/>
        </w:rPr>
        <w:t>享受的政府采购政策</w:t>
      </w:r>
    </w:p>
    <w:p w14:paraId="696924B6">
      <w:pPr>
        <w:pStyle w:val="20"/>
        <w:adjustRightInd w:val="0"/>
        <w:snapToGrid w:val="0"/>
        <w:spacing w:line="360" w:lineRule="auto"/>
        <w:ind w:firstLine="1260" w:firstLineChars="600"/>
        <w:rPr>
          <w:rFonts w:hint="eastAsia" w:ascii="宋体" w:hAnsi="宋体" w:eastAsia="宋体" w:cs="宋体"/>
          <w:sz w:val="21"/>
          <w:szCs w:val="21"/>
          <w:highlight w:val="none"/>
          <w:lang w:val="en-US" w:eastAsia="zh-CN" w:bidi="zh-CN"/>
        </w:rPr>
      </w:pPr>
      <w:r>
        <w:rPr>
          <w:rFonts w:hint="eastAsia" w:ascii="宋体" w:hAnsi="宋体" w:eastAsia="宋体" w:cs="宋体"/>
          <w:sz w:val="21"/>
          <w:szCs w:val="21"/>
          <w:highlight w:val="none"/>
          <w:lang w:val="en-US" w:eastAsia="zh-CN" w:bidi="zh-CN"/>
        </w:rPr>
        <w:t>1.13.1绿色发展政策</w:t>
      </w:r>
    </w:p>
    <w:p w14:paraId="019C1900">
      <w:pPr>
        <w:pStyle w:val="70"/>
        <w:keepNext w:val="0"/>
        <w:keepLines w:val="0"/>
        <w:pageBreakBefore w:val="0"/>
        <w:widowControl w:val="0"/>
        <w:numPr>
          <w:ilvl w:val="0"/>
          <w:numId w:val="0"/>
        </w:numPr>
        <w:tabs>
          <w:tab w:val="left" w:pos="1815"/>
        </w:tabs>
        <w:kinsoku/>
        <w:wordWrap/>
        <w:overflowPunct/>
        <w:topLinePunct w:val="0"/>
        <w:autoSpaceDE w:val="0"/>
        <w:autoSpaceDN w:val="0"/>
        <w:bidi w:val="0"/>
        <w:adjustRightInd/>
        <w:snapToGrid/>
        <w:spacing w:before="160" w:line="360" w:lineRule="auto"/>
        <w:ind w:left="1213"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本工程项目（标段）所需的主要材料与设备，将依据《节能产品、环境标志产品品目清单》和认证证书实施政府优先采购和强制采购。</w:t>
      </w:r>
    </w:p>
    <w:p w14:paraId="45776717">
      <w:pPr>
        <w:pStyle w:val="70"/>
        <w:keepNext w:val="0"/>
        <w:keepLines w:val="0"/>
        <w:pageBreakBefore w:val="0"/>
        <w:widowControl w:val="0"/>
        <w:numPr>
          <w:ilvl w:val="0"/>
          <w:numId w:val="0"/>
        </w:numPr>
        <w:tabs>
          <w:tab w:val="left" w:pos="1815"/>
        </w:tabs>
        <w:kinsoku/>
        <w:wordWrap/>
        <w:overflowPunct/>
        <w:topLinePunct w:val="0"/>
        <w:autoSpaceDE w:val="0"/>
        <w:autoSpaceDN w:val="0"/>
        <w:bidi w:val="0"/>
        <w:adjustRightInd/>
        <w:snapToGrid/>
        <w:spacing w:before="160" w:line="360" w:lineRule="auto"/>
        <w:ind w:left="1213"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cs="宋体"/>
          <w:sz w:val="21"/>
          <w:szCs w:val="21"/>
          <w:highlight w:val="none"/>
          <w:lang w:eastAsia="zh-CN"/>
        </w:rPr>
        <w:t>投标人</w:t>
      </w:r>
      <w:r>
        <w:rPr>
          <w:rFonts w:hint="eastAsia" w:ascii="宋体" w:hAnsi="宋体" w:eastAsia="宋体" w:cs="宋体"/>
          <w:sz w:val="21"/>
          <w:szCs w:val="21"/>
          <w:highlight w:val="none"/>
        </w:rPr>
        <w:t>可以提供所需主要原材料与设备经国家确定的认证机构出具的、处于有效期之内的节能产品、环境标志产品认证证书复印件。</w:t>
      </w:r>
      <w:r>
        <w:rPr>
          <w:rFonts w:hint="eastAsia" w:cs="宋体"/>
          <w:sz w:val="21"/>
          <w:szCs w:val="21"/>
          <w:highlight w:val="none"/>
          <w:lang w:eastAsia="zh-CN"/>
        </w:rPr>
        <w:t>招标代理机构</w:t>
      </w:r>
      <w:r>
        <w:rPr>
          <w:rFonts w:hint="eastAsia" w:ascii="宋体" w:hAnsi="宋体" w:eastAsia="宋体" w:cs="宋体"/>
          <w:sz w:val="21"/>
          <w:szCs w:val="21"/>
          <w:highlight w:val="none"/>
        </w:rPr>
        <w:t>通过中国政府采购网（</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"http://www.ccgp.gov.cn/"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http://www.ccgp.gov.cn/</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）对获证产品信息进行核对。</w:t>
      </w:r>
    </w:p>
    <w:p w14:paraId="310A6FFE">
      <w:pPr>
        <w:pStyle w:val="70"/>
        <w:keepNext w:val="0"/>
        <w:keepLines w:val="0"/>
        <w:pageBreakBefore w:val="0"/>
        <w:widowControl w:val="0"/>
        <w:numPr>
          <w:ilvl w:val="0"/>
          <w:numId w:val="0"/>
        </w:numPr>
        <w:tabs>
          <w:tab w:val="left" w:pos="1815"/>
        </w:tabs>
        <w:kinsoku/>
        <w:wordWrap/>
        <w:overflowPunct/>
        <w:topLinePunct w:val="0"/>
        <w:autoSpaceDE w:val="0"/>
        <w:autoSpaceDN w:val="0"/>
        <w:bidi w:val="0"/>
        <w:adjustRightInd/>
        <w:snapToGrid/>
        <w:spacing w:before="160" w:line="360" w:lineRule="auto"/>
        <w:ind w:left="1213"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cs="宋体"/>
          <w:sz w:val="21"/>
          <w:szCs w:val="21"/>
          <w:highlight w:val="none"/>
          <w:lang w:eastAsia="zh-CN"/>
        </w:rPr>
        <w:t>投标人</w:t>
      </w:r>
      <w:r>
        <w:rPr>
          <w:rFonts w:hint="eastAsia" w:ascii="宋体" w:hAnsi="宋体" w:eastAsia="宋体" w:cs="宋体"/>
          <w:sz w:val="21"/>
          <w:szCs w:val="21"/>
          <w:highlight w:val="none"/>
        </w:rPr>
        <w:t>提供的所需主要材料与设备属于下列情形之一的，属于优先采购的不再享受优先采购政策，或者属于强制采购的按无效响应文件处理：</w:t>
      </w:r>
    </w:p>
    <w:p w14:paraId="4701BA9A">
      <w:pPr>
        <w:pStyle w:val="70"/>
        <w:keepNext w:val="0"/>
        <w:keepLines w:val="0"/>
        <w:pageBreakBefore w:val="0"/>
        <w:widowControl w:val="0"/>
        <w:numPr>
          <w:ilvl w:val="0"/>
          <w:numId w:val="0"/>
        </w:numPr>
        <w:tabs>
          <w:tab w:val="left" w:pos="1815"/>
        </w:tabs>
        <w:kinsoku/>
        <w:wordWrap/>
        <w:overflowPunct/>
        <w:topLinePunct w:val="0"/>
        <w:autoSpaceDE w:val="0"/>
        <w:autoSpaceDN w:val="0"/>
        <w:bidi w:val="0"/>
        <w:adjustRightInd/>
        <w:snapToGrid/>
        <w:spacing w:before="160" w:line="360" w:lineRule="auto"/>
        <w:ind w:left="1213" w:leftChars="0"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 1 \* GB3 \* MERGEFORMAT </w:instrText>
      </w:r>
      <w:r>
        <w:rPr>
          <w:rFonts w:hint="eastAsia" w:ascii="宋体" w:hAnsi="宋体" w:eastAsia="宋体" w:cs="宋体"/>
          <w:sz w:val="21"/>
          <w:szCs w:val="21"/>
          <w:highlight w:val="none"/>
        </w:rPr>
        <w:fldChar w:fldCharType="separate"/>
      </w:r>
      <w:r>
        <w:rPr>
          <w:highlight w:val="none"/>
        </w:rPr>
        <w:t>①</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不属于《节能产品、环境标志产品品目清单》中的产品；</w:t>
      </w:r>
    </w:p>
    <w:p w14:paraId="5D5C3A7F">
      <w:pPr>
        <w:pStyle w:val="70"/>
        <w:keepNext w:val="0"/>
        <w:keepLines w:val="0"/>
        <w:pageBreakBefore w:val="0"/>
        <w:widowControl w:val="0"/>
        <w:numPr>
          <w:ilvl w:val="0"/>
          <w:numId w:val="0"/>
        </w:numPr>
        <w:tabs>
          <w:tab w:val="left" w:pos="1815"/>
        </w:tabs>
        <w:kinsoku/>
        <w:wordWrap/>
        <w:overflowPunct/>
        <w:topLinePunct w:val="0"/>
        <w:autoSpaceDE w:val="0"/>
        <w:autoSpaceDN w:val="0"/>
        <w:bidi w:val="0"/>
        <w:adjustRightInd/>
        <w:snapToGrid/>
        <w:spacing w:before="160" w:line="360" w:lineRule="auto"/>
        <w:ind w:left="1213" w:leftChars="0"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 2 \* GB3 \* MERGEFORMAT </w:instrText>
      </w:r>
      <w:r>
        <w:rPr>
          <w:rFonts w:hint="eastAsia" w:ascii="宋体" w:hAnsi="宋体" w:eastAsia="宋体" w:cs="宋体"/>
          <w:sz w:val="21"/>
          <w:szCs w:val="21"/>
          <w:highlight w:val="none"/>
        </w:rPr>
        <w:fldChar w:fldCharType="separate"/>
      </w:r>
      <w:r>
        <w:rPr>
          <w:highlight w:val="none"/>
        </w:rPr>
        <w:t>②</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未提供认证证书复印件或经核对认证证书存在信息有误的。</w:t>
      </w:r>
    </w:p>
    <w:p w14:paraId="5A38BDA7">
      <w:pPr>
        <w:pStyle w:val="70"/>
        <w:keepNext w:val="0"/>
        <w:keepLines w:val="0"/>
        <w:pageBreakBefore w:val="0"/>
        <w:widowControl w:val="0"/>
        <w:numPr>
          <w:ilvl w:val="0"/>
          <w:numId w:val="0"/>
        </w:numPr>
        <w:tabs>
          <w:tab w:val="left" w:pos="1815"/>
        </w:tabs>
        <w:kinsoku/>
        <w:wordWrap/>
        <w:overflowPunct/>
        <w:topLinePunct w:val="0"/>
        <w:autoSpaceDE w:val="0"/>
        <w:autoSpaceDN w:val="0"/>
        <w:bidi w:val="0"/>
        <w:adjustRightInd/>
        <w:snapToGrid/>
        <w:spacing w:before="160" w:line="360" w:lineRule="auto"/>
        <w:ind w:left="1213" w:leftChars="0"/>
        <w:textAlignment w:val="auto"/>
        <w:rPr>
          <w:rFonts w:hint="eastAsia" w:ascii="宋体" w:hAnsi="宋体" w:eastAsia="宋体" w:cs="宋体"/>
          <w:sz w:val="21"/>
          <w:szCs w:val="21"/>
          <w:highlight w:val="none"/>
        </w:rPr>
      </w:pPr>
      <w:r>
        <w:rPr>
          <w:rFonts w:hint="eastAsia" w:ascii="宋体" w:hAnsi="宋体" w:eastAsia="宋体" w:cs="宋体"/>
          <w:sz w:val="24"/>
          <w:szCs w:val="24"/>
          <w:highlight w:val="none"/>
          <w:lang w:val="en-US" w:eastAsia="zh-CN"/>
        </w:rPr>
        <w:t xml:space="preserve">1.14 </w:t>
      </w:r>
      <w:r>
        <w:rPr>
          <w:rFonts w:hint="eastAsia" w:ascii="宋体" w:hAnsi="宋体" w:eastAsia="宋体" w:cs="宋体"/>
          <w:sz w:val="21"/>
          <w:szCs w:val="21"/>
          <w:highlight w:val="none"/>
        </w:rPr>
        <w:t>中小企业发展政策</w:t>
      </w:r>
    </w:p>
    <w:p w14:paraId="422D3936">
      <w:pPr>
        <w:pStyle w:val="70"/>
        <w:keepNext w:val="0"/>
        <w:keepLines w:val="0"/>
        <w:pageBreakBefore w:val="0"/>
        <w:widowControl w:val="0"/>
        <w:numPr>
          <w:ilvl w:val="0"/>
          <w:numId w:val="0"/>
        </w:numPr>
        <w:tabs>
          <w:tab w:val="left" w:pos="1815"/>
        </w:tabs>
        <w:kinsoku/>
        <w:wordWrap/>
        <w:overflowPunct/>
        <w:topLinePunct w:val="0"/>
        <w:autoSpaceDE w:val="0"/>
        <w:autoSpaceDN w:val="0"/>
        <w:bidi w:val="0"/>
        <w:adjustRightInd/>
        <w:snapToGrid/>
        <w:spacing w:before="160" w:line="360" w:lineRule="auto"/>
        <w:ind w:left="1213"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cs="宋体"/>
          <w:sz w:val="21"/>
          <w:szCs w:val="21"/>
          <w:highlight w:val="none"/>
          <w:lang w:eastAsia="zh-CN"/>
        </w:rPr>
        <w:t>投标人</w:t>
      </w:r>
      <w:r>
        <w:rPr>
          <w:rFonts w:hint="eastAsia" w:ascii="宋体" w:hAnsi="宋体" w:eastAsia="宋体" w:cs="宋体"/>
          <w:sz w:val="21"/>
          <w:szCs w:val="21"/>
          <w:highlight w:val="none"/>
        </w:rPr>
        <w:t>依据《中小企业划型标准规定》（工信部联企业〔2011〕300号）的划分标准，属于中小企业的，可享受扶持中小型企业发展优惠政策。</w:t>
      </w:r>
    </w:p>
    <w:p w14:paraId="33E2037E">
      <w:pPr>
        <w:pStyle w:val="70"/>
        <w:keepNext w:val="0"/>
        <w:keepLines w:val="0"/>
        <w:pageBreakBefore w:val="0"/>
        <w:widowControl w:val="0"/>
        <w:numPr>
          <w:ilvl w:val="0"/>
          <w:numId w:val="0"/>
        </w:numPr>
        <w:tabs>
          <w:tab w:val="left" w:pos="1815"/>
        </w:tabs>
        <w:kinsoku/>
        <w:wordWrap/>
        <w:overflowPunct/>
        <w:topLinePunct w:val="0"/>
        <w:autoSpaceDE w:val="0"/>
        <w:autoSpaceDN w:val="0"/>
        <w:bidi w:val="0"/>
        <w:adjustRightInd/>
        <w:snapToGrid/>
        <w:spacing w:before="160" w:line="360" w:lineRule="auto"/>
        <w:ind w:left="1213"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若本项目包括采购货物或服务的，无论货物制造商还是服务承接商是否属于中小企业，均不影响</w:t>
      </w:r>
      <w:r>
        <w:rPr>
          <w:rFonts w:hint="eastAsia" w:cs="宋体"/>
          <w:sz w:val="21"/>
          <w:szCs w:val="21"/>
          <w:highlight w:val="none"/>
          <w:lang w:eastAsia="zh-CN"/>
        </w:rPr>
        <w:t>投标人</w:t>
      </w:r>
      <w:r>
        <w:rPr>
          <w:rFonts w:hint="eastAsia" w:ascii="宋体" w:hAnsi="宋体" w:eastAsia="宋体" w:cs="宋体"/>
          <w:sz w:val="21"/>
          <w:szCs w:val="21"/>
          <w:highlight w:val="none"/>
        </w:rPr>
        <w:t>享受中小型企业发展扶持政策。</w:t>
      </w:r>
    </w:p>
    <w:p w14:paraId="2B2FC749">
      <w:pPr>
        <w:pStyle w:val="70"/>
        <w:keepNext w:val="0"/>
        <w:keepLines w:val="0"/>
        <w:pageBreakBefore w:val="0"/>
        <w:widowControl w:val="0"/>
        <w:numPr>
          <w:ilvl w:val="0"/>
          <w:numId w:val="0"/>
        </w:numPr>
        <w:tabs>
          <w:tab w:val="left" w:pos="1815"/>
        </w:tabs>
        <w:kinsoku/>
        <w:wordWrap/>
        <w:overflowPunct/>
        <w:topLinePunct w:val="0"/>
        <w:autoSpaceDE w:val="0"/>
        <w:autoSpaceDN w:val="0"/>
        <w:bidi w:val="0"/>
        <w:adjustRightInd/>
        <w:snapToGrid/>
        <w:spacing w:before="160" w:line="360" w:lineRule="auto"/>
        <w:ind w:left="1213"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cs="宋体"/>
          <w:sz w:val="21"/>
          <w:szCs w:val="21"/>
          <w:highlight w:val="none"/>
          <w:lang w:eastAsia="zh-CN"/>
        </w:rPr>
        <w:t>投标人</w:t>
      </w:r>
      <w:r>
        <w:rPr>
          <w:rFonts w:hint="eastAsia" w:ascii="宋体" w:hAnsi="宋体" w:eastAsia="宋体" w:cs="宋体"/>
          <w:sz w:val="21"/>
          <w:szCs w:val="21"/>
          <w:highlight w:val="none"/>
        </w:rPr>
        <w:t>作为中小企业参加政府采购活动，应当提供《中小企业声明函》（见第七章响应文件格式），不提供的在资格审查时不予通过，其响应文件无效。</w:t>
      </w:r>
    </w:p>
    <w:p w14:paraId="52367304">
      <w:pPr>
        <w:pStyle w:val="70"/>
        <w:keepNext w:val="0"/>
        <w:keepLines w:val="0"/>
        <w:pageBreakBefore w:val="0"/>
        <w:widowControl w:val="0"/>
        <w:numPr>
          <w:ilvl w:val="0"/>
          <w:numId w:val="0"/>
        </w:numPr>
        <w:tabs>
          <w:tab w:val="left" w:pos="1815"/>
        </w:tabs>
        <w:kinsoku/>
        <w:wordWrap/>
        <w:overflowPunct/>
        <w:topLinePunct w:val="0"/>
        <w:autoSpaceDE w:val="0"/>
        <w:autoSpaceDN w:val="0"/>
        <w:bidi w:val="0"/>
        <w:adjustRightInd/>
        <w:snapToGrid/>
        <w:spacing w:before="160" w:line="360" w:lineRule="auto"/>
        <w:ind w:left="1213"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依据《财政部、民政部、中国残疾人联合会关于促进残疾人就业政府采购政策的通知》（财库〔2017〕141号）之规定，残疾人福利性单位参加政府采购活动，视同小微企业。</w:t>
      </w:r>
    </w:p>
    <w:p w14:paraId="7FE99E68">
      <w:pPr>
        <w:pStyle w:val="70"/>
        <w:keepNext w:val="0"/>
        <w:keepLines w:val="0"/>
        <w:pageBreakBefore w:val="0"/>
        <w:widowControl w:val="0"/>
        <w:numPr>
          <w:ilvl w:val="0"/>
          <w:numId w:val="0"/>
        </w:numPr>
        <w:tabs>
          <w:tab w:val="left" w:pos="1815"/>
        </w:tabs>
        <w:kinsoku/>
        <w:wordWrap/>
        <w:overflowPunct/>
        <w:topLinePunct w:val="0"/>
        <w:autoSpaceDE w:val="0"/>
        <w:autoSpaceDN w:val="0"/>
        <w:bidi w:val="0"/>
        <w:adjustRightInd/>
        <w:snapToGrid/>
        <w:spacing w:before="160" w:line="360" w:lineRule="auto"/>
        <w:ind w:left="1213" w:leftChars="0"/>
        <w:textAlignment w:val="auto"/>
        <w:rPr>
          <w:rFonts w:hint="eastAsia" w:ascii="宋体" w:hAnsi="宋体" w:eastAsia="宋体" w:cs="宋体"/>
          <w:sz w:val="21"/>
          <w:szCs w:val="21"/>
          <w:highlight w:val="none"/>
        </w:rPr>
      </w:pPr>
      <w:r>
        <w:rPr>
          <w:rFonts w:hint="eastAsia" w:cs="宋体"/>
          <w:sz w:val="21"/>
          <w:szCs w:val="21"/>
          <w:highlight w:val="none"/>
          <w:lang w:eastAsia="zh-CN"/>
        </w:rPr>
        <w:t>投标人</w:t>
      </w:r>
      <w:r>
        <w:rPr>
          <w:rFonts w:hint="eastAsia" w:ascii="宋体" w:hAnsi="宋体" w:eastAsia="宋体" w:cs="宋体"/>
          <w:sz w:val="21"/>
          <w:szCs w:val="21"/>
          <w:highlight w:val="none"/>
        </w:rPr>
        <w:t xml:space="preserve">为残疾人福利性单位的，应当提供《残疾人福利性单位声明函》（见第七章响应文件格式），未提供的不视为小微企业，在资格审查时不予通过，其响应文件无效。 </w:t>
      </w:r>
    </w:p>
    <w:p w14:paraId="000CF0CF">
      <w:pPr>
        <w:pStyle w:val="70"/>
        <w:keepNext w:val="0"/>
        <w:keepLines w:val="0"/>
        <w:pageBreakBefore w:val="0"/>
        <w:widowControl w:val="0"/>
        <w:numPr>
          <w:ilvl w:val="0"/>
          <w:numId w:val="0"/>
        </w:numPr>
        <w:tabs>
          <w:tab w:val="left" w:pos="1815"/>
        </w:tabs>
        <w:kinsoku/>
        <w:wordWrap/>
        <w:overflowPunct/>
        <w:topLinePunct w:val="0"/>
        <w:autoSpaceDE w:val="0"/>
        <w:autoSpaceDN w:val="0"/>
        <w:bidi w:val="0"/>
        <w:adjustRightInd/>
        <w:snapToGrid/>
        <w:spacing w:before="160" w:line="360" w:lineRule="auto"/>
        <w:ind w:left="1213"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以联合体形式参加政府采购活动，联合体各方应均为中小企业，联合体牵头方应当提供《中小企业声明函》，未提供的在资格审查时不予通过，其响应文件无效。</w:t>
      </w:r>
    </w:p>
    <w:p w14:paraId="7F280AD2">
      <w:pPr>
        <w:pStyle w:val="70"/>
        <w:keepNext w:val="0"/>
        <w:keepLines w:val="0"/>
        <w:pageBreakBefore w:val="0"/>
        <w:widowControl w:val="0"/>
        <w:numPr>
          <w:ilvl w:val="0"/>
          <w:numId w:val="0"/>
        </w:numPr>
        <w:tabs>
          <w:tab w:val="left" w:pos="1815"/>
        </w:tabs>
        <w:kinsoku/>
        <w:wordWrap/>
        <w:overflowPunct/>
        <w:topLinePunct w:val="0"/>
        <w:autoSpaceDE w:val="0"/>
        <w:autoSpaceDN w:val="0"/>
        <w:bidi w:val="0"/>
        <w:adjustRightInd/>
        <w:snapToGrid/>
        <w:spacing w:before="160" w:line="360" w:lineRule="auto"/>
        <w:ind w:left="1213"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政府采购监督检查、投诉处理及政府采购行政处罚中对中小企业的认定，由工程承建商注册登记所在地的县级以上人民政府中小企业主管部门负责。</w:t>
      </w:r>
    </w:p>
    <w:p w14:paraId="1443999F">
      <w:pPr>
        <w:pStyle w:val="70"/>
        <w:keepNext w:val="0"/>
        <w:keepLines w:val="0"/>
        <w:pageBreakBefore w:val="0"/>
        <w:widowControl w:val="0"/>
        <w:numPr>
          <w:ilvl w:val="0"/>
          <w:numId w:val="0"/>
        </w:numPr>
        <w:tabs>
          <w:tab w:val="left" w:pos="1815"/>
        </w:tabs>
        <w:kinsoku/>
        <w:wordWrap/>
        <w:overflowPunct/>
        <w:topLinePunct w:val="0"/>
        <w:autoSpaceDE w:val="0"/>
        <w:autoSpaceDN w:val="0"/>
        <w:bidi w:val="0"/>
        <w:adjustRightInd/>
        <w:snapToGrid/>
        <w:spacing w:before="160" w:line="360" w:lineRule="auto"/>
        <w:ind w:left="1213" w:leftChars="0"/>
        <w:textAlignment w:val="auto"/>
        <w:rPr>
          <w:rFonts w:hint="eastAsia" w:ascii="宋体" w:hAnsi="宋体" w:eastAsia="宋体" w:cs="宋体"/>
          <w:sz w:val="21"/>
          <w:szCs w:val="21"/>
          <w:highlight w:val="none"/>
        </w:rPr>
      </w:pPr>
      <w:r>
        <w:rPr>
          <w:rFonts w:hint="eastAsia" w:ascii="宋体" w:hAnsi="宋体" w:eastAsia="宋体" w:cs="宋体"/>
          <w:sz w:val="24"/>
          <w:szCs w:val="24"/>
          <w:highlight w:val="none"/>
          <w:lang w:val="en-US" w:eastAsia="zh-CN"/>
        </w:rPr>
        <w:t xml:space="preserve">1.15 </w:t>
      </w:r>
      <w:r>
        <w:rPr>
          <w:rFonts w:hint="eastAsia" w:ascii="宋体" w:hAnsi="宋体" w:eastAsia="宋体" w:cs="宋体"/>
          <w:sz w:val="21"/>
          <w:szCs w:val="21"/>
          <w:highlight w:val="none"/>
        </w:rPr>
        <w:t>转包与分包</w:t>
      </w:r>
    </w:p>
    <w:p w14:paraId="59DBE414">
      <w:pPr>
        <w:pStyle w:val="70"/>
        <w:keepNext w:val="0"/>
        <w:keepLines w:val="0"/>
        <w:pageBreakBefore w:val="0"/>
        <w:widowControl w:val="0"/>
        <w:numPr>
          <w:ilvl w:val="0"/>
          <w:numId w:val="0"/>
        </w:numPr>
        <w:tabs>
          <w:tab w:val="left" w:pos="1815"/>
        </w:tabs>
        <w:kinsoku/>
        <w:wordWrap/>
        <w:overflowPunct/>
        <w:topLinePunct w:val="0"/>
        <w:autoSpaceDE w:val="0"/>
        <w:autoSpaceDN w:val="0"/>
        <w:bidi w:val="0"/>
        <w:adjustRightInd/>
        <w:snapToGrid/>
        <w:spacing w:before="160" w:line="360" w:lineRule="auto"/>
        <w:ind w:left="1213"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本项目严禁采取转包方式履行合同。本项项目所称转包，是指成交</w:t>
      </w:r>
      <w:r>
        <w:rPr>
          <w:rFonts w:hint="eastAsia" w:cs="宋体"/>
          <w:sz w:val="21"/>
          <w:szCs w:val="21"/>
          <w:highlight w:val="none"/>
          <w:lang w:eastAsia="zh-CN"/>
        </w:rPr>
        <w:t>投标人</w:t>
      </w:r>
      <w:r>
        <w:rPr>
          <w:rFonts w:hint="eastAsia" w:ascii="宋体" w:hAnsi="宋体" w:eastAsia="宋体" w:cs="宋体"/>
          <w:sz w:val="21"/>
          <w:szCs w:val="21"/>
          <w:highlight w:val="none"/>
        </w:rPr>
        <w:t>将政府采购合同业务转让给第三人，并退出现有政府采购合同当事人双方权利业务关系，受让人（即第三人）成为政府采购合同的另一方当事人的行为。</w:t>
      </w:r>
    </w:p>
    <w:p w14:paraId="17E0D9B0">
      <w:pPr>
        <w:pStyle w:val="70"/>
        <w:keepNext w:val="0"/>
        <w:keepLines w:val="0"/>
        <w:pageBreakBefore w:val="0"/>
        <w:widowControl w:val="0"/>
        <w:numPr>
          <w:ilvl w:val="0"/>
          <w:numId w:val="0"/>
        </w:numPr>
        <w:tabs>
          <w:tab w:val="left" w:pos="1815"/>
        </w:tabs>
        <w:kinsoku/>
        <w:wordWrap/>
        <w:overflowPunct/>
        <w:topLinePunct w:val="0"/>
        <w:autoSpaceDE w:val="0"/>
        <w:autoSpaceDN w:val="0"/>
        <w:bidi w:val="0"/>
        <w:adjustRightInd/>
        <w:snapToGrid/>
        <w:spacing w:before="160" w:line="360" w:lineRule="auto"/>
        <w:ind w:left="1213" w:leftChars="0" w:right="220" w:right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成交</w:t>
      </w:r>
      <w:r>
        <w:rPr>
          <w:rFonts w:hint="eastAsia" w:cs="宋体"/>
          <w:sz w:val="21"/>
          <w:szCs w:val="21"/>
          <w:highlight w:val="none"/>
          <w:lang w:eastAsia="zh-CN"/>
        </w:rPr>
        <w:t>投标人</w:t>
      </w:r>
      <w:r>
        <w:rPr>
          <w:rFonts w:hint="eastAsia" w:ascii="宋体" w:hAnsi="宋体" w:eastAsia="宋体" w:cs="宋体"/>
          <w:sz w:val="21"/>
          <w:szCs w:val="21"/>
          <w:highlight w:val="none"/>
        </w:rPr>
        <w:t>转包的，视同拒绝履行政府采购合同业务，将依法追究法律责任。</w:t>
      </w:r>
    </w:p>
    <w:p w14:paraId="237AB90B">
      <w:pPr>
        <w:pStyle w:val="70"/>
        <w:keepNext w:val="0"/>
        <w:keepLines w:val="0"/>
        <w:pageBreakBefore w:val="0"/>
        <w:widowControl w:val="0"/>
        <w:numPr>
          <w:ilvl w:val="0"/>
          <w:numId w:val="0"/>
        </w:numPr>
        <w:tabs>
          <w:tab w:val="left" w:pos="1815"/>
        </w:tabs>
        <w:kinsoku/>
        <w:wordWrap/>
        <w:overflowPunct/>
        <w:topLinePunct w:val="0"/>
        <w:autoSpaceDE w:val="0"/>
        <w:autoSpaceDN w:val="0"/>
        <w:bidi w:val="0"/>
        <w:adjustRightInd/>
        <w:snapToGrid/>
        <w:spacing w:before="160" w:line="360" w:lineRule="auto"/>
        <w:ind w:left="1213"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本项目严禁采取分包方式履行合同。成交</w:t>
      </w:r>
      <w:r>
        <w:rPr>
          <w:rFonts w:hint="eastAsia" w:cs="宋体"/>
          <w:sz w:val="21"/>
          <w:szCs w:val="21"/>
          <w:highlight w:val="none"/>
          <w:lang w:eastAsia="zh-CN"/>
        </w:rPr>
        <w:t>投标人</w:t>
      </w:r>
      <w:r>
        <w:rPr>
          <w:rFonts w:hint="eastAsia" w:ascii="宋体" w:hAnsi="宋体" w:eastAsia="宋体" w:cs="宋体"/>
          <w:sz w:val="21"/>
          <w:szCs w:val="21"/>
          <w:highlight w:val="none"/>
        </w:rPr>
        <w:t>进行分包的，视同拒绝履行政府采购合同，将依法追究法律责任。</w:t>
      </w:r>
    </w:p>
    <w:p w14:paraId="4AAEF1EC">
      <w:pPr>
        <w:pStyle w:val="16"/>
        <w:rPr>
          <w:rFonts w:hint="default" w:eastAsia="宋体"/>
          <w:sz w:val="21"/>
          <w:szCs w:val="21"/>
          <w:highlight w:val="none"/>
          <w:lang w:val="en-US" w:eastAsia="zh-CN"/>
        </w:rPr>
      </w:pPr>
    </w:p>
    <w:p w14:paraId="105871E5">
      <w:pPr>
        <w:pStyle w:val="8"/>
        <w:spacing w:before="67"/>
        <w:ind w:left="956" w:right="1093"/>
        <w:jc w:val="center"/>
        <w:rPr>
          <w:sz w:val="21"/>
          <w:szCs w:val="21"/>
          <w:highlight w:val="none"/>
        </w:rPr>
      </w:pPr>
      <w:r>
        <w:rPr>
          <w:rFonts w:hint="eastAsia"/>
          <w:sz w:val="21"/>
          <w:szCs w:val="21"/>
          <w:highlight w:val="none"/>
        </w:rPr>
        <w:t>二、招标文件的组成</w:t>
      </w:r>
    </w:p>
    <w:p w14:paraId="37794EC6">
      <w:pPr>
        <w:pStyle w:val="70"/>
        <w:numPr>
          <w:ilvl w:val="1"/>
          <w:numId w:val="11"/>
        </w:numPr>
        <w:tabs>
          <w:tab w:val="left" w:pos="1634"/>
        </w:tabs>
        <w:spacing w:before="158"/>
        <w:ind w:hanging="481"/>
        <w:rPr>
          <w:sz w:val="21"/>
          <w:szCs w:val="21"/>
          <w:highlight w:val="none"/>
        </w:rPr>
      </w:pPr>
      <w:bookmarkStart w:id="59" w:name="2.1_招标文件的组成"/>
      <w:bookmarkEnd w:id="59"/>
      <w:r>
        <w:rPr>
          <w:rFonts w:hint="eastAsia"/>
          <w:sz w:val="21"/>
          <w:szCs w:val="21"/>
          <w:highlight w:val="none"/>
        </w:rPr>
        <w:t>招标文件的组成</w:t>
      </w:r>
    </w:p>
    <w:p w14:paraId="142B1D2B">
      <w:pPr>
        <w:pStyle w:val="70"/>
        <w:numPr>
          <w:ilvl w:val="2"/>
          <w:numId w:val="11"/>
        </w:numPr>
        <w:tabs>
          <w:tab w:val="left" w:pos="1814"/>
        </w:tabs>
        <w:spacing w:before="160" w:line="364" w:lineRule="auto"/>
        <w:ind w:right="1100" w:rightChars="0" w:firstLine="0"/>
        <w:rPr>
          <w:sz w:val="21"/>
          <w:szCs w:val="21"/>
          <w:highlight w:val="none"/>
        </w:rPr>
      </w:pPr>
      <w:bookmarkStart w:id="60" w:name="2.1.1本招标文件包括："/>
      <w:bookmarkEnd w:id="60"/>
      <w:r>
        <w:rPr>
          <w:rFonts w:hint="eastAsia"/>
          <w:spacing w:val="-3"/>
          <w:sz w:val="21"/>
          <w:szCs w:val="21"/>
          <w:highlight w:val="none"/>
        </w:rPr>
        <w:t xml:space="preserve">本招标文件包括： </w:t>
      </w:r>
      <w:bookmarkStart w:id="61" w:name="第一章_招标公告；"/>
      <w:bookmarkEnd w:id="61"/>
    </w:p>
    <w:p w14:paraId="5EE57A0A">
      <w:pPr>
        <w:pStyle w:val="70"/>
        <w:numPr>
          <w:ilvl w:val="0"/>
          <w:numId w:val="0"/>
        </w:numPr>
        <w:tabs>
          <w:tab w:val="left" w:pos="1814"/>
        </w:tabs>
        <w:spacing w:before="160" w:line="364" w:lineRule="auto"/>
        <w:ind w:left="1153" w:leftChars="0" w:right="1100" w:rightChars="0"/>
        <w:rPr>
          <w:sz w:val="21"/>
          <w:szCs w:val="21"/>
          <w:highlight w:val="none"/>
        </w:rPr>
      </w:pPr>
      <w:r>
        <w:rPr>
          <w:rFonts w:hint="eastAsia"/>
          <w:sz w:val="21"/>
          <w:szCs w:val="21"/>
          <w:highlight w:val="none"/>
        </w:rPr>
        <w:t>第一章 招标公告；</w:t>
      </w:r>
    </w:p>
    <w:p w14:paraId="25067A56">
      <w:pPr>
        <w:pStyle w:val="16"/>
        <w:numPr>
          <w:ilvl w:val="0"/>
          <w:numId w:val="12"/>
        </w:numPr>
        <w:spacing w:line="364" w:lineRule="auto"/>
        <w:ind w:left="1153" w:right="6530"/>
        <w:rPr>
          <w:spacing w:val="-2"/>
          <w:sz w:val="21"/>
          <w:szCs w:val="21"/>
          <w:highlight w:val="none"/>
        </w:rPr>
      </w:pPr>
      <w:bookmarkStart w:id="62" w:name="第二章_投标人须知及前附表；"/>
      <w:bookmarkEnd w:id="62"/>
      <w:r>
        <w:rPr>
          <w:rFonts w:hint="eastAsia"/>
          <w:spacing w:val="-2"/>
          <w:sz w:val="21"/>
          <w:szCs w:val="21"/>
          <w:highlight w:val="none"/>
        </w:rPr>
        <w:t xml:space="preserve">投标人须知及前附表； </w:t>
      </w:r>
      <w:bookmarkStart w:id="63" w:name="第三章_评标办法；"/>
      <w:bookmarkEnd w:id="63"/>
    </w:p>
    <w:p w14:paraId="7FAC3FF2">
      <w:pPr>
        <w:pStyle w:val="16"/>
        <w:numPr>
          <w:ilvl w:val="0"/>
          <w:numId w:val="12"/>
        </w:numPr>
        <w:spacing w:line="364" w:lineRule="auto"/>
        <w:ind w:left="1153" w:right="6530"/>
        <w:rPr>
          <w:sz w:val="21"/>
          <w:szCs w:val="21"/>
          <w:highlight w:val="none"/>
        </w:rPr>
      </w:pPr>
      <w:r>
        <w:rPr>
          <w:rFonts w:hint="eastAsia"/>
          <w:sz w:val="21"/>
          <w:szCs w:val="21"/>
          <w:highlight w:val="none"/>
        </w:rPr>
        <w:t>评标办法；</w:t>
      </w:r>
    </w:p>
    <w:p w14:paraId="603BF63A">
      <w:pPr>
        <w:pStyle w:val="16"/>
        <w:spacing w:line="364" w:lineRule="auto"/>
        <w:ind w:left="1153" w:right="1100" w:rightChars="0"/>
        <w:rPr>
          <w:sz w:val="21"/>
          <w:szCs w:val="21"/>
          <w:highlight w:val="none"/>
        </w:rPr>
      </w:pPr>
      <w:bookmarkStart w:id="64" w:name="第四章_合同条款及格式；"/>
      <w:bookmarkEnd w:id="64"/>
      <w:r>
        <w:rPr>
          <w:rFonts w:hint="eastAsia"/>
          <w:sz w:val="21"/>
          <w:szCs w:val="21"/>
          <w:highlight w:val="none"/>
        </w:rPr>
        <w:t xml:space="preserve">第四章 合同条款及格式； </w:t>
      </w:r>
      <w:bookmarkStart w:id="65" w:name="第五章_工程量清单；"/>
      <w:bookmarkEnd w:id="65"/>
    </w:p>
    <w:p w14:paraId="0C1CD6B0">
      <w:pPr>
        <w:pStyle w:val="16"/>
        <w:spacing w:line="364" w:lineRule="auto"/>
        <w:ind w:left="1153" w:right="7010"/>
        <w:rPr>
          <w:sz w:val="21"/>
          <w:szCs w:val="21"/>
          <w:highlight w:val="none"/>
        </w:rPr>
      </w:pPr>
      <w:r>
        <w:rPr>
          <w:rFonts w:hint="eastAsia"/>
          <w:sz w:val="21"/>
          <w:szCs w:val="21"/>
          <w:highlight w:val="none"/>
        </w:rPr>
        <w:t>第五章 工程量清单；</w:t>
      </w:r>
    </w:p>
    <w:p w14:paraId="642F5A13">
      <w:pPr>
        <w:pStyle w:val="16"/>
        <w:spacing w:line="306" w:lineRule="exact"/>
        <w:ind w:left="1153"/>
        <w:rPr>
          <w:sz w:val="21"/>
          <w:szCs w:val="21"/>
          <w:highlight w:val="none"/>
        </w:rPr>
      </w:pPr>
      <w:bookmarkStart w:id="66" w:name="第六章_图纸；"/>
      <w:bookmarkEnd w:id="66"/>
      <w:r>
        <w:rPr>
          <w:rFonts w:hint="eastAsia"/>
          <w:sz w:val="21"/>
          <w:szCs w:val="21"/>
          <w:highlight w:val="none"/>
        </w:rPr>
        <w:t>第六章 图纸；</w:t>
      </w:r>
    </w:p>
    <w:p w14:paraId="51AE10B7">
      <w:pPr>
        <w:pStyle w:val="16"/>
        <w:spacing w:before="158" w:line="362" w:lineRule="auto"/>
        <w:ind w:left="1153" w:right="1100" w:rightChars="0"/>
        <w:rPr>
          <w:sz w:val="21"/>
          <w:szCs w:val="21"/>
          <w:highlight w:val="none"/>
        </w:rPr>
      </w:pPr>
      <w:bookmarkStart w:id="67" w:name="第七章_技术标准和要求"/>
      <w:bookmarkEnd w:id="67"/>
      <w:r>
        <w:rPr>
          <w:rFonts w:hint="eastAsia"/>
          <w:sz w:val="21"/>
          <w:szCs w:val="21"/>
          <w:highlight w:val="none"/>
        </w:rPr>
        <w:t>第七章 技术标准和要求</w:t>
      </w:r>
      <w:bookmarkStart w:id="68" w:name="第八章_投标文件格式；"/>
      <w:bookmarkEnd w:id="68"/>
      <w:r>
        <w:rPr>
          <w:rFonts w:hint="eastAsia"/>
          <w:sz w:val="21"/>
          <w:szCs w:val="21"/>
          <w:highlight w:val="none"/>
        </w:rPr>
        <w:t>；</w:t>
      </w:r>
    </w:p>
    <w:p w14:paraId="7AF91331">
      <w:pPr>
        <w:pStyle w:val="16"/>
        <w:spacing w:before="158" w:line="362" w:lineRule="auto"/>
        <w:ind w:left="1153" w:right="1100" w:rightChars="0"/>
        <w:rPr>
          <w:sz w:val="21"/>
          <w:szCs w:val="21"/>
          <w:highlight w:val="none"/>
        </w:rPr>
      </w:pPr>
      <w:r>
        <w:rPr>
          <w:rFonts w:hint="eastAsia"/>
          <w:sz w:val="21"/>
          <w:szCs w:val="21"/>
          <w:highlight w:val="none"/>
        </w:rPr>
        <w:t>第八章 投标文件格式；</w:t>
      </w:r>
    </w:p>
    <w:p w14:paraId="3DFCD5E0">
      <w:pPr>
        <w:pStyle w:val="16"/>
        <w:spacing w:before="5" w:line="362" w:lineRule="auto"/>
        <w:ind w:left="673" w:right="1291" w:firstLine="480"/>
        <w:jc w:val="both"/>
        <w:rPr>
          <w:sz w:val="21"/>
          <w:szCs w:val="21"/>
          <w:highlight w:val="none"/>
        </w:rPr>
      </w:pPr>
      <w:bookmarkStart w:id="69" w:name="根据本章第1.10款、第2.2款和第2.3款对招标文件所作的澄清、修改，构成招标"/>
      <w:bookmarkEnd w:id="69"/>
      <w:r>
        <w:rPr>
          <w:rFonts w:hint="eastAsia"/>
          <w:spacing w:val="-10"/>
          <w:sz w:val="21"/>
          <w:szCs w:val="21"/>
          <w:highlight w:val="none"/>
        </w:rPr>
        <w:t xml:space="preserve">根据本章第 </w:t>
      </w:r>
      <w:r>
        <w:rPr>
          <w:rFonts w:hint="eastAsia"/>
          <w:sz w:val="21"/>
          <w:szCs w:val="21"/>
          <w:highlight w:val="none"/>
        </w:rPr>
        <w:t>1.10</w:t>
      </w:r>
      <w:r>
        <w:rPr>
          <w:rFonts w:hint="eastAsia"/>
          <w:spacing w:val="-28"/>
          <w:sz w:val="21"/>
          <w:szCs w:val="21"/>
          <w:highlight w:val="none"/>
        </w:rPr>
        <w:t xml:space="preserve"> 款、第 </w:t>
      </w:r>
      <w:r>
        <w:rPr>
          <w:rFonts w:hint="eastAsia"/>
          <w:sz w:val="21"/>
          <w:szCs w:val="21"/>
          <w:highlight w:val="none"/>
        </w:rPr>
        <w:t>2.2</w:t>
      </w:r>
      <w:r>
        <w:rPr>
          <w:rFonts w:hint="eastAsia"/>
          <w:spacing w:val="-24"/>
          <w:sz w:val="21"/>
          <w:szCs w:val="21"/>
          <w:highlight w:val="none"/>
        </w:rPr>
        <w:t xml:space="preserve"> 款和第 </w:t>
      </w:r>
      <w:r>
        <w:rPr>
          <w:rFonts w:hint="eastAsia"/>
          <w:sz w:val="21"/>
          <w:szCs w:val="21"/>
          <w:highlight w:val="none"/>
        </w:rPr>
        <w:t>2.3</w:t>
      </w:r>
      <w:r>
        <w:rPr>
          <w:rFonts w:hint="eastAsia"/>
          <w:spacing w:val="-11"/>
          <w:sz w:val="21"/>
          <w:szCs w:val="21"/>
          <w:highlight w:val="none"/>
        </w:rPr>
        <w:t xml:space="preserve"> 款对招标文件所作的澄清、修改，构成招</w:t>
      </w:r>
      <w:r>
        <w:rPr>
          <w:rFonts w:hint="eastAsia"/>
          <w:sz w:val="21"/>
          <w:szCs w:val="21"/>
          <w:highlight w:val="none"/>
        </w:rPr>
        <w:t>标文件的组成部分。</w:t>
      </w:r>
    </w:p>
    <w:p w14:paraId="2A2A2B46">
      <w:pPr>
        <w:pStyle w:val="70"/>
        <w:numPr>
          <w:ilvl w:val="2"/>
          <w:numId w:val="11"/>
        </w:numPr>
        <w:tabs>
          <w:tab w:val="left" w:pos="1864"/>
        </w:tabs>
        <w:spacing w:before="5" w:line="364" w:lineRule="auto"/>
        <w:ind w:left="673" w:right="1291" w:firstLine="528"/>
        <w:jc w:val="both"/>
        <w:rPr>
          <w:sz w:val="21"/>
          <w:szCs w:val="21"/>
          <w:highlight w:val="none"/>
        </w:rPr>
      </w:pPr>
      <w:r>
        <w:rPr>
          <w:rFonts w:hint="eastAsia"/>
          <w:sz w:val="21"/>
          <w:szCs w:val="21"/>
          <w:highlight w:val="none"/>
        </w:rPr>
        <w:t>发标时，随招标文件一并发给各投标人本项目的“工程量清单电子版”。</w:t>
      </w:r>
      <w:r>
        <w:rPr>
          <w:rFonts w:hint="eastAsia"/>
          <w:sz w:val="21"/>
          <w:szCs w:val="21"/>
          <w:highlight w:val="none"/>
          <w:lang w:eastAsia="zh-CN"/>
        </w:rPr>
        <w:t>投标人</w:t>
      </w:r>
      <w:r>
        <w:rPr>
          <w:rFonts w:hint="eastAsia"/>
          <w:sz w:val="21"/>
          <w:szCs w:val="21"/>
          <w:highlight w:val="none"/>
        </w:rPr>
        <w:t>不得对工程量、原表格形式进行增删、隐藏等改动，如改动，即为废标。</w:t>
      </w:r>
    </w:p>
    <w:p w14:paraId="4E857A90">
      <w:pPr>
        <w:pStyle w:val="70"/>
        <w:numPr>
          <w:ilvl w:val="1"/>
          <w:numId w:val="11"/>
        </w:numPr>
        <w:tabs>
          <w:tab w:val="left" w:pos="1634"/>
        </w:tabs>
        <w:spacing w:line="306" w:lineRule="exact"/>
        <w:ind w:hanging="481"/>
        <w:jc w:val="both"/>
        <w:rPr>
          <w:sz w:val="21"/>
          <w:szCs w:val="21"/>
          <w:highlight w:val="none"/>
        </w:rPr>
      </w:pPr>
      <w:bookmarkStart w:id="70" w:name="2.2_招标文件的澄清"/>
      <w:bookmarkEnd w:id="70"/>
      <w:r>
        <w:rPr>
          <w:rFonts w:hint="eastAsia"/>
          <w:sz w:val="21"/>
          <w:szCs w:val="21"/>
          <w:highlight w:val="none"/>
        </w:rPr>
        <w:t>招标文件的澄清</w:t>
      </w:r>
    </w:p>
    <w:p w14:paraId="6AC800D4">
      <w:pPr>
        <w:pStyle w:val="70"/>
        <w:numPr>
          <w:ilvl w:val="2"/>
          <w:numId w:val="11"/>
        </w:numPr>
        <w:tabs>
          <w:tab w:val="left" w:pos="1814"/>
        </w:tabs>
        <w:spacing w:before="158" w:line="364" w:lineRule="auto"/>
        <w:ind w:left="673" w:right="1291" w:firstLine="480"/>
        <w:jc w:val="both"/>
        <w:rPr>
          <w:sz w:val="21"/>
          <w:szCs w:val="21"/>
          <w:highlight w:val="none"/>
        </w:rPr>
      </w:pPr>
      <w:bookmarkStart w:id="71" w:name="2.2.1投标人应仔细阅读和检查招标文件的全部内容。如发现缺页或附件不全，应及时"/>
      <w:bookmarkEnd w:id="71"/>
      <w:r>
        <w:rPr>
          <w:rFonts w:hint="eastAsia"/>
          <w:spacing w:val="-6"/>
          <w:sz w:val="21"/>
          <w:szCs w:val="21"/>
          <w:highlight w:val="none"/>
        </w:rPr>
        <w:t>投标人应仔细阅读和检查招标文件的全部内容。如发现缺页或附件不全，应</w:t>
      </w:r>
      <w:r>
        <w:rPr>
          <w:rFonts w:hint="eastAsia"/>
          <w:sz w:val="21"/>
          <w:szCs w:val="21"/>
          <w:highlight w:val="none"/>
        </w:rPr>
        <w:t>及时向</w:t>
      </w:r>
      <w:r>
        <w:rPr>
          <w:rFonts w:hint="eastAsia"/>
          <w:sz w:val="21"/>
          <w:szCs w:val="21"/>
          <w:highlight w:val="none"/>
          <w:lang w:eastAsia="zh-CN"/>
        </w:rPr>
        <w:t>招标人</w:t>
      </w:r>
      <w:r>
        <w:rPr>
          <w:rFonts w:hint="eastAsia"/>
          <w:sz w:val="21"/>
          <w:szCs w:val="21"/>
          <w:highlight w:val="none"/>
        </w:rPr>
        <w:t>提出，以便补齐。如有疑问，按照前附表要求向</w:t>
      </w:r>
      <w:r>
        <w:rPr>
          <w:rFonts w:hint="eastAsia"/>
          <w:sz w:val="21"/>
          <w:szCs w:val="21"/>
          <w:highlight w:val="none"/>
          <w:lang w:eastAsia="zh-CN"/>
        </w:rPr>
        <w:t>招标人</w:t>
      </w:r>
      <w:r>
        <w:rPr>
          <w:rFonts w:hint="eastAsia"/>
          <w:sz w:val="21"/>
          <w:szCs w:val="21"/>
          <w:highlight w:val="none"/>
        </w:rPr>
        <w:t>提出疑问，要求</w:t>
      </w:r>
      <w:r>
        <w:rPr>
          <w:rFonts w:hint="eastAsia"/>
          <w:sz w:val="21"/>
          <w:szCs w:val="21"/>
          <w:highlight w:val="none"/>
          <w:lang w:eastAsia="zh-CN"/>
        </w:rPr>
        <w:t>招标人</w:t>
      </w:r>
      <w:r>
        <w:rPr>
          <w:rFonts w:hint="eastAsia"/>
          <w:sz w:val="21"/>
          <w:szCs w:val="21"/>
          <w:highlight w:val="none"/>
        </w:rPr>
        <w:t>对招标文件予以澄清。</w:t>
      </w:r>
    </w:p>
    <w:p w14:paraId="59CFBA13">
      <w:pPr>
        <w:pStyle w:val="70"/>
        <w:numPr>
          <w:ilvl w:val="2"/>
          <w:numId w:val="11"/>
        </w:numPr>
        <w:tabs>
          <w:tab w:val="left" w:pos="1876"/>
        </w:tabs>
        <w:spacing w:line="364" w:lineRule="auto"/>
        <w:ind w:left="673" w:right="1293" w:firstLine="480"/>
        <w:jc w:val="both"/>
        <w:rPr>
          <w:sz w:val="21"/>
          <w:szCs w:val="21"/>
          <w:highlight w:val="none"/>
        </w:rPr>
      </w:pPr>
      <w:bookmarkStart w:id="72" w:name="2.2.2_招标文件的澄清按照相关法律法规规定的时间回复，但不指明澄清问题的来源"/>
      <w:bookmarkEnd w:id="72"/>
      <w:r>
        <w:rPr>
          <w:rFonts w:hint="eastAsia"/>
          <w:sz w:val="21"/>
          <w:szCs w:val="21"/>
          <w:highlight w:val="none"/>
        </w:rPr>
        <w:t>招标文件的澄清按照相关法律法规规定的时间回复，但不指明澄清问题的来源。</w:t>
      </w:r>
    </w:p>
    <w:p w14:paraId="0EF98F81">
      <w:pPr>
        <w:pStyle w:val="70"/>
        <w:numPr>
          <w:ilvl w:val="2"/>
          <w:numId w:val="11"/>
        </w:numPr>
        <w:tabs>
          <w:tab w:val="left" w:pos="1876"/>
        </w:tabs>
        <w:spacing w:line="364" w:lineRule="auto"/>
        <w:ind w:left="673" w:right="1293" w:firstLine="480"/>
        <w:jc w:val="both"/>
        <w:rPr>
          <w:sz w:val="21"/>
          <w:szCs w:val="21"/>
          <w:highlight w:val="none"/>
        </w:rPr>
      </w:pPr>
      <w:bookmarkStart w:id="73" w:name="2.2.3_投标人应及时领取并获取澄清和修改后的招标文件，未按澄清和修改后的招标"/>
      <w:bookmarkEnd w:id="73"/>
      <w:r>
        <w:rPr>
          <w:rFonts w:hint="eastAsia"/>
          <w:sz w:val="21"/>
          <w:szCs w:val="21"/>
          <w:highlight w:val="none"/>
        </w:rPr>
        <w:t>投标人应及时领取并获取澄清和修改后的招标文件，未按澄清和修改后的招标文件编制的投标文件有可能被评标委员会否决。</w:t>
      </w:r>
    </w:p>
    <w:p w14:paraId="58ED0F92">
      <w:pPr>
        <w:pStyle w:val="70"/>
        <w:numPr>
          <w:ilvl w:val="1"/>
          <w:numId w:val="11"/>
        </w:numPr>
        <w:tabs>
          <w:tab w:val="left" w:pos="1634"/>
        </w:tabs>
        <w:spacing w:line="306" w:lineRule="exact"/>
        <w:ind w:hanging="481"/>
        <w:jc w:val="both"/>
        <w:rPr>
          <w:sz w:val="21"/>
          <w:szCs w:val="21"/>
          <w:highlight w:val="none"/>
        </w:rPr>
      </w:pPr>
      <w:bookmarkStart w:id="74" w:name="2.3_招标文件的修改"/>
      <w:bookmarkEnd w:id="74"/>
      <w:r>
        <w:rPr>
          <w:rFonts w:hint="eastAsia"/>
          <w:sz w:val="21"/>
          <w:szCs w:val="21"/>
          <w:highlight w:val="none"/>
        </w:rPr>
        <w:t>招标文件的修改</w:t>
      </w:r>
    </w:p>
    <w:p w14:paraId="2241E23A">
      <w:pPr>
        <w:pStyle w:val="70"/>
        <w:numPr>
          <w:ilvl w:val="2"/>
          <w:numId w:val="11"/>
        </w:numPr>
        <w:tabs>
          <w:tab w:val="left" w:pos="1874"/>
        </w:tabs>
        <w:spacing w:before="159" w:line="362" w:lineRule="auto"/>
        <w:ind w:left="673" w:right="1171" w:firstLine="480"/>
        <w:rPr>
          <w:sz w:val="21"/>
          <w:szCs w:val="21"/>
          <w:highlight w:val="none"/>
        </w:rPr>
      </w:pPr>
      <w:bookmarkStart w:id="75" w:name="2.3.1_在投标截止时间15日前，采购人可以修改招标文件，并向投标人发布。如果"/>
      <w:bookmarkEnd w:id="75"/>
      <w:r>
        <w:rPr>
          <w:rFonts w:hint="eastAsia"/>
          <w:spacing w:val="-8"/>
          <w:sz w:val="21"/>
          <w:szCs w:val="21"/>
          <w:highlight w:val="none"/>
        </w:rPr>
        <w:t xml:space="preserve">在投标截止时间 </w:t>
      </w:r>
      <w:r>
        <w:rPr>
          <w:rFonts w:hint="eastAsia"/>
          <w:sz w:val="21"/>
          <w:szCs w:val="21"/>
          <w:highlight w:val="none"/>
        </w:rPr>
        <w:t>15</w:t>
      </w:r>
      <w:r>
        <w:rPr>
          <w:rFonts w:hint="eastAsia"/>
          <w:spacing w:val="-11"/>
          <w:sz w:val="21"/>
          <w:szCs w:val="21"/>
          <w:highlight w:val="none"/>
        </w:rPr>
        <w:t xml:space="preserve"> 日前，</w:t>
      </w:r>
      <w:r>
        <w:rPr>
          <w:rFonts w:hint="eastAsia"/>
          <w:spacing w:val="-11"/>
          <w:sz w:val="21"/>
          <w:szCs w:val="21"/>
          <w:highlight w:val="none"/>
          <w:lang w:eastAsia="zh-CN"/>
        </w:rPr>
        <w:t>招标人</w:t>
      </w:r>
      <w:r>
        <w:rPr>
          <w:rFonts w:hint="eastAsia"/>
          <w:spacing w:val="-11"/>
          <w:sz w:val="21"/>
          <w:szCs w:val="21"/>
          <w:highlight w:val="none"/>
        </w:rPr>
        <w:t>可以修改招标文件，并向投标人发布。如</w:t>
      </w:r>
      <w:r>
        <w:rPr>
          <w:rFonts w:hint="eastAsia"/>
          <w:spacing w:val="-9"/>
          <w:sz w:val="21"/>
          <w:szCs w:val="21"/>
          <w:highlight w:val="none"/>
        </w:rPr>
        <w:t>果修改招标文件的时间距投标截止时间不足</w:t>
      </w:r>
      <w:r>
        <w:rPr>
          <w:rFonts w:hint="eastAsia"/>
          <w:sz w:val="21"/>
          <w:szCs w:val="21"/>
          <w:highlight w:val="none"/>
        </w:rPr>
        <w:t>15</w:t>
      </w:r>
      <w:r>
        <w:rPr>
          <w:rFonts w:hint="eastAsia"/>
          <w:spacing w:val="-16"/>
          <w:sz w:val="21"/>
          <w:szCs w:val="21"/>
          <w:highlight w:val="none"/>
        </w:rPr>
        <w:t xml:space="preserve"> 日时，</w:t>
      </w:r>
      <w:r>
        <w:rPr>
          <w:rFonts w:hint="eastAsia"/>
          <w:spacing w:val="-16"/>
          <w:sz w:val="21"/>
          <w:szCs w:val="21"/>
          <w:highlight w:val="none"/>
          <w:lang w:eastAsia="zh-CN"/>
        </w:rPr>
        <w:t>招标人</w:t>
      </w:r>
      <w:r>
        <w:rPr>
          <w:rFonts w:hint="eastAsia"/>
          <w:spacing w:val="-16"/>
          <w:sz w:val="21"/>
          <w:szCs w:val="21"/>
          <w:highlight w:val="none"/>
        </w:rPr>
        <w:t>将酌情延长投标截止时间。</w:t>
      </w:r>
    </w:p>
    <w:p w14:paraId="0F253696">
      <w:pPr>
        <w:pStyle w:val="70"/>
        <w:numPr>
          <w:ilvl w:val="2"/>
          <w:numId w:val="11"/>
        </w:numPr>
        <w:tabs>
          <w:tab w:val="left" w:pos="1876"/>
        </w:tabs>
        <w:spacing w:before="5" w:line="362" w:lineRule="auto"/>
        <w:ind w:left="673" w:right="1293" w:firstLine="480"/>
        <w:rPr>
          <w:sz w:val="21"/>
          <w:szCs w:val="21"/>
          <w:highlight w:val="none"/>
        </w:rPr>
      </w:pPr>
      <w:bookmarkStart w:id="76" w:name="2.3.2_投标人应及时登录相应网站查看本项目的招标变更信息，否则引起的一切后果"/>
      <w:bookmarkEnd w:id="76"/>
      <w:r>
        <w:rPr>
          <w:rFonts w:hint="eastAsia"/>
          <w:sz w:val="21"/>
          <w:szCs w:val="21"/>
          <w:highlight w:val="none"/>
        </w:rPr>
        <w:t>投标人应及时登录相应网站查看本项目的招标变更信息，否则引起的一切后果由投标人自负。</w:t>
      </w:r>
    </w:p>
    <w:p w14:paraId="156D32F0">
      <w:pPr>
        <w:pStyle w:val="70"/>
        <w:numPr>
          <w:ilvl w:val="2"/>
          <w:numId w:val="11"/>
        </w:numPr>
        <w:tabs>
          <w:tab w:val="left" w:pos="1876"/>
        </w:tabs>
        <w:spacing w:before="44" w:line="364" w:lineRule="auto"/>
        <w:ind w:left="673" w:right="1171" w:firstLine="480"/>
        <w:rPr>
          <w:sz w:val="21"/>
          <w:szCs w:val="21"/>
          <w:highlight w:val="none"/>
        </w:rPr>
      </w:pPr>
      <w:bookmarkStart w:id="77" w:name="2.3.3_招标文件、招标文件澄清（答疑）纪要、招标文件修改（补充）文件等内容均"/>
      <w:bookmarkEnd w:id="77"/>
      <w:r>
        <w:rPr>
          <w:rFonts w:hint="eastAsia"/>
          <w:sz w:val="21"/>
          <w:szCs w:val="21"/>
          <w:highlight w:val="none"/>
        </w:rPr>
        <w:t>招标文件、招标文件澄清（答疑）纪要、招标文件修改（补充）文件等内</w:t>
      </w:r>
      <w:r>
        <w:rPr>
          <w:rFonts w:hint="eastAsia"/>
          <w:spacing w:val="-3"/>
          <w:sz w:val="21"/>
          <w:szCs w:val="21"/>
          <w:highlight w:val="none"/>
        </w:rPr>
        <w:t>容均以发布的为准。当招标文件、招标文件澄清</w:t>
      </w:r>
      <w:r>
        <w:rPr>
          <w:rFonts w:hint="eastAsia"/>
          <w:sz w:val="21"/>
          <w:szCs w:val="21"/>
          <w:highlight w:val="none"/>
        </w:rPr>
        <w:t>（答疑</w:t>
      </w:r>
      <w:r>
        <w:rPr>
          <w:rFonts w:hint="eastAsia"/>
          <w:spacing w:val="-8"/>
          <w:sz w:val="21"/>
          <w:szCs w:val="21"/>
          <w:highlight w:val="none"/>
        </w:rPr>
        <w:t>）</w:t>
      </w:r>
      <w:r>
        <w:rPr>
          <w:rFonts w:hint="eastAsia"/>
          <w:spacing w:val="-3"/>
          <w:sz w:val="21"/>
          <w:szCs w:val="21"/>
          <w:highlight w:val="none"/>
        </w:rPr>
        <w:t>纪要、招标文件修改</w:t>
      </w:r>
      <w:r>
        <w:rPr>
          <w:rFonts w:hint="eastAsia"/>
          <w:sz w:val="21"/>
          <w:szCs w:val="21"/>
          <w:highlight w:val="none"/>
        </w:rPr>
        <w:t>（补充</w:t>
      </w:r>
      <w:r>
        <w:rPr>
          <w:rFonts w:hint="eastAsia"/>
          <w:spacing w:val="-13"/>
          <w:sz w:val="21"/>
          <w:szCs w:val="21"/>
          <w:highlight w:val="none"/>
        </w:rPr>
        <w:t xml:space="preserve">） </w:t>
      </w:r>
      <w:r>
        <w:rPr>
          <w:rFonts w:hint="eastAsia"/>
          <w:sz w:val="21"/>
          <w:szCs w:val="21"/>
          <w:highlight w:val="none"/>
        </w:rPr>
        <w:t>文件在同一内容的表述上不一致时，以时间在后的为准。</w:t>
      </w:r>
    </w:p>
    <w:p w14:paraId="0681F562">
      <w:pPr>
        <w:pStyle w:val="8"/>
        <w:spacing w:before="97"/>
        <w:ind w:left="956" w:right="1096"/>
        <w:jc w:val="center"/>
        <w:rPr>
          <w:sz w:val="21"/>
          <w:szCs w:val="21"/>
          <w:highlight w:val="none"/>
        </w:rPr>
      </w:pPr>
      <w:bookmarkStart w:id="78" w:name="三、_投标文件"/>
      <w:bookmarkEnd w:id="78"/>
      <w:r>
        <w:rPr>
          <w:rFonts w:hint="eastAsia"/>
          <w:sz w:val="21"/>
          <w:szCs w:val="21"/>
          <w:highlight w:val="none"/>
        </w:rPr>
        <w:t>三、 投标文件</w:t>
      </w:r>
    </w:p>
    <w:p w14:paraId="04E5B12D">
      <w:pPr>
        <w:pStyle w:val="16"/>
        <w:spacing w:before="161"/>
        <w:ind w:left="1201"/>
        <w:rPr>
          <w:sz w:val="21"/>
          <w:szCs w:val="21"/>
          <w:highlight w:val="none"/>
        </w:rPr>
      </w:pPr>
      <w:r>
        <w:rPr>
          <w:rFonts w:hint="eastAsia"/>
          <w:sz w:val="21"/>
          <w:szCs w:val="21"/>
          <w:highlight w:val="none"/>
        </w:rPr>
        <w:t>3.1 投标文件编制：</w:t>
      </w:r>
    </w:p>
    <w:p w14:paraId="54FE57BF">
      <w:pPr>
        <w:pStyle w:val="70"/>
        <w:numPr>
          <w:ilvl w:val="1"/>
          <w:numId w:val="13"/>
        </w:numPr>
        <w:tabs>
          <w:tab w:val="left" w:pos="1574"/>
        </w:tabs>
        <w:spacing w:before="160"/>
        <w:ind w:hanging="421"/>
        <w:rPr>
          <w:sz w:val="21"/>
          <w:szCs w:val="21"/>
          <w:highlight w:val="none"/>
        </w:rPr>
      </w:pPr>
      <w:bookmarkStart w:id="79" w:name="3.1电子投标文件"/>
      <w:bookmarkEnd w:id="79"/>
      <w:r>
        <w:rPr>
          <w:rFonts w:hint="eastAsia"/>
          <w:sz w:val="21"/>
          <w:szCs w:val="21"/>
          <w:highlight w:val="none"/>
        </w:rPr>
        <w:t>电子投标文件</w:t>
      </w:r>
    </w:p>
    <w:p w14:paraId="6D274FA2">
      <w:pPr>
        <w:pStyle w:val="70"/>
        <w:numPr>
          <w:ilvl w:val="0"/>
          <w:numId w:val="14"/>
        </w:numPr>
        <w:tabs>
          <w:tab w:val="left" w:pos="1755"/>
        </w:tabs>
        <w:spacing w:before="158" w:line="364" w:lineRule="auto"/>
        <w:ind w:right="1291" w:firstLine="480"/>
        <w:jc w:val="both"/>
        <w:rPr>
          <w:sz w:val="21"/>
          <w:szCs w:val="21"/>
          <w:highlight w:val="none"/>
        </w:rPr>
      </w:pPr>
      <w:bookmarkStart w:id="80" w:name="（1）投标文件全部采用电子文档，根据《电子招标投标办法》有关规定，投标文件提交截"/>
      <w:bookmarkEnd w:id="80"/>
      <w:r>
        <w:rPr>
          <w:rFonts w:hint="eastAsia"/>
          <w:spacing w:val="-6"/>
          <w:sz w:val="21"/>
          <w:szCs w:val="21"/>
          <w:highlight w:val="none"/>
        </w:rPr>
        <w:t>投标文件全部采用电子文档，根据《电子招标投标办法》有关规定，投标文</w:t>
      </w:r>
      <w:r>
        <w:rPr>
          <w:rFonts w:hint="eastAsia"/>
          <w:spacing w:val="3"/>
          <w:sz w:val="21"/>
          <w:szCs w:val="21"/>
          <w:highlight w:val="none"/>
        </w:rPr>
        <w:t>件提交截止时间前,各投标人务必在开标前完成在线签到工作，否则将视同为放弃投标。</w:t>
      </w:r>
    </w:p>
    <w:p w14:paraId="7ACD433B">
      <w:pPr>
        <w:pStyle w:val="70"/>
        <w:numPr>
          <w:ilvl w:val="0"/>
          <w:numId w:val="14"/>
        </w:numPr>
        <w:tabs>
          <w:tab w:val="left" w:pos="1755"/>
        </w:tabs>
        <w:spacing w:line="364" w:lineRule="auto"/>
        <w:ind w:right="1291" w:firstLine="480"/>
        <w:jc w:val="both"/>
        <w:rPr>
          <w:sz w:val="21"/>
          <w:szCs w:val="21"/>
          <w:highlight w:val="none"/>
        </w:rPr>
      </w:pPr>
      <w:bookmarkStart w:id="81" w:name="（2）各投标人参加不见面开标项目，应根据招标文件的要求使用电子交易平台提供的最新"/>
      <w:bookmarkEnd w:id="81"/>
      <w:r>
        <w:rPr>
          <w:rFonts w:hint="eastAsia"/>
          <w:spacing w:val="-3"/>
          <w:sz w:val="21"/>
          <w:szCs w:val="21"/>
          <w:highlight w:val="none"/>
        </w:rPr>
        <w:t>各投标人参加不见面开标项目，应根据招标文件的要求使用电子交易平台提</w:t>
      </w:r>
      <w:r>
        <w:rPr>
          <w:rFonts w:hint="eastAsia"/>
          <w:sz w:val="21"/>
          <w:szCs w:val="21"/>
          <w:highlight w:val="none"/>
        </w:rPr>
        <w:t>供的最新发布的电子招标文件及专用制作工具进行编制、签章和加密（加密和解密须</w:t>
      </w:r>
      <w:r>
        <w:rPr>
          <w:rFonts w:hint="eastAsia"/>
          <w:spacing w:val="-5"/>
          <w:sz w:val="21"/>
          <w:szCs w:val="21"/>
          <w:highlight w:val="none"/>
        </w:rPr>
        <w:t>用同一数字证书)，并在投标截止时间前完成电子投标文件的上传，确保上传的电子投</w:t>
      </w:r>
      <w:r>
        <w:rPr>
          <w:rFonts w:hint="eastAsia"/>
          <w:sz w:val="21"/>
          <w:szCs w:val="21"/>
          <w:highlight w:val="none"/>
        </w:rPr>
        <w:t>标文件的完整性、准确性及保密性。投标人编制投标文件时，涉及的有关原件应在投标文件中提供电子版。</w:t>
      </w:r>
    </w:p>
    <w:p w14:paraId="49167A54">
      <w:pPr>
        <w:pStyle w:val="70"/>
        <w:numPr>
          <w:ilvl w:val="0"/>
          <w:numId w:val="14"/>
        </w:numPr>
        <w:tabs>
          <w:tab w:val="left" w:pos="1755"/>
        </w:tabs>
        <w:spacing w:line="364" w:lineRule="auto"/>
        <w:ind w:right="1291" w:firstLine="480"/>
        <w:jc w:val="both"/>
        <w:rPr>
          <w:sz w:val="21"/>
          <w:szCs w:val="21"/>
          <w:highlight w:val="none"/>
        </w:rPr>
      </w:pPr>
      <w:bookmarkStart w:id="82" w:name="（3）电子投标文件中需要法定代表人签字或盖章的地方，请使用“法人CA”进行签章；"/>
      <w:bookmarkEnd w:id="82"/>
      <w:r>
        <w:rPr>
          <w:rFonts w:hint="eastAsia"/>
          <w:spacing w:val="-5"/>
          <w:sz w:val="21"/>
          <w:szCs w:val="21"/>
          <w:highlight w:val="none"/>
        </w:rPr>
        <w:t xml:space="preserve">电子投标文件中需要法定代表人签字或盖章的地方，请使用“法人 </w:t>
      </w:r>
      <w:r>
        <w:rPr>
          <w:rFonts w:hint="eastAsia"/>
          <w:spacing w:val="-8"/>
          <w:sz w:val="21"/>
          <w:szCs w:val="21"/>
          <w:highlight w:val="none"/>
        </w:rPr>
        <w:t>CA</w:t>
      </w:r>
      <w:r>
        <w:rPr>
          <w:rFonts w:hint="eastAsia"/>
          <w:spacing w:val="-4"/>
          <w:sz w:val="21"/>
          <w:szCs w:val="21"/>
          <w:highlight w:val="none"/>
        </w:rPr>
        <w:t>”进</w:t>
      </w:r>
      <w:r>
        <w:rPr>
          <w:rFonts w:hint="eastAsia"/>
          <w:spacing w:val="-6"/>
          <w:sz w:val="21"/>
          <w:szCs w:val="21"/>
          <w:highlight w:val="none"/>
        </w:rPr>
        <w:t>行签章；需要加盖</w:t>
      </w:r>
      <w:r>
        <w:rPr>
          <w:rFonts w:hint="eastAsia"/>
          <w:spacing w:val="-6"/>
          <w:sz w:val="21"/>
          <w:szCs w:val="21"/>
          <w:highlight w:val="none"/>
          <w:lang w:eastAsia="zh-CN"/>
        </w:rPr>
        <w:t>投标人</w:t>
      </w:r>
      <w:r>
        <w:rPr>
          <w:rFonts w:hint="eastAsia"/>
          <w:spacing w:val="-6"/>
          <w:sz w:val="21"/>
          <w:szCs w:val="21"/>
          <w:highlight w:val="none"/>
        </w:rPr>
        <w:t xml:space="preserve">公章的地方，请使用“企业 </w:t>
      </w:r>
      <w:r>
        <w:rPr>
          <w:rFonts w:hint="eastAsia"/>
          <w:sz w:val="21"/>
          <w:szCs w:val="21"/>
          <w:highlight w:val="none"/>
        </w:rPr>
        <w:t>CA”进行盖章。加密和解密应当</w:t>
      </w:r>
      <w:r>
        <w:rPr>
          <w:rFonts w:hint="eastAsia"/>
          <w:spacing w:val="-15"/>
          <w:sz w:val="21"/>
          <w:szCs w:val="21"/>
          <w:highlight w:val="none"/>
        </w:rPr>
        <w:t xml:space="preserve">使用同一 </w:t>
      </w:r>
      <w:r>
        <w:rPr>
          <w:rFonts w:hint="eastAsia"/>
          <w:sz w:val="21"/>
          <w:szCs w:val="21"/>
          <w:highlight w:val="none"/>
        </w:rPr>
        <w:t>CA，否则将会导致解密失败。</w:t>
      </w:r>
    </w:p>
    <w:p w14:paraId="4FAB3B94">
      <w:pPr>
        <w:pStyle w:val="70"/>
        <w:numPr>
          <w:ilvl w:val="0"/>
          <w:numId w:val="14"/>
        </w:numPr>
        <w:tabs>
          <w:tab w:val="left" w:pos="1755"/>
        </w:tabs>
        <w:spacing w:line="364" w:lineRule="auto"/>
        <w:ind w:right="1171" w:firstLine="480"/>
        <w:rPr>
          <w:sz w:val="21"/>
          <w:szCs w:val="21"/>
          <w:highlight w:val="none"/>
        </w:rPr>
      </w:pPr>
      <w:bookmarkStart w:id="83" w:name="（4）电子投标文件同样需要使用上述专用软件进行编制。若电子投标文件签章后，导出的"/>
      <w:bookmarkEnd w:id="83"/>
      <w:r>
        <w:rPr>
          <w:rFonts w:hint="eastAsia"/>
          <w:spacing w:val="-4"/>
          <w:sz w:val="21"/>
          <w:szCs w:val="21"/>
          <w:highlight w:val="none"/>
        </w:rPr>
        <w:t>电子投标文件同样需要使用上述专用软件进行编制。若电子投标文件签章后</w:t>
      </w:r>
      <w:r>
        <w:rPr>
          <w:rFonts w:hint="eastAsia"/>
          <w:spacing w:val="-13"/>
          <w:sz w:val="21"/>
          <w:szCs w:val="21"/>
          <w:highlight w:val="none"/>
        </w:rPr>
        <w:t xml:space="preserve">，导出的 </w:t>
      </w:r>
      <w:r>
        <w:rPr>
          <w:rFonts w:hint="eastAsia"/>
          <w:sz w:val="21"/>
          <w:szCs w:val="21"/>
          <w:highlight w:val="none"/>
        </w:rPr>
        <w:t>PDF</w:t>
      </w:r>
      <w:r>
        <w:rPr>
          <w:rFonts w:hint="eastAsia"/>
          <w:spacing w:val="-7"/>
          <w:sz w:val="21"/>
          <w:szCs w:val="21"/>
          <w:highlight w:val="none"/>
        </w:rPr>
        <w:t xml:space="preserve"> 文件里看不到签章，请尝试使用查看投标文件工具打开未加密的电子投标文件重新导出。在编制过程中，如有其他技术性问题，请先翻阅操作手册。</w:t>
      </w:r>
    </w:p>
    <w:p w14:paraId="4D10DBE5">
      <w:pPr>
        <w:pStyle w:val="70"/>
        <w:numPr>
          <w:ilvl w:val="0"/>
          <w:numId w:val="14"/>
        </w:numPr>
        <w:tabs>
          <w:tab w:val="left" w:pos="1755"/>
        </w:tabs>
        <w:spacing w:line="364" w:lineRule="auto"/>
        <w:ind w:right="1291" w:firstLine="480"/>
        <w:jc w:val="both"/>
        <w:rPr>
          <w:sz w:val="21"/>
          <w:szCs w:val="21"/>
          <w:highlight w:val="none"/>
        </w:rPr>
      </w:pPr>
      <w:bookmarkStart w:id="84" w:name="（5）各投标人需实时在线观看音视频直播并及时互动，未按时加入系统或未在线参与互动"/>
      <w:bookmarkEnd w:id="84"/>
      <w:r>
        <w:rPr>
          <w:rFonts w:hint="eastAsia"/>
          <w:spacing w:val="-2"/>
          <w:sz w:val="21"/>
          <w:szCs w:val="21"/>
          <w:highlight w:val="none"/>
        </w:rPr>
        <w:t>各投标人需实时在线观看音视频直播并及时互动，未按时加入系统或未在线</w:t>
      </w:r>
      <w:r>
        <w:rPr>
          <w:rFonts w:hint="eastAsia"/>
          <w:sz w:val="21"/>
          <w:szCs w:val="21"/>
          <w:highlight w:val="none"/>
        </w:rPr>
        <w:t>参与互动的，视为放弃对开评标全过程质疑、澄清、答辩的权利，并承担由此产生的相应后果。</w:t>
      </w:r>
    </w:p>
    <w:p w14:paraId="4B6C6FD9">
      <w:pPr>
        <w:pStyle w:val="70"/>
        <w:numPr>
          <w:ilvl w:val="0"/>
          <w:numId w:val="14"/>
        </w:numPr>
        <w:tabs>
          <w:tab w:val="left" w:pos="1755"/>
        </w:tabs>
        <w:spacing w:line="364" w:lineRule="auto"/>
        <w:ind w:right="1171" w:firstLine="480"/>
        <w:jc w:val="both"/>
        <w:rPr>
          <w:sz w:val="21"/>
          <w:szCs w:val="21"/>
          <w:highlight w:val="none"/>
        </w:rPr>
      </w:pPr>
      <w:bookmarkStart w:id="85" w:name="（6）因供应商自身原因造成电子投标文件在规定的时间（60分钟）内无法解密的，按无"/>
      <w:bookmarkEnd w:id="85"/>
      <w:r>
        <w:rPr>
          <w:rFonts w:hint="eastAsia"/>
          <w:spacing w:val="-4"/>
          <w:sz w:val="21"/>
          <w:szCs w:val="21"/>
          <w:highlight w:val="none"/>
        </w:rPr>
        <w:t>因</w:t>
      </w:r>
      <w:r>
        <w:rPr>
          <w:rFonts w:hint="eastAsia"/>
          <w:spacing w:val="-4"/>
          <w:sz w:val="21"/>
          <w:szCs w:val="21"/>
          <w:highlight w:val="none"/>
          <w:lang w:eastAsia="zh-CN"/>
        </w:rPr>
        <w:t>投标人</w:t>
      </w:r>
      <w:r>
        <w:rPr>
          <w:rFonts w:hint="eastAsia"/>
          <w:spacing w:val="-4"/>
          <w:sz w:val="21"/>
          <w:szCs w:val="21"/>
          <w:highlight w:val="none"/>
        </w:rPr>
        <w:t>自身原因造成电子投标文件在规定的时间</w:t>
      </w:r>
      <w:r>
        <w:rPr>
          <w:rFonts w:hint="eastAsia"/>
          <w:sz w:val="21"/>
          <w:szCs w:val="21"/>
          <w:highlight w:val="none"/>
        </w:rPr>
        <w:t>（60</w:t>
      </w:r>
      <w:r>
        <w:rPr>
          <w:rFonts w:hint="eastAsia"/>
          <w:spacing w:val="-20"/>
          <w:sz w:val="21"/>
          <w:szCs w:val="21"/>
          <w:highlight w:val="none"/>
        </w:rPr>
        <w:t xml:space="preserve"> 分钟</w:t>
      </w:r>
      <w:r>
        <w:rPr>
          <w:rFonts w:hint="eastAsia"/>
          <w:spacing w:val="-72"/>
          <w:sz w:val="21"/>
          <w:szCs w:val="21"/>
          <w:highlight w:val="none"/>
        </w:rPr>
        <w:t>）</w:t>
      </w:r>
      <w:r>
        <w:rPr>
          <w:rFonts w:hint="eastAsia"/>
          <w:sz w:val="21"/>
          <w:szCs w:val="21"/>
          <w:highlight w:val="none"/>
        </w:rPr>
        <w:t>内无法解密的</w:t>
      </w:r>
      <w:r>
        <w:rPr>
          <w:rFonts w:hint="eastAsia"/>
          <w:spacing w:val="-4"/>
          <w:sz w:val="21"/>
          <w:szCs w:val="21"/>
          <w:highlight w:val="none"/>
        </w:rPr>
        <w:t>，按无效投标文件对待。</w:t>
      </w:r>
    </w:p>
    <w:p w14:paraId="58856A77">
      <w:pPr>
        <w:pStyle w:val="70"/>
        <w:numPr>
          <w:ilvl w:val="1"/>
          <w:numId w:val="13"/>
        </w:numPr>
        <w:tabs>
          <w:tab w:val="left" w:pos="1574"/>
        </w:tabs>
        <w:spacing w:line="306" w:lineRule="exact"/>
        <w:ind w:hanging="421"/>
        <w:jc w:val="both"/>
        <w:rPr>
          <w:sz w:val="21"/>
          <w:szCs w:val="21"/>
          <w:highlight w:val="none"/>
        </w:rPr>
      </w:pPr>
      <w:bookmarkStart w:id="86" w:name="3.2纸质投标文件"/>
      <w:bookmarkEnd w:id="86"/>
      <w:r>
        <w:rPr>
          <w:rFonts w:hint="eastAsia"/>
          <w:sz w:val="21"/>
          <w:szCs w:val="21"/>
          <w:highlight w:val="none"/>
        </w:rPr>
        <w:t>纸质投标文件</w:t>
      </w:r>
    </w:p>
    <w:p w14:paraId="4AE14719">
      <w:pPr>
        <w:pStyle w:val="70"/>
        <w:numPr>
          <w:ilvl w:val="0"/>
          <w:numId w:val="15"/>
        </w:numPr>
        <w:tabs>
          <w:tab w:val="left" w:pos="1755"/>
        </w:tabs>
        <w:spacing w:before="152" w:line="362" w:lineRule="auto"/>
        <w:ind w:right="1291" w:firstLine="480"/>
        <w:rPr>
          <w:sz w:val="21"/>
          <w:szCs w:val="21"/>
          <w:highlight w:val="none"/>
        </w:rPr>
      </w:pPr>
      <w:bookmarkStart w:id="87" w:name="（1）开标时投标人无需提交纸质投标文件，项目中标后由中标人在领取中标通知书时提供"/>
      <w:bookmarkEnd w:id="87"/>
      <w:r>
        <w:rPr>
          <w:rFonts w:hint="eastAsia"/>
          <w:spacing w:val="-3"/>
          <w:sz w:val="21"/>
          <w:szCs w:val="21"/>
          <w:highlight w:val="none"/>
        </w:rPr>
        <w:t>开标时投标人无需提交纸质投标文件，项目中标后由中标人在领取中标通知</w:t>
      </w:r>
      <w:r>
        <w:rPr>
          <w:rFonts w:hint="eastAsia"/>
          <w:sz w:val="21"/>
          <w:szCs w:val="21"/>
          <w:highlight w:val="none"/>
        </w:rPr>
        <w:t>书时提供一正两副纸质投标文件用于备案。</w:t>
      </w:r>
    </w:p>
    <w:p w14:paraId="18AEA7C3">
      <w:pPr>
        <w:pStyle w:val="70"/>
        <w:numPr>
          <w:ilvl w:val="0"/>
          <w:numId w:val="15"/>
        </w:numPr>
        <w:tabs>
          <w:tab w:val="left" w:pos="1755"/>
        </w:tabs>
        <w:spacing w:before="5" w:line="362" w:lineRule="auto"/>
        <w:ind w:right="1291" w:firstLine="480"/>
        <w:rPr>
          <w:sz w:val="21"/>
          <w:szCs w:val="21"/>
          <w:highlight w:val="none"/>
        </w:rPr>
      </w:pPr>
      <w:bookmarkStart w:id="88" w:name="（2）采用电子化评审系统的采购项目，其纸质投标文件应从政府采购项目投标文件制作软"/>
      <w:bookmarkEnd w:id="88"/>
      <w:r>
        <w:rPr>
          <w:rFonts w:hint="eastAsia"/>
          <w:spacing w:val="-3"/>
          <w:sz w:val="21"/>
          <w:szCs w:val="21"/>
          <w:highlight w:val="none"/>
        </w:rPr>
        <w:t>采用电子化评审系统的采购项目，其纸质投标文件应从政府采购项目投标文</w:t>
      </w:r>
      <w:r>
        <w:rPr>
          <w:rFonts w:hint="eastAsia"/>
          <w:spacing w:val="-2"/>
          <w:sz w:val="21"/>
          <w:szCs w:val="21"/>
          <w:highlight w:val="none"/>
        </w:rPr>
        <w:t>件制作软件中导出，并在封面注名“正本</w:t>
      </w:r>
      <w:r>
        <w:rPr>
          <w:rFonts w:hint="eastAsia"/>
          <w:sz w:val="21"/>
          <w:szCs w:val="21"/>
          <w:highlight w:val="none"/>
        </w:rPr>
        <w:t>/</w:t>
      </w:r>
      <w:r>
        <w:rPr>
          <w:rFonts w:hint="eastAsia"/>
          <w:spacing w:val="-7"/>
          <w:sz w:val="21"/>
          <w:szCs w:val="21"/>
          <w:highlight w:val="none"/>
        </w:rPr>
        <w:t>副本”，分别装订成册。项目分标段的，应</w:t>
      </w:r>
      <w:r>
        <w:rPr>
          <w:rFonts w:hint="eastAsia"/>
          <w:sz w:val="21"/>
          <w:szCs w:val="21"/>
          <w:highlight w:val="none"/>
        </w:rPr>
        <w:t>按所投标段分别准备投标文件。</w:t>
      </w:r>
    </w:p>
    <w:p w14:paraId="1D1AB71C">
      <w:pPr>
        <w:pStyle w:val="70"/>
        <w:numPr>
          <w:ilvl w:val="1"/>
          <w:numId w:val="16"/>
        </w:numPr>
        <w:tabs>
          <w:tab w:val="left" w:pos="1682"/>
        </w:tabs>
        <w:spacing w:before="160"/>
        <w:ind w:hanging="481"/>
        <w:rPr>
          <w:sz w:val="21"/>
          <w:szCs w:val="21"/>
          <w:highlight w:val="none"/>
        </w:rPr>
      </w:pPr>
      <w:r>
        <w:rPr>
          <w:rFonts w:hint="eastAsia"/>
          <w:sz w:val="21"/>
          <w:szCs w:val="21"/>
          <w:highlight w:val="none"/>
        </w:rPr>
        <w:t>投标报价</w:t>
      </w:r>
    </w:p>
    <w:p w14:paraId="63C177B7">
      <w:pPr>
        <w:pStyle w:val="70"/>
        <w:numPr>
          <w:ilvl w:val="2"/>
          <w:numId w:val="16"/>
        </w:numPr>
        <w:tabs>
          <w:tab w:val="left" w:pos="1864"/>
        </w:tabs>
        <w:spacing w:before="158" w:line="364" w:lineRule="auto"/>
        <w:ind w:right="1293" w:firstLine="528"/>
        <w:rPr>
          <w:sz w:val="21"/>
          <w:szCs w:val="21"/>
          <w:highlight w:val="none"/>
        </w:rPr>
      </w:pPr>
      <w:r>
        <w:rPr>
          <w:rFonts w:hint="eastAsia"/>
          <w:sz w:val="21"/>
          <w:szCs w:val="21"/>
          <w:highlight w:val="none"/>
        </w:rPr>
        <w:t>投标人应按</w:t>
      </w:r>
      <w:r>
        <w:rPr>
          <w:rFonts w:hint="eastAsia"/>
          <w:sz w:val="21"/>
          <w:szCs w:val="21"/>
          <w:highlight w:val="none"/>
          <w:lang w:eastAsia="zh-CN"/>
        </w:rPr>
        <w:t>招标人</w:t>
      </w:r>
      <w:r>
        <w:rPr>
          <w:rFonts w:hint="eastAsia"/>
          <w:sz w:val="21"/>
          <w:szCs w:val="21"/>
          <w:highlight w:val="none"/>
        </w:rPr>
        <w:t>提供的工程量清单自主报价。填写的项目编码、项目名称、项目特征、计量单位、工程量必须与</w:t>
      </w:r>
      <w:r>
        <w:rPr>
          <w:rFonts w:hint="eastAsia"/>
          <w:sz w:val="21"/>
          <w:szCs w:val="21"/>
          <w:highlight w:val="none"/>
          <w:lang w:eastAsia="zh-CN"/>
        </w:rPr>
        <w:t>招标人</w:t>
      </w:r>
      <w:r>
        <w:rPr>
          <w:rFonts w:hint="eastAsia"/>
          <w:sz w:val="21"/>
          <w:szCs w:val="21"/>
          <w:highlight w:val="none"/>
        </w:rPr>
        <w:t>提供的一致。</w:t>
      </w:r>
    </w:p>
    <w:p w14:paraId="7B6A21FB">
      <w:pPr>
        <w:pStyle w:val="70"/>
        <w:numPr>
          <w:ilvl w:val="2"/>
          <w:numId w:val="16"/>
        </w:numPr>
        <w:tabs>
          <w:tab w:val="left" w:pos="1864"/>
        </w:tabs>
        <w:spacing w:line="364" w:lineRule="auto"/>
        <w:ind w:right="1291" w:firstLine="528"/>
        <w:rPr>
          <w:sz w:val="21"/>
          <w:szCs w:val="21"/>
          <w:highlight w:val="none"/>
        </w:rPr>
      </w:pPr>
      <w:r>
        <w:rPr>
          <w:rFonts w:hint="eastAsia"/>
          <w:sz w:val="21"/>
          <w:szCs w:val="21"/>
          <w:highlight w:val="none"/>
        </w:rPr>
        <w:t>投标人在投标截止前修改投标函中的投标总报价，应同时修改“已标价工</w:t>
      </w:r>
      <w:r>
        <w:rPr>
          <w:rFonts w:hint="eastAsia"/>
          <w:spacing w:val="-3"/>
          <w:sz w:val="21"/>
          <w:szCs w:val="21"/>
          <w:highlight w:val="none"/>
        </w:rPr>
        <w:t xml:space="preserve">程量清单”中的相应报价。此修改须符合本章第 </w:t>
      </w:r>
      <w:r>
        <w:rPr>
          <w:rFonts w:hint="eastAsia"/>
          <w:sz w:val="21"/>
          <w:szCs w:val="21"/>
          <w:highlight w:val="none"/>
        </w:rPr>
        <w:t>4.3</w:t>
      </w:r>
      <w:r>
        <w:rPr>
          <w:rFonts w:hint="eastAsia"/>
          <w:spacing w:val="-8"/>
          <w:sz w:val="21"/>
          <w:szCs w:val="21"/>
          <w:highlight w:val="none"/>
        </w:rPr>
        <w:t xml:space="preserve"> 款的有关要求。</w:t>
      </w:r>
    </w:p>
    <w:p w14:paraId="7ADBFD23">
      <w:pPr>
        <w:pStyle w:val="70"/>
        <w:numPr>
          <w:ilvl w:val="2"/>
          <w:numId w:val="16"/>
        </w:numPr>
        <w:tabs>
          <w:tab w:val="left" w:pos="1862"/>
        </w:tabs>
        <w:ind w:left="1861" w:hanging="661"/>
        <w:rPr>
          <w:sz w:val="21"/>
          <w:szCs w:val="21"/>
          <w:highlight w:val="none"/>
        </w:rPr>
      </w:pPr>
      <w:r>
        <w:rPr>
          <w:rFonts w:hint="eastAsia"/>
          <w:sz w:val="21"/>
          <w:szCs w:val="21"/>
          <w:highlight w:val="none"/>
        </w:rPr>
        <w:t>投标报价其他要求：见投标人须知前附表。</w:t>
      </w:r>
    </w:p>
    <w:p w14:paraId="0B0A7118">
      <w:pPr>
        <w:pStyle w:val="70"/>
        <w:numPr>
          <w:ilvl w:val="2"/>
          <w:numId w:val="16"/>
        </w:numPr>
        <w:tabs>
          <w:tab w:val="left" w:pos="1862"/>
        </w:tabs>
        <w:spacing w:before="158"/>
        <w:ind w:left="1861" w:hanging="661"/>
        <w:rPr>
          <w:sz w:val="21"/>
          <w:szCs w:val="21"/>
          <w:highlight w:val="none"/>
        </w:rPr>
      </w:pPr>
      <w:r>
        <w:rPr>
          <w:rFonts w:hint="eastAsia"/>
          <w:sz w:val="21"/>
          <w:szCs w:val="21"/>
          <w:highlight w:val="none"/>
        </w:rPr>
        <w:t>最高投标限价</w:t>
      </w:r>
      <w:r>
        <w:rPr>
          <w:rFonts w:hint="eastAsia" w:ascii="宋体" w:hAnsi="宋体" w:eastAsia="宋体" w:cs="宋体"/>
          <w:sz w:val="21"/>
          <w:szCs w:val="21"/>
          <w:highlight w:val="none"/>
          <w:lang w:eastAsia="zh-CN"/>
        </w:rPr>
        <w:t>：</w:t>
      </w:r>
      <w:r>
        <w:rPr>
          <w:rFonts w:hint="eastAsia" w:cs="宋体"/>
          <w:sz w:val="21"/>
          <w:szCs w:val="21"/>
          <w:highlight w:val="none"/>
          <w:lang w:val="en-US" w:eastAsia="zh-CN"/>
        </w:rPr>
        <w:t>见投标人须知前附表</w:t>
      </w:r>
    </w:p>
    <w:p w14:paraId="4170B3F1">
      <w:pPr>
        <w:pStyle w:val="16"/>
        <w:spacing w:before="158" w:line="364" w:lineRule="auto"/>
        <w:ind w:left="673" w:right="1293" w:firstLine="528"/>
        <w:rPr>
          <w:sz w:val="21"/>
          <w:szCs w:val="21"/>
          <w:highlight w:val="none"/>
        </w:rPr>
      </w:pPr>
      <w:r>
        <w:rPr>
          <w:rFonts w:hint="eastAsia"/>
          <w:sz w:val="21"/>
          <w:szCs w:val="21"/>
          <w:highlight w:val="none"/>
        </w:rPr>
        <w:t>因投标单位对招标文件阅读疏忽或误解或对施工现场、施工环境、市场行情了解不清而造成的后果，风险由投标单位自负。</w:t>
      </w:r>
    </w:p>
    <w:p w14:paraId="2BCCC6AB">
      <w:pPr>
        <w:pStyle w:val="16"/>
        <w:spacing w:before="1"/>
        <w:ind w:left="1201"/>
        <w:rPr>
          <w:sz w:val="21"/>
          <w:szCs w:val="21"/>
          <w:highlight w:val="none"/>
        </w:rPr>
      </w:pPr>
      <w:r>
        <w:rPr>
          <w:rFonts w:hint="eastAsia"/>
          <w:sz w:val="21"/>
          <w:szCs w:val="21"/>
          <w:highlight w:val="none"/>
        </w:rPr>
        <w:t>其他符合招标文件提供的合同中所要求的全部内容。</w:t>
      </w:r>
    </w:p>
    <w:p w14:paraId="72DB28DA">
      <w:pPr>
        <w:pStyle w:val="70"/>
        <w:numPr>
          <w:ilvl w:val="1"/>
          <w:numId w:val="16"/>
        </w:numPr>
        <w:tabs>
          <w:tab w:val="left" w:pos="1682"/>
        </w:tabs>
        <w:spacing w:before="158"/>
        <w:ind w:hanging="481"/>
        <w:jc w:val="both"/>
        <w:rPr>
          <w:sz w:val="21"/>
          <w:szCs w:val="21"/>
          <w:highlight w:val="none"/>
        </w:rPr>
      </w:pPr>
      <w:r>
        <w:rPr>
          <w:rFonts w:hint="eastAsia"/>
          <w:sz w:val="21"/>
          <w:szCs w:val="21"/>
          <w:highlight w:val="none"/>
        </w:rPr>
        <w:t>投标有效期</w:t>
      </w:r>
    </w:p>
    <w:p w14:paraId="1E7ADE67">
      <w:pPr>
        <w:pStyle w:val="70"/>
        <w:numPr>
          <w:ilvl w:val="2"/>
          <w:numId w:val="16"/>
        </w:numPr>
        <w:tabs>
          <w:tab w:val="left" w:pos="1922"/>
        </w:tabs>
        <w:spacing w:before="158" w:line="364" w:lineRule="auto"/>
        <w:ind w:right="1293" w:firstLine="528"/>
        <w:jc w:val="both"/>
        <w:rPr>
          <w:sz w:val="21"/>
          <w:szCs w:val="21"/>
          <w:highlight w:val="none"/>
        </w:rPr>
      </w:pPr>
      <w:r>
        <w:rPr>
          <w:rFonts w:hint="eastAsia"/>
          <w:spacing w:val="-1"/>
          <w:sz w:val="21"/>
          <w:szCs w:val="21"/>
          <w:highlight w:val="none"/>
        </w:rPr>
        <w:t>在投标人须知前附表规定的投标有效期内，投标人不得要求撤销或修改其</w:t>
      </w:r>
      <w:r>
        <w:rPr>
          <w:rFonts w:hint="eastAsia"/>
          <w:sz w:val="21"/>
          <w:szCs w:val="21"/>
          <w:highlight w:val="none"/>
        </w:rPr>
        <w:t>投标文件。</w:t>
      </w:r>
    </w:p>
    <w:p w14:paraId="5F5E8CE8">
      <w:pPr>
        <w:pStyle w:val="70"/>
        <w:numPr>
          <w:ilvl w:val="2"/>
          <w:numId w:val="16"/>
        </w:numPr>
        <w:tabs>
          <w:tab w:val="left" w:pos="1864"/>
        </w:tabs>
        <w:spacing w:before="2" w:line="364" w:lineRule="auto"/>
        <w:ind w:right="1293" w:firstLine="528"/>
        <w:jc w:val="both"/>
        <w:rPr>
          <w:sz w:val="21"/>
          <w:szCs w:val="21"/>
          <w:highlight w:val="none"/>
        </w:rPr>
      </w:pPr>
      <w:r>
        <w:rPr>
          <w:rFonts w:hint="eastAsia"/>
          <w:sz w:val="21"/>
          <w:szCs w:val="21"/>
          <w:highlight w:val="none"/>
        </w:rPr>
        <w:t>在特殊情况下，</w:t>
      </w:r>
      <w:r>
        <w:rPr>
          <w:rFonts w:hint="eastAsia"/>
          <w:sz w:val="21"/>
          <w:szCs w:val="21"/>
          <w:highlight w:val="none"/>
          <w:lang w:eastAsia="zh-CN"/>
        </w:rPr>
        <w:t>招标人</w:t>
      </w:r>
      <w:r>
        <w:rPr>
          <w:rFonts w:hint="eastAsia"/>
          <w:sz w:val="21"/>
          <w:szCs w:val="21"/>
          <w:highlight w:val="none"/>
        </w:rPr>
        <w:t>在原定投标有效期内，可以根据需要以书面形式向投标人提出延长投标有效期的要求，对此要求投标人须以书面形式予以答复。投标人可以拒绝</w:t>
      </w:r>
      <w:r>
        <w:rPr>
          <w:rFonts w:hint="eastAsia"/>
          <w:sz w:val="21"/>
          <w:szCs w:val="21"/>
          <w:highlight w:val="none"/>
          <w:lang w:eastAsia="zh-CN"/>
        </w:rPr>
        <w:t>招标人</w:t>
      </w:r>
      <w:r>
        <w:rPr>
          <w:rFonts w:hint="eastAsia"/>
          <w:sz w:val="21"/>
          <w:szCs w:val="21"/>
          <w:highlight w:val="none"/>
        </w:rPr>
        <w:t>这种要求，而不被没收投标保证金。同意延长投标有效期的投标人既不能要求也不允许修改其投标文件，但需要相应的延长投标保证金的有效期，在延长的投标有效期内本须知关于投标担保的退还与没收的规定仍然适用。</w:t>
      </w:r>
    </w:p>
    <w:p w14:paraId="280E29E5">
      <w:pPr>
        <w:pStyle w:val="70"/>
        <w:numPr>
          <w:ilvl w:val="1"/>
          <w:numId w:val="16"/>
        </w:numPr>
        <w:tabs>
          <w:tab w:val="left" w:pos="1682"/>
        </w:tabs>
        <w:spacing w:line="306" w:lineRule="exact"/>
        <w:ind w:hanging="481"/>
        <w:rPr>
          <w:sz w:val="21"/>
          <w:szCs w:val="21"/>
          <w:highlight w:val="none"/>
        </w:rPr>
      </w:pPr>
      <w:r>
        <w:rPr>
          <w:rFonts w:hint="eastAsia"/>
          <w:sz w:val="21"/>
          <w:szCs w:val="21"/>
          <w:highlight w:val="none"/>
        </w:rPr>
        <w:t>投标保证金</w:t>
      </w:r>
    </w:p>
    <w:p w14:paraId="05CF65C8">
      <w:pPr>
        <w:pStyle w:val="70"/>
        <w:numPr>
          <w:ilvl w:val="2"/>
          <w:numId w:val="16"/>
        </w:numPr>
        <w:tabs>
          <w:tab w:val="left" w:pos="1922"/>
        </w:tabs>
        <w:spacing w:before="160"/>
        <w:ind w:left="1921" w:hanging="721"/>
        <w:jc w:val="both"/>
        <w:rPr>
          <w:sz w:val="21"/>
          <w:szCs w:val="21"/>
          <w:highlight w:val="none"/>
        </w:rPr>
      </w:pPr>
      <w:r>
        <w:rPr>
          <w:rFonts w:hint="eastAsia"/>
          <w:sz w:val="21"/>
          <w:szCs w:val="21"/>
          <w:highlight w:val="none"/>
        </w:rPr>
        <w:t>本项目关于投标保证金的具体要求详见投标人须知前附表。</w:t>
      </w:r>
    </w:p>
    <w:p w14:paraId="22A8D73D">
      <w:pPr>
        <w:pStyle w:val="70"/>
        <w:numPr>
          <w:ilvl w:val="1"/>
          <w:numId w:val="16"/>
        </w:numPr>
        <w:tabs>
          <w:tab w:val="left" w:pos="1682"/>
        </w:tabs>
        <w:spacing w:before="158"/>
        <w:ind w:hanging="481"/>
        <w:jc w:val="both"/>
        <w:rPr>
          <w:sz w:val="21"/>
          <w:szCs w:val="21"/>
          <w:highlight w:val="none"/>
        </w:rPr>
      </w:pPr>
      <w:r>
        <w:rPr>
          <w:rFonts w:hint="eastAsia"/>
          <w:sz w:val="21"/>
          <w:szCs w:val="21"/>
          <w:highlight w:val="none"/>
        </w:rPr>
        <w:t>备选投标方案</w:t>
      </w:r>
    </w:p>
    <w:p w14:paraId="2E7EFE65">
      <w:pPr>
        <w:pStyle w:val="16"/>
        <w:spacing w:before="161"/>
        <w:ind w:left="1201"/>
        <w:rPr>
          <w:sz w:val="21"/>
          <w:szCs w:val="21"/>
          <w:highlight w:val="none"/>
        </w:rPr>
      </w:pPr>
      <w:r>
        <w:rPr>
          <w:rFonts w:hint="eastAsia"/>
          <w:sz w:val="21"/>
          <w:szCs w:val="21"/>
          <w:highlight w:val="none"/>
        </w:rPr>
        <w:t>除投标人须知前附表另有规定外，投标人不得递交备选投标方案。</w:t>
      </w:r>
    </w:p>
    <w:p w14:paraId="1059E72B">
      <w:pPr>
        <w:pStyle w:val="70"/>
        <w:numPr>
          <w:ilvl w:val="1"/>
          <w:numId w:val="16"/>
        </w:numPr>
        <w:tabs>
          <w:tab w:val="left" w:pos="1682"/>
        </w:tabs>
        <w:spacing w:before="160"/>
        <w:ind w:hanging="481"/>
        <w:jc w:val="both"/>
        <w:rPr>
          <w:sz w:val="21"/>
          <w:szCs w:val="21"/>
          <w:highlight w:val="none"/>
        </w:rPr>
      </w:pPr>
      <w:r>
        <w:rPr>
          <w:rFonts w:hint="eastAsia"/>
          <w:sz w:val="21"/>
          <w:szCs w:val="21"/>
          <w:highlight w:val="none"/>
        </w:rPr>
        <w:t>投标文件的编制</w:t>
      </w:r>
    </w:p>
    <w:p w14:paraId="6B990BC4">
      <w:pPr>
        <w:pStyle w:val="70"/>
        <w:numPr>
          <w:ilvl w:val="2"/>
          <w:numId w:val="16"/>
        </w:numPr>
        <w:tabs>
          <w:tab w:val="left" w:pos="1864"/>
        </w:tabs>
        <w:spacing w:before="158" w:line="364" w:lineRule="auto"/>
        <w:ind w:right="1291" w:firstLine="528"/>
        <w:jc w:val="both"/>
        <w:rPr>
          <w:sz w:val="21"/>
          <w:szCs w:val="21"/>
          <w:highlight w:val="none"/>
        </w:rPr>
      </w:pPr>
      <w:r>
        <w:rPr>
          <w:rFonts w:hint="eastAsia"/>
          <w:sz w:val="21"/>
          <w:szCs w:val="21"/>
          <w:highlight w:val="none"/>
        </w:rPr>
        <w:t>投标文件应按“投标文件格式”进行编写，如有必要，可以增加附页，作为投标文件的组成部分。其中，投标函附录在满足招标文件实质性要求的基础上，可以提出比招标文件要求更有利于</w:t>
      </w:r>
      <w:r>
        <w:rPr>
          <w:rFonts w:hint="eastAsia"/>
          <w:sz w:val="21"/>
          <w:szCs w:val="21"/>
          <w:highlight w:val="none"/>
          <w:lang w:eastAsia="zh-CN"/>
        </w:rPr>
        <w:t>招标人</w:t>
      </w:r>
      <w:r>
        <w:rPr>
          <w:rFonts w:hint="eastAsia"/>
          <w:sz w:val="21"/>
          <w:szCs w:val="21"/>
          <w:highlight w:val="none"/>
        </w:rPr>
        <w:t>的承诺。</w:t>
      </w:r>
    </w:p>
    <w:p w14:paraId="2F1B607A">
      <w:pPr>
        <w:pStyle w:val="70"/>
        <w:numPr>
          <w:ilvl w:val="2"/>
          <w:numId w:val="16"/>
        </w:numPr>
        <w:tabs>
          <w:tab w:val="left" w:pos="1876"/>
        </w:tabs>
        <w:spacing w:line="364" w:lineRule="auto"/>
        <w:ind w:right="1293" w:firstLine="480"/>
        <w:jc w:val="both"/>
        <w:rPr>
          <w:sz w:val="21"/>
          <w:szCs w:val="21"/>
          <w:highlight w:val="none"/>
        </w:rPr>
      </w:pPr>
      <w:bookmarkStart w:id="89" w:name="3.6.2_投标文件应当对招标文件有关工期、投标有效期、质量要求、技术部分标准和"/>
      <w:bookmarkEnd w:id="89"/>
      <w:r>
        <w:rPr>
          <w:rFonts w:hint="eastAsia"/>
          <w:sz w:val="21"/>
          <w:szCs w:val="21"/>
          <w:highlight w:val="none"/>
        </w:rPr>
        <w:t>投标文件应当对招标文件有关工期、投标有效期、质量要求、技术部分标准和要求、招标范围等实质性内容作出响应。</w:t>
      </w:r>
    </w:p>
    <w:p w14:paraId="46CFC549">
      <w:pPr>
        <w:pStyle w:val="70"/>
        <w:numPr>
          <w:ilvl w:val="2"/>
          <w:numId w:val="16"/>
        </w:numPr>
        <w:tabs>
          <w:tab w:val="left" w:pos="1819"/>
        </w:tabs>
        <w:spacing w:line="364" w:lineRule="auto"/>
        <w:ind w:right="1171" w:firstLine="480"/>
        <w:rPr>
          <w:sz w:val="21"/>
          <w:szCs w:val="21"/>
          <w:highlight w:val="none"/>
        </w:rPr>
      </w:pPr>
      <w:bookmarkStart w:id="90" w:name="3.6.3电子投标文件封面及其它有要求的部位应加盖投标人公章并经法定代表人或其委"/>
      <w:bookmarkEnd w:id="90"/>
      <w:r>
        <w:rPr>
          <w:rFonts w:hint="eastAsia"/>
          <w:sz w:val="21"/>
          <w:szCs w:val="21"/>
          <w:highlight w:val="none"/>
        </w:rPr>
        <w:t>电子投标文件封面及其它有要求的部位应加盖投标人公章并经法定代表人或其委托代理人签字或盖章。由委托代理人签字或盖章的投标文件中须同时提交投标</w:t>
      </w:r>
      <w:r>
        <w:rPr>
          <w:rFonts w:hint="eastAsia"/>
          <w:spacing w:val="-5"/>
          <w:sz w:val="21"/>
          <w:szCs w:val="21"/>
          <w:highlight w:val="none"/>
        </w:rPr>
        <w:t xml:space="preserve">人签署的授权委托书。投标人签署授权委托书格式、签字、盖章及内容均应符合要求， </w:t>
      </w:r>
      <w:r>
        <w:rPr>
          <w:rFonts w:hint="eastAsia"/>
          <w:sz w:val="21"/>
          <w:szCs w:val="21"/>
          <w:highlight w:val="none"/>
        </w:rPr>
        <w:t>否则投标文件签署授权委托书无效。投标文件应尽量避免涂改、行间插字或删除。如果出现上述情况，改动之处应加盖单位章或由投标人的法定代表人或其授权的代理人签字确认。签字或盖章的具体要求见投标人须知前附表，签章意为签字并盖章。</w:t>
      </w:r>
    </w:p>
    <w:p w14:paraId="3186F88B">
      <w:pPr>
        <w:pStyle w:val="70"/>
        <w:numPr>
          <w:ilvl w:val="2"/>
          <w:numId w:val="16"/>
        </w:numPr>
        <w:tabs>
          <w:tab w:val="left" w:pos="1876"/>
        </w:tabs>
        <w:spacing w:line="362" w:lineRule="auto"/>
        <w:ind w:right="1293" w:firstLine="480"/>
        <w:rPr>
          <w:sz w:val="21"/>
          <w:szCs w:val="21"/>
          <w:highlight w:val="none"/>
        </w:rPr>
      </w:pPr>
      <w:bookmarkStart w:id="91" w:name="3.6.4_本项目无须提供纸质投标文件，供应商须在投标文件递交截止时间前上传加密"/>
      <w:bookmarkEnd w:id="91"/>
      <w:r>
        <w:rPr>
          <w:rFonts w:hint="eastAsia"/>
          <w:sz w:val="21"/>
          <w:szCs w:val="21"/>
          <w:highlight w:val="none"/>
        </w:rPr>
        <w:t>本项目无须提供纸质投标文件，</w:t>
      </w:r>
      <w:r>
        <w:rPr>
          <w:rFonts w:hint="eastAsia"/>
          <w:sz w:val="21"/>
          <w:szCs w:val="21"/>
          <w:highlight w:val="none"/>
          <w:lang w:eastAsia="zh-CN"/>
        </w:rPr>
        <w:t>投标人</w:t>
      </w:r>
      <w:r>
        <w:rPr>
          <w:rFonts w:hint="eastAsia"/>
          <w:sz w:val="21"/>
          <w:szCs w:val="21"/>
          <w:highlight w:val="none"/>
        </w:rPr>
        <w:t>须在投标文件递交截止时间前上传加密电子投标文件（加密.SXSTF</w:t>
      </w:r>
      <w:r>
        <w:rPr>
          <w:rFonts w:hint="eastAsia"/>
          <w:spacing w:val="-20"/>
          <w:sz w:val="21"/>
          <w:szCs w:val="21"/>
          <w:highlight w:val="none"/>
        </w:rPr>
        <w:t xml:space="preserve"> 格式</w:t>
      </w:r>
      <w:r>
        <w:rPr>
          <w:rFonts w:hint="eastAsia"/>
          <w:sz w:val="21"/>
          <w:szCs w:val="21"/>
          <w:highlight w:val="none"/>
        </w:rPr>
        <w:t>）。</w:t>
      </w:r>
    </w:p>
    <w:p w14:paraId="46C6D835">
      <w:pPr>
        <w:pStyle w:val="70"/>
        <w:numPr>
          <w:ilvl w:val="2"/>
          <w:numId w:val="16"/>
        </w:numPr>
        <w:tabs>
          <w:tab w:val="left" w:pos="1814"/>
        </w:tabs>
        <w:ind w:left="1813" w:hanging="661"/>
        <w:rPr>
          <w:sz w:val="21"/>
          <w:szCs w:val="21"/>
          <w:highlight w:val="none"/>
        </w:rPr>
      </w:pPr>
      <w:bookmarkStart w:id="92" w:name="3.6.5电子投标文件的编制要求见投标人须知前附表。"/>
      <w:bookmarkEnd w:id="92"/>
      <w:r>
        <w:rPr>
          <w:rFonts w:hint="eastAsia"/>
          <w:sz w:val="21"/>
          <w:szCs w:val="21"/>
          <w:highlight w:val="none"/>
        </w:rPr>
        <w:t>电子投标文件的编制要求见投标人须知前附表。</w:t>
      </w:r>
    </w:p>
    <w:p w14:paraId="10C06B09">
      <w:pPr>
        <w:pStyle w:val="16"/>
        <w:spacing w:before="2"/>
        <w:rPr>
          <w:sz w:val="21"/>
          <w:szCs w:val="21"/>
          <w:highlight w:val="none"/>
        </w:rPr>
      </w:pPr>
    </w:p>
    <w:p w14:paraId="01E1B67F">
      <w:pPr>
        <w:pStyle w:val="8"/>
        <w:ind w:left="956" w:right="1093"/>
        <w:jc w:val="center"/>
        <w:rPr>
          <w:sz w:val="21"/>
          <w:szCs w:val="21"/>
          <w:highlight w:val="none"/>
        </w:rPr>
      </w:pPr>
      <w:bookmarkStart w:id="93" w:name="四、投标"/>
      <w:bookmarkEnd w:id="93"/>
      <w:r>
        <w:rPr>
          <w:rFonts w:hint="eastAsia"/>
          <w:sz w:val="21"/>
          <w:szCs w:val="21"/>
          <w:highlight w:val="none"/>
        </w:rPr>
        <w:t>四、投标</w:t>
      </w:r>
    </w:p>
    <w:p w14:paraId="2DFEFC20">
      <w:pPr>
        <w:pStyle w:val="16"/>
        <w:rPr>
          <w:b/>
          <w:sz w:val="21"/>
          <w:szCs w:val="21"/>
          <w:highlight w:val="none"/>
        </w:rPr>
      </w:pPr>
    </w:p>
    <w:p w14:paraId="038041B9">
      <w:pPr>
        <w:pStyle w:val="16"/>
        <w:spacing w:before="11"/>
        <w:rPr>
          <w:b/>
          <w:sz w:val="21"/>
          <w:szCs w:val="21"/>
          <w:highlight w:val="none"/>
        </w:rPr>
      </w:pPr>
    </w:p>
    <w:p w14:paraId="17520829">
      <w:pPr>
        <w:pStyle w:val="70"/>
        <w:numPr>
          <w:ilvl w:val="1"/>
          <w:numId w:val="17"/>
        </w:numPr>
        <w:tabs>
          <w:tab w:val="left" w:pos="1634"/>
        </w:tabs>
        <w:ind w:hanging="481"/>
        <w:rPr>
          <w:sz w:val="21"/>
          <w:szCs w:val="21"/>
          <w:highlight w:val="none"/>
        </w:rPr>
      </w:pPr>
      <w:bookmarkStart w:id="94" w:name="4.1_电子投标文件的加密和数字证书认证"/>
      <w:bookmarkEnd w:id="94"/>
      <w:r>
        <w:rPr>
          <w:rFonts w:hint="eastAsia"/>
          <w:sz w:val="21"/>
          <w:szCs w:val="21"/>
          <w:highlight w:val="none"/>
        </w:rPr>
        <w:t>电子投标文件的加密和数字证书认证</w:t>
      </w:r>
    </w:p>
    <w:p w14:paraId="4FE1B9B1">
      <w:pPr>
        <w:pStyle w:val="70"/>
        <w:numPr>
          <w:ilvl w:val="2"/>
          <w:numId w:val="17"/>
        </w:numPr>
        <w:tabs>
          <w:tab w:val="left" w:pos="1814"/>
        </w:tabs>
        <w:spacing w:before="161" w:line="362" w:lineRule="auto"/>
        <w:ind w:right="1291" w:firstLine="480"/>
        <w:rPr>
          <w:sz w:val="21"/>
          <w:szCs w:val="21"/>
          <w:highlight w:val="none"/>
        </w:rPr>
      </w:pPr>
      <w:bookmarkStart w:id="95" w:name="4.1.1投标人应当按照招标文件和电子招标投标交易平台的要求加密投标文件，具体要"/>
      <w:bookmarkEnd w:id="95"/>
      <w:r>
        <w:rPr>
          <w:rFonts w:hint="eastAsia"/>
          <w:spacing w:val="-5"/>
          <w:sz w:val="21"/>
          <w:szCs w:val="21"/>
          <w:highlight w:val="none"/>
        </w:rPr>
        <w:t>投标人应当按照招标文件和电子招标投标交易平台的要求加密投标文件，具</w:t>
      </w:r>
      <w:r>
        <w:rPr>
          <w:rFonts w:hint="eastAsia"/>
          <w:sz w:val="21"/>
          <w:szCs w:val="21"/>
          <w:highlight w:val="none"/>
        </w:rPr>
        <w:t>体要求见投标人须知前附表。</w:t>
      </w:r>
    </w:p>
    <w:p w14:paraId="394266AE">
      <w:pPr>
        <w:pStyle w:val="70"/>
        <w:numPr>
          <w:ilvl w:val="2"/>
          <w:numId w:val="17"/>
        </w:numPr>
        <w:tabs>
          <w:tab w:val="left" w:pos="1819"/>
        </w:tabs>
        <w:spacing w:before="5" w:line="362" w:lineRule="auto"/>
        <w:ind w:right="1293" w:firstLine="480"/>
        <w:rPr>
          <w:sz w:val="21"/>
          <w:szCs w:val="21"/>
          <w:highlight w:val="none"/>
        </w:rPr>
      </w:pPr>
      <w:bookmarkStart w:id="96" w:name="4.1.2未按本章4.2.1条款要求加密和数字证书认证的投标文件，采购人不予受理"/>
      <w:bookmarkEnd w:id="96"/>
      <w:r>
        <w:rPr>
          <w:rFonts w:hint="eastAsia"/>
          <w:spacing w:val="-9"/>
          <w:sz w:val="21"/>
          <w:szCs w:val="21"/>
          <w:highlight w:val="none"/>
        </w:rPr>
        <w:t xml:space="preserve">未按本章 </w:t>
      </w:r>
      <w:r>
        <w:rPr>
          <w:rFonts w:hint="eastAsia"/>
          <w:sz w:val="21"/>
          <w:szCs w:val="21"/>
          <w:highlight w:val="none"/>
        </w:rPr>
        <w:t>4.2.1</w:t>
      </w:r>
      <w:r>
        <w:rPr>
          <w:rFonts w:hint="eastAsia"/>
          <w:spacing w:val="-4"/>
          <w:sz w:val="21"/>
          <w:szCs w:val="21"/>
          <w:highlight w:val="none"/>
        </w:rPr>
        <w:t xml:space="preserve"> 条款要求加密和数字证书认证的投标文件，</w:t>
      </w:r>
      <w:r>
        <w:rPr>
          <w:rFonts w:hint="eastAsia"/>
          <w:spacing w:val="-4"/>
          <w:sz w:val="21"/>
          <w:szCs w:val="21"/>
          <w:highlight w:val="none"/>
          <w:lang w:eastAsia="zh-CN"/>
        </w:rPr>
        <w:t>招标人</w:t>
      </w:r>
      <w:r>
        <w:rPr>
          <w:rFonts w:hint="eastAsia"/>
          <w:spacing w:val="-4"/>
          <w:sz w:val="21"/>
          <w:szCs w:val="21"/>
          <w:highlight w:val="none"/>
        </w:rPr>
        <w:t>不予受理。</w:t>
      </w:r>
    </w:p>
    <w:p w14:paraId="0325A1EF">
      <w:pPr>
        <w:pStyle w:val="70"/>
        <w:numPr>
          <w:ilvl w:val="1"/>
          <w:numId w:val="18"/>
        </w:numPr>
        <w:tabs>
          <w:tab w:val="left" w:pos="1635"/>
        </w:tabs>
        <w:spacing w:before="5"/>
        <w:ind w:hanging="482"/>
        <w:rPr>
          <w:sz w:val="21"/>
          <w:szCs w:val="21"/>
          <w:highlight w:val="none"/>
        </w:rPr>
      </w:pPr>
      <w:bookmarkStart w:id="97" w:name="4.2.电子投标文件的递交"/>
      <w:bookmarkEnd w:id="97"/>
      <w:r>
        <w:rPr>
          <w:rFonts w:hint="eastAsia"/>
          <w:sz w:val="21"/>
          <w:szCs w:val="21"/>
          <w:highlight w:val="none"/>
        </w:rPr>
        <w:t>电子投标文件的递交</w:t>
      </w:r>
    </w:p>
    <w:p w14:paraId="0BA4C43B">
      <w:pPr>
        <w:pStyle w:val="70"/>
        <w:numPr>
          <w:ilvl w:val="2"/>
          <w:numId w:val="19"/>
        </w:numPr>
        <w:tabs>
          <w:tab w:val="left" w:pos="1876"/>
        </w:tabs>
        <w:spacing w:before="159" w:line="364" w:lineRule="auto"/>
        <w:ind w:right="1171" w:firstLine="480"/>
        <w:rPr>
          <w:sz w:val="21"/>
          <w:szCs w:val="21"/>
          <w:highlight w:val="none"/>
        </w:rPr>
      </w:pPr>
      <w:bookmarkStart w:id="98" w:name="4.2.1电子投标文件可于提交投标文件截止时间前任意时段登录全国公共资源交易平台"/>
      <w:bookmarkEnd w:id="98"/>
      <w:r>
        <w:rPr>
          <w:rFonts w:hint="eastAsia"/>
          <w:sz w:val="21"/>
          <w:szCs w:val="21"/>
          <w:highlight w:val="none"/>
        </w:rPr>
        <w:t>电子投标文件可于提交投标文件截止时间前任意时段登录全国公共资源交易平台（陕西省·西安市）网站“电子交易平台&gt;企业端”进行提交，逾期系统将拒绝接收。提交时，投标人应登录全国公共资源交易中心平台（陕西省·西安市），选择“首页〉电子交易平台〉陕西政府采购交易系统〉企业端”，上传加密的电子投标文件（*.SXSTF）。上传成功后，电子化平台将予以记录。</w:t>
      </w:r>
    </w:p>
    <w:p w14:paraId="41422388">
      <w:pPr>
        <w:pStyle w:val="70"/>
        <w:numPr>
          <w:ilvl w:val="2"/>
          <w:numId w:val="19"/>
        </w:numPr>
        <w:tabs>
          <w:tab w:val="left" w:pos="1876"/>
        </w:tabs>
        <w:spacing w:before="159" w:line="364" w:lineRule="auto"/>
        <w:ind w:right="1171" w:firstLine="480"/>
        <w:rPr>
          <w:sz w:val="21"/>
          <w:szCs w:val="21"/>
          <w:highlight w:val="none"/>
        </w:rPr>
      </w:pPr>
      <w:bookmarkStart w:id="99" w:name="4.2.3电子投标文件未在投标截止前完成上传的视为逾期送达。"/>
      <w:bookmarkEnd w:id="99"/>
      <w:r>
        <w:rPr>
          <w:rFonts w:hint="eastAsia"/>
          <w:sz w:val="21"/>
          <w:szCs w:val="21"/>
          <w:highlight w:val="none"/>
        </w:rPr>
        <w:t>电子投标文件未在投标截止前完成上传的视为逾期送达。</w:t>
      </w:r>
    </w:p>
    <w:p w14:paraId="3701669D">
      <w:pPr>
        <w:pStyle w:val="70"/>
        <w:numPr>
          <w:ilvl w:val="2"/>
          <w:numId w:val="20"/>
        </w:numPr>
        <w:tabs>
          <w:tab w:val="left" w:pos="1874"/>
        </w:tabs>
        <w:spacing w:before="160"/>
        <w:ind w:left="1873" w:hanging="721"/>
        <w:rPr>
          <w:sz w:val="21"/>
          <w:szCs w:val="21"/>
          <w:highlight w:val="none"/>
        </w:rPr>
      </w:pPr>
      <w:bookmarkStart w:id="100" w:name="4.2.4_逾期送达的投标文件，采购人不予受理。"/>
      <w:bookmarkEnd w:id="100"/>
      <w:r>
        <w:rPr>
          <w:rFonts w:hint="eastAsia"/>
          <w:sz w:val="21"/>
          <w:szCs w:val="21"/>
          <w:highlight w:val="none"/>
        </w:rPr>
        <w:t>逾期送达的投标文件，</w:t>
      </w:r>
      <w:r>
        <w:rPr>
          <w:rFonts w:hint="eastAsia"/>
          <w:sz w:val="21"/>
          <w:szCs w:val="21"/>
          <w:highlight w:val="none"/>
          <w:lang w:eastAsia="zh-CN"/>
        </w:rPr>
        <w:t>招标人</w:t>
      </w:r>
      <w:r>
        <w:rPr>
          <w:rFonts w:hint="eastAsia"/>
          <w:sz w:val="21"/>
          <w:szCs w:val="21"/>
          <w:highlight w:val="none"/>
        </w:rPr>
        <w:t>不予受理。</w:t>
      </w:r>
    </w:p>
    <w:p w14:paraId="005387E3">
      <w:pPr>
        <w:pStyle w:val="70"/>
        <w:numPr>
          <w:ilvl w:val="1"/>
          <w:numId w:val="19"/>
        </w:numPr>
        <w:tabs>
          <w:tab w:val="left" w:pos="1574"/>
        </w:tabs>
        <w:spacing w:before="160"/>
        <w:ind w:hanging="421"/>
        <w:rPr>
          <w:sz w:val="21"/>
          <w:szCs w:val="21"/>
          <w:highlight w:val="none"/>
        </w:rPr>
      </w:pPr>
      <w:bookmarkStart w:id="101" w:name="4.3投标文件的修改与撤回"/>
      <w:bookmarkEnd w:id="101"/>
      <w:r>
        <w:rPr>
          <w:rFonts w:hint="eastAsia"/>
          <w:sz w:val="21"/>
          <w:szCs w:val="21"/>
          <w:highlight w:val="none"/>
        </w:rPr>
        <w:t>投标文件的修改与撤回</w:t>
      </w:r>
    </w:p>
    <w:p w14:paraId="63D1F103">
      <w:pPr>
        <w:pStyle w:val="70"/>
        <w:numPr>
          <w:ilvl w:val="2"/>
          <w:numId w:val="19"/>
        </w:numPr>
        <w:tabs>
          <w:tab w:val="left" w:pos="1876"/>
        </w:tabs>
        <w:spacing w:before="159" w:line="364" w:lineRule="auto"/>
        <w:ind w:right="1171" w:firstLine="480"/>
        <w:rPr>
          <w:sz w:val="21"/>
          <w:szCs w:val="21"/>
          <w:highlight w:val="none"/>
        </w:rPr>
      </w:pPr>
      <w:bookmarkStart w:id="102" w:name="4.3.1_供应商在递交投标文件后，在规定的截止时间之前，可以在全国公共资源交易"/>
      <w:bookmarkEnd w:id="102"/>
      <w:r>
        <w:rPr>
          <w:rFonts w:hint="eastAsia"/>
          <w:sz w:val="21"/>
          <w:szCs w:val="21"/>
          <w:highlight w:val="none"/>
          <w:lang w:eastAsia="zh-CN"/>
        </w:rPr>
        <w:t>投标人</w:t>
      </w:r>
      <w:r>
        <w:rPr>
          <w:rFonts w:hint="eastAsia"/>
          <w:sz w:val="21"/>
          <w:szCs w:val="21"/>
          <w:highlight w:val="none"/>
        </w:rPr>
        <w:t>在递交投标文件后，在规定的截止时间之前，可以在全国公共资源</w:t>
      </w:r>
      <w:r>
        <w:rPr>
          <w:rFonts w:hint="eastAsia"/>
          <w:spacing w:val="-3"/>
          <w:sz w:val="21"/>
          <w:szCs w:val="21"/>
          <w:highlight w:val="none"/>
        </w:rPr>
        <w:t>交易平台</w:t>
      </w:r>
      <w:r>
        <w:rPr>
          <w:rFonts w:hint="eastAsia"/>
          <w:sz w:val="21"/>
          <w:szCs w:val="21"/>
          <w:highlight w:val="none"/>
        </w:rPr>
        <w:t>（陕西省</w:t>
      </w:r>
      <w:r>
        <w:rPr>
          <w:rFonts w:hint="eastAsia"/>
          <w:spacing w:val="-12"/>
          <w:sz w:val="21"/>
          <w:szCs w:val="21"/>
          <w:highlight w:val="none"/>
        </w:rPr>
        <w:t>·</w:t>
      </w:r>
      <w:r>
        <w:rPr>
          <w:rFonts w:hint="eastAsia"/>
          <w:sz w:val="21"/>
          <w:szCs w:val="21"/>
          <w:highlight w:val="none"/>
        </w:rPr>
        <w:t>西安市</w:t>
      </w:r>
      <w:r>
        <w:rPr>
          <w:rFonts w:hint="eastAsia"/>
          <w:spacing w:val="-10"/>
          <w:sz w:val="21"/>
          <w:szCs w:val="21"/>
          <w:highlight w:val="none"/>
        </w:rPr>
        <w:t>）</w:t>
      </w:r>
      <w:r>
        <w:rPr>
          <w:rFonts w:hint="eastAsia"/>
          <w:spacing w:val="-2"/>
          <w:sz w:val="21"/>
          <w:szCs w:val="21"/>
          <w:highlight w:val="none"/>
        </w:rPr>
        <w:t>撤回已提交的投标文件，并重新上传修改后的投标文件。</w:t>
      </w:r>
    </w:p>
    <w:p w14:paraId="7ECF01F5">
      <w:pPr>
        <w:pStyle w:val="70"/>
        <w:numPr>
          <w:ilvl w:val="2"/>
          <w:numId w:val="19"/>
        </w:numPr>
        <w:tabs>
          <w:tab w:val="left" w:pos="1876"/>
        </w:tabs>
        <w:spacing w:line="362" w:lineRule="auto"/>
        <w:ind w:right="1293" w:firstLine="480"/>
        <w:rPr>
          <w:sz w:val="21"/>
          <w:szCs w:val="21"/>
          <w:highlight w:val="none"/>
        </w:rPr>
      </w:pPr>
      <w:bookmarkStart w:id="103" w:name="4.3.2_供应商对投标文件的补充修改，应按照招标文件的规定编制和提交。其递交时"/>
      <w:bookmarkEnd w:id="103"/>
      <w:r>
        <w:rPr>
          <w:rFonts w:hint="eastAsia"/>
          <w:sz w:val="21"/>
          <w:szCs w:val="21"/>
          <w:highlight w:val="none"/>
          <w:lang w:eastAsia="zh-CN"/>
        </w:rPr>
        <w:t>投标人</w:t>
      </w:r>
      <w:r>
        <w:rPr>
          <w:rFonts w:hint="eastAsia"/>
          <w:sz w:val="21"/>
          <w:szCs w:val="21"/>
          <w:highlight w:val="none"/>
        </w:rPr>
        <w:t>对投标文件的补充修改，应按照招标文件的规定编制和提交。其递交时间不得迟于投标截止时间。</w:t>
      </w:r>
    </w:p>
    <w:p w14:paraId="7B52B31C">
      <w:pPr>
        <w:pStyle w:val="70"/>
        <w:numPr>
          <w:ilvl w:val="2"/>
          <w:numId w:val="19"/>
        </w:numPr>
        <w:tabs>
          <w:tab w:val="left" w:pos="1814"/>
        </w:tabs>
        <w:spacing w:before="3"/>
        <w:ind w:left="1813" w:hanging="661"/>
        <w:rPr>
          <w:sz w:val="21"/>
          <w:szCs w:val="21"/>
          <w:highlight w:val="none"/>
        </w:rPr>
      </w:pPr>
      <w:bookmarkStart w:id="104" w:name="4.3.3在投标截止时间之后，投标人不得补充、修改投标文件。"/>
      <w:bookmarkEnd w:id="104"/>
      <w:r>
        <w:rPr>
          <w:rFonts w:hint="eastAsia"/>
          <w:sz w:val="21"/>
          <w:szCs w:val="21"/>
          <w:highlight w:val="none"/>
        </w:rPr>
        <w:t>在投标截止时间之后，投标人不得补充、修改投标文件。</w:t>
      </w:r>
    </w:p>
    <w:p w14:paraId="6DF1A2E3">
      <w:pPr>
        <w:pStyle w:val="70"/>
        <w:numPr>
          <w:ilvl w:val="2"/>
          <w:numId w:val="19"/>
        </w:numPr>
        <w:tabs>
          <w:tab w:val="left" w:pos="1814"/>
        </w:tabs>
        <w:spacing w:before="161"/>
        <w:ind w:left="1813" w:hanging="661"/>
        <w:rPr>
          <w:sz w:val="21"/>
          <w:szCs w:val="21"/>
          <w:highlight w:val="none"/>
        </w:rPr>
      </w:pPr>
      <w:bookmarkStart w:id="105" w:name="4.3.4在投标截止时间至投标有效期满之前，投标人不得撤回其投标文件。"/>
      <w:bookmarkEnd w:id="105"/>
      <w:r>
        <w:rPr>
          <w:rFonts w:hint="eastAsia"/>
          <w:sz w:val="21"/>
          <w:szCs w:val="21"/>
          <w:highlight w:val="none"/>
        </w:rPr>
        <w:t>在投标截止时间至投标有效期满之前，投标人不得撤回其投标文件。</w:t>
      </w:r>
    </w:p>
    <w:p w14:paraId="49CAEBAC">
      <w:pPr>
        <w:pStyle w:val="16"/>
        <w:rPr>
          <w:sz w:val="21"/>
          <w:szCs w:val="21"/>
          <w:highlight w:val="none"/>
        </w:rPr>
      </w:pPr>
    </w:p>
    <w:p w14:paraId="03525287">
      <w:pPr>
        <w:pStyle w:val="8"/>
        <w:spacing w:before="67"/>
        <w:ind w:left="956" w:right="1097"/>
        <w:jc w:val="center"/>
        <w:rPr>
          <w:sz w:val="21"/>
          <w:szCs w:val="21"/>
          <w:highlight w:val="none"/>
        </w:rPr>
      </w:pPr>
      <w:bookmarkStart w:id="106" w:name="五、_开标"/>
      <w:bookmarkEnd w:id="106"/>
      <w:r>
        <w:rPr>
          <w:rFonts w:hint="eastAsia"/>
          <w:sz w:val="21"/>
          <w:szCs w:val="21"/>
          <w:highlight w:val="none"/>
        </w:rPr>
        <w:t>五、 开标</w:t>
      </w:r>
    </w:p>
    <w:p w14:paraId="4323BB4E">
      <w:pPr>
        <w:pStyle w:val="70"/>
        <w:numPr>
          <w:ilvl w:val="1"/>
          <w:numId w:val="21"/>
        </w:numPr>
        <w:tabs>
          <w:tab w:val="left" w:pos="1634"/>
        </w:tabs>
        <w:spacing w:before="158"/>
        <w:ind w:hanging="481"/>
        <w:rPr>
          <w:sz w:val="21"/>
          <w:szCs w:val="21"/>
          <w:highlight w:val="none"/>
        </w:rPr>
      </w:pPr>
      <w:bookmarkStart w:id="107" w:name="5.1_开标时间和地点"/>
      <w:bookmarkEnd w:id="107"/>
      <w:r>
        <w:rPr>
          <w:rFonts w:hint="eastAsia"/>
          <w:sz w:val="21"/>
          <w:szCs w:val="21"/>
          <w:highlight w:val="none"/>
        </w:rPr>
        <w:t>开标时间和地点</w:t>
      </w:r>
    </w:p>
    <w:p w14:paraId="28B32275">
      <w:pPr>
        <w:pStyle w:val="16"/>
        <w:spacing w:before="160" w:line="364" w:lineRule="auto"/>
        <w:ind w:left="673" w:right="1114" w:firstLine="480"/>
        <w:rPr>
          <w:sz w:val="21"/>
          <w:szCs w:val="21"/>
          <w:highlight w:val="none"/>
        </w:rPr>
      </w:pPr>
      <w:bookmarkStart w:id="108" w:name="采购人在规定的投标截止时间（开标时间）和投标人须知前附表规定的地点开标，并邀请所"/>
      <w:bookmarkEnd w:id="108"/>
      <w:r>
        <w:rPr>
          <w:rFonts w:hint="eastAsia"/>
          <w:sz w:val="21"/>
          <w:szCs w:val="21"/>
          <w:highlight w:val="none"/>
          <w:lang w:eastAsia="zh-CN"/>
        </w:rPr>
        <w:t>招标人</w:t>
      </w:r>
      <w:r>
        <w:rPr>
          <w:rFonts w:hint="eastAsia"/>
          <w:sz w:val="21"/>
          <w:szCs w:val="21"/>
          <w:highlight w:val="none"/>
        </w:rPr>
        <w:t>在规定的投标截止时间（开标时间）和投标人须知前附表规定的地点开标， 并邀请所有投标人的法定代表人或其委托代理人准时参加。</w:t>
      </w:r>
    </w:p>
    <w:p w14:paraId="4EB3C8ED">
      <w:pPr>
        <w:pStyle w:val="70"/>
        <w:numPr>
          <w:ilvl w:val="1"/>
          <w:numId w:val="21"/>
        </w:numPr>
        <w:tabs>
          <w:tab w:val="left" w:pos="1634"/>
        </w:tabs>
        <w:spacing w:line="306" w:lineRule="exact"/>
        <w:ind w:hanging="481"/>
        <w:jc w:val="both"/>
        <w:rPr>
          <w:sz w:val="21"/>
          <w:szCs w:val="21"/>
          <w:highlight w:val="none"/>
        </w:rPr>
      </w:pPr>
      <w:bookmarkStart w:id="109" w:name="5.2_开标程序"/>
      <w:bookmarkEnd w:id="109"/>
      <w:r>
        <w:rPr>
          <w:rFonts w:hint="eastAsia"/>
          <w:sz w:val="21"/>
          <w:szCs w:val="21"/>
          <w:highlight w:val="none"/>
        </w:rPr>
        <w:t>开标程序</w:t>
      </w:r>
    </w:p>
    <w:p w14:paraId="5AF4D0D5">
      <w:pPr>
        <w:pStyle w:val="70"/>
        <w:numPr>
          <w:ilvl w:val="2"/>
          <w:numId w:val="21"/>
        </w:numPr>
        <w:tabs>
          <w:tab w:val="left" w:pos="1814"/>
        </w:tabs>
        <w:spacing w:before="158" w:line="364" w:lineRule="auto"/>
        <w:ind w:right="1291" w:firstLine="480"/>
        <w:jc w:val="both"/>
        <w:rPr>
          <w:sz w:val="21"/>
          <w:szCs w:val="21"/>
          <w:highlight w:val="none"/>
        </w:rPr>
      </w:pPr>
      <w:bookmarkStart w:id="110" w:name="5.2.1本项目采用“不见面”开标形式，开标当日,投标人不必抵达开标现场，可通过"/>
      <w:bookmarkEnd w:id="110"/>
      <w:r>
        <w:rPr>
          <w:rFonts w:hint="eastAsia"/>
          <w:spacing w:val="-1"/>
          <w:sz w:val="21"/>
          <w:szCs w:val="21"/>
          <w:highlight w:val="none"/>
        </w:rPr>
        <w:t>本项目采用“不见面”开标形式，开标当日,投标人不必抵达开标现场，可</w:t>
      </w:r>
      <w:r>
        <w:rPr>
          <w:rFonts w:hint="eastAsia"/>
          <w:sz w:val="21"/>
          <w:szCs w:val="21"/>
          <w:highlight w:val="none"/>
        </w:rPr>
        <w:t>通过西安市公共资源交易不见面开标系统参加开标会议，并根据需要使用不见面开标系统与现场</w:t>
      </w:r>
      <w:r>
        <w:rPr>
          <w:rFonts w:hint="eastAsia"/>
          <w:sz w:val="21"/>
          <w:szCs w:val="21"/>
          <w:highlight w:val="none"/>
          <w:lang w:eastAsia="zh-CN"/>
        </w:rPr>
        <w:t>招标人</w:t>
      </w:r>
      <w:r>
        <w:rPr>
          <w:rFonts w:hint="eastAsia"/>
          <w:sz w:val="21"/>
          <w:szCs w:val="21"/>
          <w:highlight w:val="none"/>
        </w:rPr>
        <w:t>进行互动交流、澄清、质疑等活动。</w:t>
      </w:r>
    </w:p>
    <w:p w14:paraId="50D1649C">
      <w:pPr>
        <w:pStyle w:val="70"/>
        <w:numPr>
          <w:ilvl w:val="2"/>
          <w:numId w:val="21"/>
        </w:numPr>
        <w:tabs>
          <w:tab w:val="left" w:pos="1814"/>
        </w:tabs>
        <w:spacing w:line="364" w:lineRule="auto"/>
        <w:ind w:right="1190" w:firstLine="480"/>
        <w:rPr>
          <w:sz w:val="21"/>
          <w:szCs w:val="21"/>
          <w:highlight w:val="none"/>
        </w:rPr>
      </w:pPr>
      <w:bookmarkStart w:id="111" w:name="5.2.2开标、评标过程中，参与远程互动的各投标人应为同一个人，在否决投标、澄清"/>
      <w:bookmarkEnd w:id="111"/>
      <w:r>
        <w:rPr>
          <w:rFonts w:hint="eastAsia"/>
          <w:spacing w:val="-1"/>
          <w:sz w:val="21"/>
          <w:szCs w:val="21"/>
          <w:highlight w:val="none"/>
        </w:rPr>
        <w:t>开标、评标过程中，参与远程互动的各投标人应为同一个人，在否决投标、</w:t>
      </w:r>
      <w:r>
        <w:rPr>
          <w:rFonts w:hint="eastAsia"/>
          <w:sz w:val="21"/>
          <w:szCs w:val="21"/>
          <w:highlight w:val="none"/>
        </w:rPr>
        <w:t>澄清、质疑等特殊情况下需要互动时，投标人一端参与互动的人员只能是投标人的法定代表人或授权委托人（答辩等类似环节需要其他人员参与的除外),投标人不得以不承认互动人员的资格或身份等为借口推脱，投标人自行承担随意更换人员所导致的一切后果。</w:t>
      </w:r>
    </w:p>
    <w:p w14:paraId="326A44DD">
      <w:pPr>
        <w:pStyle w:val="70"/>
        <w:numPr>
          <w:ilvl w:val="1"/>
          <w:numId w:val="21"/>
        </w:numPr>
        <w:tabs>
          <w:tab w:val="left" w:pos="1574"/>
        </w:tabs>
        <w:spacing w:line="306" w:lineRule="exact"/>
        <w:ind w:left="1573" w:hanging="421"/>
        <w:rPr>
          <w:sz w:val="21"/>
          <w:szCs w:val="21"/>
          <w:highlight w:val="none"/>
        </w:rPr>
      </w:pPr>
      <w:bookmarkStart w:id="112" w:name="5.3投标文件的有效性"/>
      <w:bookmarkEnd w:id="112"/>
      <w:r>
        <w:rPr>
          <w:rFonts w:hint="eastAsia"/>
          <w:sz w:val="21"/>
          <w:szCs w:val="21"/>
          <w:highlight w:val="none"/>
        </w:rPr>
        <w:t>投标文件的有效性</w:t>
      </w:r>
    </w:p>
    <w:p w14:paraId="3CD6A465">
      <w:pPr>
        <w:pStyle w:val="70"/>
        <w:numPr>
          <w:ilvl w:val="2"/>
          <w:numId w:val="21"/>
        </w:numPr>
        <w:tabs>
          <w:tab w:val="left" w:pos="1814"/>
        </w:tabs>
        <w:spacing w:before="158" w:line="364" w:lineRule="auto"/>
        <w:ind w:right="1291" w:firstLine="480"/>
        <w:rPr>
          <w:sz w:val="21"/>
          <w:szCs w:val="21"/>
          <w:highlight w:val="none"/>
        </w:rPr>
      </w:pPr>
      <w:bookmarkStart w:id="113" w:name="5.3.1开标时，投标文件出现下列情形之一的，应当作为无效投标文件，由评标委员会"/>
      <w:bookmarkEnd w:id="113"/>
      <w:r>
        <w:rPr>
          <w:rFonts w:hint="eastAsia"/>
          <w:spacing w:val="-10"/>
          <w:sz w:val="21"/>
          <w:szCs w:val="21"/>
          <w:highlight w:val="none"/>
        </w:rPr>
        <w:t>开标时，投标文件出现下列情形之一的，应当作为无效投标文件，由评标委</w:t>
      </w:r>
      <w:r>
        <w:rPr>
          <w:rFonts w:hint="eastAsia"/>
          <w:sz w:val="21"/>
          <w:szCs w:val="21"/>
          <w:highlight w:val="none"/>
        </w:rPr>
        <w:t>员会确认后其投标将被否决：</w:t>
      </w:r>
    </w:p>
    <w:p w14:paraId="268E375A">
      <w:pPr>
        <w:pStyle w:val="70"/>
        <w:numPr>
          <w:ilvl w:val="0"/>
          <w:numId w:val="22"/>
        </w:numPr>
        <w:tabs>
          <w:tab w:val="left" w:pos="1755"/>
        </w:tabs>
        <w:spacing w:line="306" w:lineRule="exact"/>
        <w:ind w:hanging="602"/>
        <w:rPr>
          <w:sz w:val="21"/>
          <w:szCs w:val="21"/>
          <w:highlight w:val="none"/>
        </w:rPr>
      </w:pPr>
      <w:bookmarkStart w:id="114" w:name="（1）投标文件未按招标文件规定格式填写，内容不全或关键词字迹模糊、无法辨认的；"/>
      <w:bookmarkEnd w:id="114"/>
      <w:r>
        <w:rPr>
          <w:rFonts w:hint="eastAsia"/>
          <w:spacing w:val="-2"/>
          <w:sz w:val="21"/>
          <w:szCs w:val="21"/>
          <w:highlight w:val="none"/>
        </w:rPr>
        <w:t>投标文件未按招标文件规定格式填写，内容不全或关键词字迹模糊、无法辨</w:t>
      </w:r>
      <w:r>
        <w:rPr>
          <w:rFonts w:hint="eastAsia"/>
          <w:sz w:val="21"/>
          <w:szCs w:val="21"/>
          <w:highlight w:val="none"/>
        </w:rPr>
        <w:t>认的；</w:t>
      </w:r>
    </w:p>
    <w:p w14:paraId="6B2714B8">
      <w:pPr>
        <w:pStyle w:val="70"/>
        <w:numPr>
          <w:ilvl w:val="0"/>
          <w:numId w:val="22"/>
        </w:numPr>
        <w:tabs>
          <w:tab w:val="left" w:pos="1755"/>
        </w:tabs>
        <w:spacing w:before="160"/>
        <w:ind w:hanging="602"/>
        <w:rPr>
          <w:sz w:val="21"/>
          <w:szCs w:val="21"/>
          <w:highlight w:val="none"/>
        </w:rPr>
      </w:pPr>
      <w:bookmarkStart w:id="115" w:name="（2）投标总报价超过最高投标限价的；"/>
      <w:bookmarkEnd w:id="115"/>
      <w:r>
        <w:rPr>
          <w:rFonts w:hint="eastAsia"/>
          <w:sz w:val="21"/>
          <w:szCs w:val="21"/>
          <w:highlight w:val="none"/>
        </w:rPr>
        <w:t>投标总报价超过最高投标限价的；</w:t>
      </w:r>
    </w:p>
    <w:p w14:paraId="60406AF9">
      <w:pPr>
        <w:pStyle w:val="70"/>
        <w:numPr>
          <w:ilvl w:val="0"/>
          <w:numId w:val="22"/>
        </w:numPr>
        <w:tabs>
          <w:tab w:val="left" w:pos="1755"/>
        </w:tabs>
        <w:spacing w:before="158"/>
        <w:ind w:hanging="602"/>
        <w:rPr>
          <w:sz w:val="21"/>
          <w:szCs w:val="21"/>
          <w:highlight w:val="none"/>
        </w:rPr>
      </w:pPr>
      <w:bookmarkStart w:id="116" w:name="（3）投标报价低于成本价或投标报价有重大缺、漏项的；"/>
      <w:bookmarkEnd w:id="116"/>
      <w:r>
        <w:rPr>
          <w:rFonts w:hint="eastAsia"/>
          <w:sz w:val="21"/>
          <w:szCs w:val="21"/>
          <w:highlight w:val="none"/>
        </w:rPr>
        <w:t>投标报价低于成本价或投标报价有重大缺、漏项的；</w:t>
      </w:r>
    </w:p>
    <w:p w14:paraId="011A955C">
      <w:pPr>
        <w:pStyle w:val="70"/>
        <w:numPr>
          <w:ilvl w:val="0"/>
          <w:numId w:val="22"/>
        </w:numPr>
        <w:tabs>
          <w:tab w:val="left" w:pos="1755"/>
        </w:tabs>
        <w:spacing w:before="161"/>
        <w:ind w:hanging="602"/>
        <w:rPr>
          <w:sz w:val="21"/>
          <w:szCs w:val="21"/>
          <w:highlight w:val="none"/>
        </w:rPr>
      </w:pPr>
      <w:bookmarkStart w:id="117" w:name="（4）投标人擅自改动采购人提供的工程量清单内容的；"/>
      <w:bookmarkEnd w:id="117"/>
      <w:r>
        <w:rPr>
          <w:rFonts w:hint="eastAsia"/>
          <w:sz w:val="21"/>
          <w:szCs w:val="21"/>
          <w:highlight w:val="none"/>
        </w:rPr>
        <w:t>投标人擅自改动</w:t>
      </w:r>
      <w:r>
        <w:rPr>
          <w:rFonts w:hint="eastAsia"/>
          <w:sz w:val="21"/>
          <w:szCs w:val="21"/>
          <w:highlight w:val="none"/>
          <w:lang w:eastAsia="zh-CN"/>
        </w:rPr>
        <w:t>招标人</w:t>
      </w:r>
      <w:r>
        <w:rPr>
          <w:rFonts w:hint="eastAsia"/>
          <w:sz w:val="21"/>
          <w:szCs w:val="21"/>
          <w:highlight w:val="none"/>
        </w:rPr>
        <w:t>提供的工程量清单内容的；</w:t>
      </w:r>
    </w:p>
    <w:p w14:paraId="25AEA0DB">
      <w:pPr>
        <w:pStyle w:val="70"/>
        <w:numPr>
          <w:ilvl w:val="0"/>
          <w:numId w:val="22"/>
        </w:numPr>
        <w:tabs>
          <w:tab w:val="left" w:pos="1755"/>
        </w:tabs>
        <w:spacing w:before="158"/>
        <w:ind w:hanging="602"/>
        <w:rPr>
          <w:sz w:val="21"/>
          <w:szCs w:val="21"/>
          <w:highlight w:val="none"/>
        </w:rPr>
      </w:pPr>
      <w:bookmarkStart w:id="118" w:name="（5）投标工期超过招标文件规定期限的；"/>
      <w:bookmarkEnd w:id="118"/>
      <w:r>
        <w:rPr>
          <w:rFonts w:hint="eastAsia"/>
          <w:sz w:val="21"/>
          <w:szCs w:val="21"/>
          <w:highlight w:val="none"/>
        </w:rPr>
        <w:t>投标工期超过招标文件规定期限的；</w:t>
      </w:r>
    </w:p>
    <w:p w14:paraId="53ADAC85">
      <w:pPr>
        <w:pStyle w:val="70"/>
        <w:numPr>
          <w:ilvl w:val="0"/>
          <w:numId w:val="22"/>
        </w:numPr>
        <w:tabs>
          <w:tab w:val="left" w:pos="1755"/>
        </w:tabs>
        <w:spacing w:before="160"/>
        <w:ind w:hanging="602"/>
        <w:rPr>
          <w:sz w:val="21"/>
          <w:szCs w:val="21"/>
          <w:highlight w:val="none"/>
        </w:rPr>
      </w:pPr>
      <w:bookmarkStart w:id="119" w:name="（6）投标有效期少于招标文件规定期限的；"/>
      <w:bookmarkEnd w:id="119"/>
      <w:r>
        <w:rPr>
          <w:rFonts w:hint="eastAsia"/>
          <w:sz w:val="21"/>
          <w:szCs w:val="21"/>
          <w:highlight w:val="none"/>
        </w:rPr>
        <w:t>投标有效期少于招标文件规定期限的；</w:t>
      </w:r>
    </w:p>
    <w:p w14:paraId="1427B393">
      <w:pPr>
        <w:pStyle w:val="70"/>
        <w:numPr>
          <w:ilvl w:val="0"/>
          <w:numId w:val="22"/>
        </w:numPr>
        <w:tabs>
          <w:tab w:val="left" w:pos="1755"/>
        </w:tabs>
        <w:spacing w:before="161"/>
        <w:ind w:hanging="602"/>
        <w:rPr>
          <w:sz w:val="21"/>
          <w:szCs w:val="21"/>
          <w:highlight w:val="none"/>
        </w:rPr>
      </w:pPr>
      <w:bookmarkStart w:id="120" w:name="（7）电子投标文件，因自身原因导致无法读取或解密的；"/>
      <w:bookmarkEnd w:id="120"/>
      <w:r>
        <w:rPr>
          <w:rFonts w:hint="eastAsia"/>
          <w:sz w:val="21"/>
          <w:szCs w:val="21"/>
          <w:highlight w:val="none"/>
        </w:rPr>
        <w:t>电子投标文件，因自身原因导致无法读取或解密的；</w:t>
      </w:r>
    </w:p>
    <w:p w14:paraId="458FD8D9">
      <w:pPr>
        <w:pStyle w:val="70"/>
        <w:numPr>
          <w:ilvl w:val="0"/>
          <w:numId w:val="22"/>
        </w:numPr>
        <w:tabs>
          <w:tab w:val="left" w:pos="1755"/>
        </w:tabs>
        <w:spacing w:before="158"/>
        <w:ind w:hanging="602"/>
        <w:rPr>
          <w:sz w:val="21"/>
          <w:szCs w:val="21"/>
          <w:highlight w:val="none"/>
        </w:rPr>
      </w:pPr>
      <w:bookmarkStart w:id="121" w:name="（8）两份(含两份)以上投标文件内容雷同的；"/>
      <w:bookmarkEnd w:id="121"/>
      <w:r>
        <w:rPr>
          <w:rFonts w:hint="eastAsia"/>
          <w:sz w:val="21"/>
          <w:szCs w:val="21"/>
          <w:highlight w:val="none"/>
        </w:rPr>
        <w:t>两份(含两份)以上投标文件内容雷同的；</w:t>
      </w:r>
    </w:p>
    <w:p w14:paraId="584885D8">
      <w:pPr>
        <w:pStyle w:val="70"/>
        <w:numPr>
          <w:ilvl w:val="0"/>
          <w:numId w:val="22"/>
        </w:numPr>
        <w:tabs>
          <w:tab w:val="left" w:pos="1755"/>
        </w:tabs>
        <w:spacing w:before="160"/>
        <w:ind w:hanging="602"/>
        <w:rPr>
          <w:sz w:val="21"/>
          <w:szCs w:val="21"/>
          <w:highlight w:val="none"/>
        </w:rPr>
      </w:pPr>
      <w:bookmarkStart w:id="122" w:name="（9）不按评标委员会要求澄清、说明或补正的；"/>
      <w:bookmarkEnd w:id="122"/>
      <w:r>
        <w:rPr>
          <w:rFonts w:hint="eastAsia"/>
          <w:sz w:val="21"/>
          <w:szCs w:val="21"/>
          <w:highlight w:val="none"/>
        </w:rPr>
        <w:t>不按评标委员会要求澄清、说明或补正的；</w:t>
      </w:r>
    </w:p>
    <w:p w14:paraId="28B34285">
      <w:pPr>
        <w:pStyle w:val="70"/>
        <w:numPr>
          <w:ilvl w:val="0"/>
          <w:numId w:val="22"/>
        </w:numPr>
        <w:tabs>
          <w:tab w:val="left" w:pos="1875"/>
        </w:tabs>
        <w:spacing w:before="158"/>
        <w:ind w:left="1874" w:hanging="722"/>
        <w:rPr>
          <w:sz w:val="21"/>
          <w:szCs w:val="21"/>
          <w:highlight w:val="none"/>
        </w:rPr>
      </w:pPr>
      <w:bookmarkStart w:id="123" w:name="（10）未对招标文件的实质性条款做出完全响应的；"/>
      <w:bookmarkEnd w:id="123"/>
      <w:r>
        <w:rPr>
          <w:rFonts w:hint="eastAsia"/>
          <w:sz w:val="21"/>
          <w:szCs w:val="21"/>
          <w:highlight w:val="none"/>
        </w:rPr>
        <w:t>未对招标文件的实质性条款做出完全响应的；</w:t>
      </w:r>
    </w:p>
    <w:p w14:paraId="5012EB70">
      <w:pPr>
        <w:pStyle w:val="70"/>
        <w:numPr>
          <w:ilvl w:val="0"/>
          <w:numId w:val="22"/>
        </w:numPr>
        <w:tabs>
          <w:tab w:val="left" w:pos="1875"/>
        </w:tabs>
        <w:spacing w:before="159"/>
        <w:ind w:left="1874" w:hanging="722"/>
        <w:rPr>
          <w:sz w:val="21"/>
          <w:szCs w:val="21"/>
          <w:highlight w:val="none"/>
        </w:rPr>
      </w:pPr>
      <w:bookmarkStart w:id="124" w:name="（11）不可竞争的规费、税费、安全文明措施费未按规定费率计取的；"/>
      <w:bookmarkEnd w:id="124"/>
      <w:r>
        <w:rPr>
          <w:rFonts w:hint="eastAsia"/>
          <w:sz w:val="21"/>
          <w:szCs w:val="21"/>
          <w:highlight w:val="none"/>
        </w:rPr>
        <w:t>不可竞争的规费、税费、安全文明措施费未按规定费率计取的；</w:t>
      </w:r>
    </w:p>
    <w:p w14:paraId="3FC839A9">
      <w:pPr>
        <w:pStyle w:val="70"/>
        <w:numPr>
          <w:ilvl w:val="0"/>
          <w:numId w:val="22"/>
        </w:numPr>
        <w:tabs>
          <w:tab w:val="left" w:pos="1875"/>
        </w:tabs>
        <w:spacing w:before="160"/>
        <w:ind w:left="1874" w:hanging="722"/>
        <w:rPr>
          <w:sz w:val="21"/>
          <w:szCs w:val="21"/>
          <w:highlight w:val="none"/>
        </w:rPr>
      </w:pPr>
      <w:bookmarkStart w:id="125" w:name="（12）经评标委员会确认的未能实质性响应招标文件要求的；"/>
      <w:bookmarkEnd w:id="125"/>
      <w:r>
        <w:rPr>
          <w:rFonts w:hint="eastAsia"/>
          <w:sz w:val="21"/>
          <w:szCs w:val="21"/>
          <w:highlight w:val="none"/>
        </w:rPr>
        <w:t>经评标委员会确认的未能实质性响应招标文件要求的；</w:t>
      </w:r>
    </w:p>
    <w:p w14:paraId="0843FFC5">
      <w:pPr>
        <w:pStyle w:val="70"/>
        <w:numPr>
          <w:ilvl w:val="0"/>
          <w:numId w:val="22"/>
        </w:numPr>
        <w:tabs>
          <w:tab w:val="left" w:pos="1875"/>
        </w:tabs>
        <w:spacing w:before="161"/>
        <w:ind w:left="1874" w:hanging="722"/>
        <w:rPr>
          <w:sz w:val="21"/>
          <w:szCs w:val="21"/>
          <w:highlight w:val="none"/>
        </w:rPr>
      </w:pPr>
      <w:bookmarkStart w:id="126" w:name="（13）串通投标或弄虚作假或其他违法行为的；"/>
      <w:bookmarkEnd w:id="126"/>
      <w:r>
        <w:rPr>
          <w:rFonts w:hint="eastAsia"/>
          <w:sz w:val="21"/>
          <w:szCs w:val="21"/>
          <w:highlight w:val="none"/>
        </w:rPr>
        <w:t>串通投标或弄虚作假或其他违法行为的；</w:t>
      </w:r>
    </w:p>
    <w:p w14:paraId="3E0D3646">
      <w:pPr>
        <w:pStyle w:val="70"/>
        <w:numPr>
          <w:ilvl w:val="0"/>
          <w:numId w:val="22"/>
        </w:numPr>
        <w:tabs>
          <w:tab w:val="left" w:pos="1875"/>
        </w:tabs>
        <w:spacing w:before="158"/>
        <w:ind w:left="1874" w:hanging="722"/>
        <w:rPr>
          <w:sz w:val="21"/>
          <w:szCs w:val="21"/>
          <w:highlight w:val="none"/>
        </w:rPr>
      </w:pPr>
      <w:bookmarkStart w:id="127" w:name="（14）法律、法规及行业有规定、以及评标办法规定的其他情形；"/>
      <w:bookmarkEnd w:id="127"/>
      <w:r>
        <w:rPr>
          <w:rFonts w:hint="eastAsia"/>
          <w:sz w:val="21"/>
          <w:szCs w:val="21"/>
          <w:highlight w:val="none"/>
        </w:rPr>
        <w:t>法律、法规及行业有规定、以及评标办法规定的其他情形；</w:t>
      </w:r>
    </w:p>
    <w:p w14:paraId="1F200094">
      <w:pPr>
        <w:pStyle w:val="16"/>
        <w:rPr>
          <w:sz w:val="21"/>
          <w:szCs w:val="21"/>
          <w:highlight w:val="none"/>
        </w:rPr>
      </w:pPr>
    </w:p>
    <w:p w14:paraId="448E1C8C">
      <w:pPr>
        <w:pStyle w:val="8"/>
        <w:spacing w:before="66"/>
        <w:ind w:left="956" w:right="1097"/>
        <w:jc w:val="center"/>
        <w:rPr>
          <w:sz w:val="21"/>
          <w:szCs w:val="21"/>
          <w:highlight w:val="none"/>
        </w:rPr>
      </w:pPr>
      <w:bookmarkStart w:id="128" w:name="六、_评标"/>
      <w:bookmarkEnd w:id="128"/>
      <w:r>
        <w:rPr>
          <w:rFonts w:hint="eastAsia"/>
          <w:sz w:val="21"/>
          <w:szCs w:val="21"/>
          <w:highlight w:val="none"/>
        </w:rPr>
        <w:t>六、 评标</w:t>
      </w:r>
    </w:p>
    <w:p w14:paraId="307249D3">
      <w:pPr>
        <w:pStyle w:val="70"/>
        <w:numPr>
          <w:ilvl w:val="1"/>
          <w:numId w:val="23"/>
        </w:numPr>
        <w:tabs>
          <w:tab w:val="left" w:pos="1634"/>
        </w:tabs>
        <w:spacing w:before="161"/>
        <w:ind w:hanging="481"/>
        <w:rPr>
          <w:sz w:val="21"/>
          <w:szCs w:val="21"/>
          <w:highlight w:val="none"/>
        </w:rPr>
      </w:pPr>
      <w:bookmarkStart w:id="129" w:name="6.1_评标委员会"/>
      <w:bookmarkEnd w:id="129"/>
      <w:r>
        <w:rPr>
          <w:rFonts w:hint="eastAsia"/>
          <w:sz w:val="21"/>
          <w:szCs w:val="21"/>
          <w:highlight w:val="none"/>
        </w:rPr>
        <w:t>评标委员会</w:t>
      </w:r>
    </w:p>
    <w:p w14:paraId="43E840D0">
      <w:pPr>
        <w:pStyle w:val="70"/>
        <w:numPr>
          <w:ilvl w:val="2"/>
          <w:numId w:val="23"/>
        </w:numPr>
        <w:tabs>
          <w:tab w:val="left" w:pos="1876"/>
        </w:tabs>
        <w:spacing w:before="160" w:line="362" w:lineRule="auto"/>
        <w:ind w:right="1293" w:firstLine="480"/>
        <w:jc w:val="both"/>
        <w:rPr>
          <w:sz w:val="21"/>
          <w:szCs w:val="21"/>
          <w:highlight w:val="none"/>
        </w:rPr>
      </w:pPr>
      <w:bookmarkStart w:id="130" w:name="6.1.1_评标由采购人依法组建的评标委员会负责。评标委员会由采购人及有关技术、"/>
      <w:bookmarkEnd w:id="130"/>
      <w:r>
        <w:rPr>
          <w:rFonts w:hint="eastAsia"/>
          <w:sz w:val="21"/>
          <w:szCs w:val="21"/>
          <w:highlight w:val="none"/>
        </w:rPr>
        <w:t>评标由</w:t>
      </w:r>
      <w:r>
        <w:rPr>
          <w:rFonts w:hint="eastAsia"/>
          <w:sz w:val="21"/>
          <w:szCs w:val="21"/>
          <w:highlight w:val="none"/>
          <w:lang w:eastAsia="zh-CN"/>
        </w:rPr>
        <w:t>招标人</w:t>
      </w:r>
      <w:r>
        <w:rPr>
          <w:rFonts w:hint="eastAsia"/>
          <w:sz w:val="21"/>
          <w:szCs w:val="21"/>
          <w:highlight w:val="none"/>
        </w:rPr>
        <w:t>依法组建的评标委员会负责。评标委员会由</w:t>
      </w:r>
      <w:r>
        <w:rPr>
          <w:rFonts w:hint="eastAsia"/>
          <w:sz w:val="21"/>
          <w:szCs w:val="21"/>
          <w:highlight w:val="none"/>
          <w:lang w:eastAsia="zh-CN"/>
        </w:rPr>
        <w:t>招标人</w:t>
      </w:r>
      <w:r>
        <w:rPr>
          <w:rFonts w:hint="eastAsia"/>
          <w:sz w:val="21"/>
          <w:szCs w:val="21"/>
          <w:highlight w:val="none"/>
        </w:rPr>
        <w:t>及有关技术、经济等方面的专家组成。</w:t>
      </w:r>
      <w:r>
        <w:rPr>
          <w:rFonts w:hint="eastAsia"/>
          <w:sz w:val="21"/>
          <w:szCs w:val="21"/>
          <w:highlight w:val="none"/>
          <w:lang w:eastAsia="zh-CN"/>
        </w:rPr>
        <w:t>招标人</w:t>
      </w:r>
      <w:r>
        <w:rPr>
          <w:rFonts w:hint="eastAsia"/>
          <w:sz w:val="21"/>
          <w:szCs w:val="21"/>
          <w:highlight w:val="none"/>
        </w:rPr>
        <w:t>代表须持有授权书，其中评审专家不得少于成员总数的三分之二。专家人选在省级财政部门设立的政府采购评审专家库中随机抽取。</w:t>
      </w:r>
    </w:p>
    <w:p w14:paraId="3044FA59">
      <w:pPr>
        <w:pStyle w:val="70"/>
        <w:numPr>
          <w:ilvl w:val="2"/>
          <w:numId w:val="23"/>
        </w:numPr>
        <w:tabs>
          <w:tab w:val="left" w:pos="1874"/>
        </w:tabs>
        <w:spacing w:before="7"/>
        <w:ind w:left="1873" w:hanging="721"/>
        <w:jc w:val="both"/>
        <w:rPr>
          <w:sz w:val="21"/>
          <w:szCs w:val="21"/>
          <w:highlight w:val="none"/>
        </w:rPr>
      </w:pPr>
      <w:bookmarkStart w:id="131" w:name="6.1.2_评标委员会成员有下列情形之一的，应当回避："/>
      <w:bookmarkEnd w:id="131"/>
      <w:r>
        <w:rPr>
          <w:rFonts w:hint="eastAsia"/>
          <w:sz w:val="21"/>
          <w:szCs w:val="21"/>
          <w:highlight w:val="none"/>
        </w:rPr>
        <w:t>评标委员会成员有下列情形之一的，应当回避：</w:t>
      </w:r>
    </w:p>
    <w:p w14:paraId="6AE5EEB2">
      <w:pPr>
        <w:pStyle w:val="70"/>
        <w:numPr>
          <w:ilvl w:val="0"/>
          <w:numId w:val="24"/>
        </w:numPr>
        <w:tabs>
          <w:tab w:val="left" w:pos="1755"/>
        </w:tabs>
        <w:spacing w:before="160"/>
        <w:ind w:hanging="602"/>
        <w:rPr>
          <w:sz w:val="21"/>
          <w:szCs w:val="21"/>
          <w:highlight w:val="none"/>
        </w:rPr>
      </w:pPr>
      <w:bookmarkStart w:id="132" w:name="（1）采购人或投标人的主要负责人的近亲属；"/>
      <w:bookmarkEnd w:id="132"/>
      <w:r>
        <w:rPr>
          <w:rFonts w:hint="eastAsia"/>
          <w:sz w:val="21"/>
          <w:szCs w:val="21"/>
          <w:highlight w:val="none"/>
          <w:lang w:eastAsia="zh-CN"/>
        </w:rPr>
        <w:t>招标人</w:t>
      </w:r>
      <w:r>
        <w:rPr>
          <w:rFonts w:hint="eastAsia"/>
          <w:sz w:val="21"/>
          <w:szCs w:val="21"/>
          <w:highlight w:val="none"/>
        </w:rPr>
        <w:t>或投标人的主要负责人的近亲属；</w:t>
      </w:r>
    </w:p>
    <w:p w14:paraId="30827090">
      <w:pPr>
        <w:pStyle w:val="70"/>
        <w:numPr>
          <w:ilvl w:val="0"/>
          <w:numId w:val="24"/>
        </w:numPr>
        <w:tabs>
          <w:tab w:val="left" w:pos="1755"/>
        </w:tabs>
        <w:spacing w:before="158"/>
        <w:ind w:hanging="602"/>
        <w:rPr>
          <w:sz w:val="21"/>
          <w:szCs w:val="21"/>
          <w:highlight w:val="none"/>
        </w:rPr>
      </w:pPr>
      <w:bookmarkStart w:id="133" w:name="（2）项目主管部门或者行政监督部门的人员；"/>
      <w:bookmarkEnd w:id="133"/>
      <w:r>
        <w:rPr>
          <w:rFonts w:hint="eastAsia"/>
          <w:sz w:val="21"/>
          <w:szCs w:val="21"/>
          <w:highlight w:val="none"/>
        </w:rPr>
        <w:t>项目主管部门或者行政监督部门的人员；</w:t>
      </w:r>
    </w:p>
    <w:p w14:paraId="2BA96FCC">
      <w:pPr>
        <w:pStyle w:val="70"/>
        <w:numPr>
          <w:ilvl w:val="0"/>
          <w:numId w:val="24"/>
        </w:numPr>
        <w:tabs>
          <w:tab w:val="left" w:pos="1755"/>
        </w:tabs>
        <w:spacing w:before="161"/>
        <w:ind w:hanging="602"/>
        <w:rPr>
          <w:sz w:val="21"/>
          <w:szCs w:val="21"/>
          <w:highlight w:val="none"/>
        </w:rPr>
      </w:pPr>
      <w:bookmarkStart w:id="134" w:name="（3）与投标人有经济利益关系，可能影响对投标公正评审的；"/>
      <w:bookmarkEnd w:id="134"/>
      <w:r>
        <w:rPr>
          <w:rFonts w:hint="eastAsia"/>
          <w:sz w:val="21"/>
          <w:szCs w:val="21"/>
          <w:highlight w:val="none"/>
        </w:rPr>
        <w:t>与投标人有经济利益关系，可能影响对投标公正评审的；</w:t>
      </w:r>
    </w:p>
    <w:p w14:paraId="4DE813ED">
      <w:pPr>
        <w:pStyle w:val="70"/>
        <w:numPr>
          <w:ilvl w:val="0"/>
          <w:numId w:val="24"/>
        </w:numPr>
        <w:tabs>
          <w:tab w:val="left" w:pos="1755"/>
        </w:tabs>
        <w:spacing w:before="158" w:line="364" w:lineRule="auto"/>
        <w:ind w:left="673" w:right="1291" w:firstLine="480"/>
        <w:rPr>
          <w:sz w:val="21"/>
          <w:szCs w:val="21"/>
          <w:highlight w:val="none"/>
        </w:rPr>
      </w:pPr>
      <w:bookmarkStart w:id="135" w:name="（4）曾因在招标、评标以及其他与招标投标有关活动中从事违法行为而受过行政处罚或刑"/>
      <w:bookmarkEnd w:id="135"/>
      <w:r>
        <w:rPr>
          <w:rFonts w:hint="eastAsia"/>
          <w:spacing w:val="-5"/>
          <w:sz w:val="21"/>
          <w:szCs w:val="21"/>
          <w:highlight w:val="none"/>
        </w:rPr>
        <w:t>曾因在招标、评标以及其他与招标投标有关活动中从事违法行为而受过行政</w:t>
      </w:r>
      <w:r>
        <w:rPr>
          <w:rFonts w:hint="eastAsia"/>
          <w:sz w:val="21"/>
          <w:szCs w:val="21"/>
          <w:highlight w:val="none"/>
        </w:rPr>
        <w:t>处罚或刑事处罚的。</w:t>
      </w:r>
    </w:p>
    <w:p w14:paraId="2A3F5983">
      <w:pPr>
        <w:pStyle w:val="70"/>
        <w:numPr>
          <w:ilvl w:val="1"/>
          <w:numId w:val="23"/>
        </w:numPr>
        <w:tabs>
          <w:tab w:val="left" w:pos="1634"/>
        </w:tabs>
        <w:spacing w:line="306" w:lineRule="exact"/>
        <w:ind w:hanging="481"/>
        <w:rPr>
          <w:sz w:val="21"/>
          <w:szCs w:val="21"/>
          <w:highlight w:val="none"/>
        </w:rPr>
      </w:pPr>
      <w:bookmarkStart w:id="136" w:name="6.2_评标原则"/>
      <w:bookmarkEnd w:id="136"/>
      <w:r>
        <w:rPr>
          <w:rFonts w:hint="eastAsia"/>
          <w:sz w:val="21"/>
          <w:szCs w:val="21"/>
          <w:highlight w:val="none"/>
        </w:rPr>
        <w:t>评标原则</w:t>
      </w:r>
    </w:p>
    <w:p w14:paraId="3049D454">
      <w:pPr>
        <w:pStyle w:val="70"/>
        <w:numPr>
          <w:ilvl w:val="2"/>
          <w:numId w:val="23"/>
        </w:numPr>
        <w:tabs>
          <w:tab w:val="left" w:pos="1755"/>
        </w:tabs>
        <w:spacing w:before="160" w:line="362" w:lineRule="auto"/>
        <w:ind w:right="1291" w:firstLine="480"/>
        <w:rPr>
          <w:sz w:val="21"/>
          <w:szCs w:val="21"/>
          <w:highlight w:val="none"/>
        </w:rPr>
      </w:pPr>
      <w:bookmarkStart w:id="137" w:name="6.2.1“公平、公正、科学、择优”为本次评标的基本原则，评标委员会按照这一原则"/>
      <w:bookmarkEnd w:id="137"/>
      <w:r>
        <w:rPr>
          <w:rFonts w:hint="eastAsia"/>
          <w:spacing w:val="-7"/>
          <w:sz w:val="21"/>
          <w:szCs w:val="21"/>
          <w:highlight w:val="none"/>
        </w:rPr>
        <w:t>“公平、公正、科学、择优”为本次评标的基本原则，评标委员会按照这一</w:t>
      </w:r>
      <w:r>
        <w:rPr>
          <w:rFonts w:hint="eastAsia"/>
          <w:sz w:val="21"/>
          <w:szCs w:val="21"/>
          <w:highlight w:val="none"/>
        </w:rPr>
        <w:t>原则的要求，公正、平等地对待各投标人。同时，在评审中恪守以下原则：</w:t>
      </w:r>
    </w:p>
    <w:p w14:paraId="2C13BD7A">
      <w:pPr>
        <w:pStyle w:val="70"/>
        <w:numPr>
          <w:ilvl w:val="0"/>
          <w:numId w:val="25"/>
        </w:numPr>
        <w:tabs>
          <w:tab w:val="left" w:pos="1755"/>
        </w:tabs>
        <w:spacing w:before="5" w:line="362" w:lineRule="auto"/>
        <w:ind w:right="1291" w:firstLine="480"/>
        <w:rPr>
          <w:sz w:val="21"/>
          <w:szCs w:val="21"/>
          <w:highlight w:val="none"/>
        </w:rPr>
      </w:pPr>
      <w:bookmarkStart w:id="138" w:name="（1）统一性原则：评标委员会将按照统一的评标原则和评审方法，用统一标准进行评审。"/>
      <w:bookmarkEnd w:id="138"/>
      <w:r>
        <w:rPr>
          <w:rFonts w:hint="eastAsia"/>
          <w:spacing w:val="-6"/>
          <w:sz w:val="21"/>
          <w:szCs w:val="21"/>
          <w:highlight w:val="none"/>
        </w:rPr>
        <w:t>统一性原则：评标委员会将按照统一的评标原则和评审方法，用统一标准进</w:t>
      </w:r>
      <w:r>
        <w:rPr>
          <w:rFonts w:hint="eastAsia"/>
          <w:sz w:val="21"/>
          <w:szCs w:val="21"/>
          <w:highlight w:val="none"/>
        </w:rPr>
        <w:t>行评审。</w:t>
      </w:r>
    </w:p>
    <w:p w14:paraId="50EBCA56">
      <w:pPr>
        <w:pStyle w:val="70"/>
        <w:numPr>
          <w:ilvl w:val="0"/>
          <w:numId w:val="25"/>
        </w:numPr>
        <w:tabs>
          <w:tab w:val="left" w:pos="1761"/>
        </w:tabs>
        <w:spacing w:before="44" w:line="364" w:lineRule="auto"/>
        <w:ind w:right="1293" w:firstLine="480"/>
        <w:jc w:val="both"/>
        <w:rPr>
          <w:sz w:val="21"/>
          <w:szCs w:val="21"/>
          <w:highlight w:val="none"/>
        </w:rPr>
      </w:pPr>
      <w:bookmarkStart w:id="139" w:name="（2）独立性原则:评标工作在评标委员会内部独立进行，不受外界任何因素的干扰和影响"/>
      <w:bookmarkEnd w:id="139"/>
      <w:r>
        <w:rPr>
          <w:rFonts w:hint="eastAsia"/>
          <w:sz w:val="21"/>
          <w:szCs w:val="21"/>
          <w:highlight w:val="none"/>
        </w:rPr>
        <w:t>独立性原则:评标工作在评标委员会内部独立进行，不受外界任何因素的干扰和影响。评标委员会成员对其出具的意见承担个人责任。投标人试图影响或干预评审的任何行为，将导致其丧失投标的资格，并承担相应的法律责任。</w:t>
      </w:r>
    </w:p>
    <w:p w14:paraId="03FD47EB">
      <w:pPr>
        <w:pStyle w:val="70"/>
        <w:numPr>
          <w:ilvl w:val="0"/>
          <w:numId w:val="25"/>
        </w:numPr>
        <w:tabs>
          <w:tab w:val="left" w:pos="1755"/>
        </w:tabs>
        <w:spacing w:line="364" w:lineRule="auto"/>
        <w:ind w:right="1291" w:firstLine="480"/>
        <w:jc w:val="both"/>
        <w:rPr>
          <w:sz w:val="21"/>
          <w:szCs w:val="21"/>
          <w:highlight w:val="none"/>
        </w:rPr>
      </w:pPr>
      <w:bookmarkStart w:id="140" w:name="（3）客观性原则：评标委员会将严格按照招标文件要求，对投标人的投标文件进行认真评"/>
      <w:bookmarkEnd w:id="140"/>
      <w:r>
        <w:rPr>
          <w:rFonts w:hint="eastAsia"/>
          <w:spacing w:val="-5"/>
          <w:sz w:val="21"/>
          <w:szCs w:val="21"/>
          <w:highlight w:val="none"/>
        </w:rPr>
        <w:t>客观性原则：评标委员会将严格按照招标文件要求，对投标人的投标文件进</w:t>
      </w:r>
      <w:r>
        <w:rPr>
          <w:rFonts w:hint="eastAsia"/>
          <w:sz w:val="21"/>
          <w:szCs w:val="21"/>
          <w:highlight w:val="none"/>
        </w:rPr>
        <w:t>行认真评审；评标委员会对投标文件的评审仅依据投标文件本身，而不依据投标文件以外的任何因素。</w:t>
      </w:r>
    </w:p>
    <w:p w14:paraId="41894046">
      <w:pPr>
        <w:pStyle w:val="70"/>
        <w:numPr>
          <w:ilvl w:val="0"/>
          <w:numId w:val="25"/>
        </w:numPr>
        <w:tabs>
          <w:tab w:val="left" w:pos="1755"/>
        </w:tabs>
        <w:spacing w:line="362" w:lineRule="auto"/>
        <w:ind w:right="1291" w:firstLine="480"/>
        <w:rPr>
          <w:sz w:val="21"/>
          <w:szCs w:val="21"/>
          <w:highlight w:val="none"/>
        </w:rPr>
      </w:pPr>
      <w:bookmarkStart w:id="141" w:name="（4）保密性原则：采购代理机构应当采取必要的措施，保证评标在严格保密情况下进行。"/>
      <w:bookmarkEnd w:id="141"/>
      <w:r>
        <w:rPr>
          <w:rFonts w:hint="eastAsia"/>
          <w:spacing w:val="-5"/>
          <w:sz w:val="21"/>
          <w:szCs w:val="21"/>
          <w:highlight w:val="none"/>
        </w:rPr>
        <w:t>保密性原则：</w:t>
      </w:r>
      <w:r>
        <w:rPr>
          <w:rFonts w:hint="eastAsia"/>
          <w:spacing w:val="-5"/>
          <w:sz w:val="21"/>
          <w:szCs w:val="21"/>
          <w:highlight w:val="none"/>
          <w:lang w:eastAsia="zh-CN"/>
        </w:rPr>
        <w:t>招标代理机构</w:t>
      </w:r>
      <w:r>
        <w:rPr>
          <w:rFonts w:hint="eastAsia"/>
          <w:spacing w:val="-5"/>
          <w:sz w:val="21"/>
          <w:szCs w:val="21"/>
          <w:highlight w:val="none"/>
        </w:rPr>
        <w:t>应当采取必要的措施，保证评标在严格保密情况</w:t>
      </w:r>
      <w:r>
        <w:rPr>
          <w:rFonts w:hint="eastAsia"/>
          <w:sz w:val="21"/>
          <w:szCs w:val="21"/>
          <w:highlight w:val="none"/>
        </w:rPr>
        <w:t>下进行。</w:t>
      </w:r>
    </w:p>
    <w:p w14:paraId="7BE6B5EF">
      <w:pPr>
        <w:pStyle w:val="16"/>
        <w:spacing w:before="3" w:line="362" w:lineRule="auto"/>
        <w:ind w:left="673" w:right="1293" w:firstLine="480"/>
        <w:rPr>
          <w:sz w:val="21"/>
          <w:szCs w:val="21"/>
          <w:highlight w:val="none"/>
        </w:rPr>
      </w:pPr>
      <w:bookmarkStart w:id="142" w:name="（6）综合性原则:评标委员会将综合分析、评审投标人的各项指标，而不以单项指标的优"/>
      <w:bookmarkEnd w:id="142"/>
      <w:r>
        <w:rPr>
          <w:rFonts w:hint="eastAsia"/>
          <w:sz w:val="21"/>
          <w:szCs w:val="21"/>
          <w:highlight w:val="none"/>
        </w:rPr>
        <w:t>（6）综合性原则:评标委员会将综合分析、评审投标人的各项指标，而不以单项指标的优劣评定出中标人。</w:t>
      </w:r>
    </w:p>
    <w:p w14:paraId="2E7E37F8">
      <w:pPr>
        <w:pStyle w:val="70"/>
        <w:numPr>
          <w:ilvl w:val="2"/>
          <w:numId w:val="23"/>
        </w:numPr>
        <w:tabs>
          <w:tab w:val="left" w:pos="1814"/>
        </w:tabs>
        <w:spacing w:before="3" w:line="364" w:lineRule="auto"/>
        <w:ind w:right="1291" w:firstLine="480"/>
        <w:jc w:val="both"/>
        <w:rPr>
          <w:sz w:val="21"/>
          <w:szCs w:val="21"/>
          <w:highlight w:val="none"/>
        </w:rPr>
      </w:pPr>
      <w:bookmarkStart w:id="143" w:name="6.2.2评标委员会有权对整个招标过程中出现的一切问题，根据《中华人民共和国政府"/>
      <w:bookmarkEnd w:id="143"/>
      <w:r>
        <w:rPr>
          <w:rFonts w:hint="eastAsia"/>
          <w:spacing w:val="-6"/>
          <w:sz w:val="21"/>
          <w:szCs w:val="21"/>
          <w:highlight w:val="none"/>
        </w:rPr>
        <w:t>评标委员会有权对整个招标过程中出现的一切问题，根据《中华人民共和国</w:t>
      </w:r>
      <w:r>
        <w:rPr>
          <w:rFonts w:hint="eastAsia"/>
          <w:sz w:val="21"/>
          <w:szCs w:val="21"/>
          <w:highlight w:val="none"/>
        </w:rPr>
        <w:t>政府采购法》及实施条例等相关规定进行处理。</w:t>
      </w:r>
    </w:p>
    <w:p w14:paraId="7BCAF319">
      <w:pPr>
        <w:pStyle w:val="70"/>
        <w:numPr>
          <w:ilvl w:val="1"/>
          <w:numId w:val="23"/>
        </w:numPr>
        <w:tabs>
          <w:tab w:val="left" w:pos="1634"/>
        </w:tabs>
        <w:spacing w:before="1"/>
        <w:ind w:hanging="481"/>
        <w:jc w:val="both"/>
        <w:rPr>
          <w:sz w:val="21"/>
          <w:szCs w:val="21"/>
          <w:highlight w:val="none"/>
        </w:rPr>
      </w:pPr>
      <w:bookmarkStart w:id="144" w:name="6.3_评标"/>
      <w:bookmarkEnd w:id="144"/>
      <w:r>
        <w:rPr>
          <w:rFonts w:hint="eastAsia"/>
          <w:sz w:val="21"/>
          <w:szCs w:val="21"/>
          <w:highlight w:val="none"/>
        </w:rPr>
        <w:t>评标</w:t>
      </w:r>
    </w:p>
    <w:p w14:paraId="6ED94EB1">
      <w:pPr>
        <w:pStyle w:val="70"/>
        <w:numPr>
          <w:ilvl w:val="2"/>
          <w:numId w:val="23"/>
        </w:numPr>
        <w:tabs>
          <w:tab w:val="left" w:pos="1876"/>
        </w:tabs>
        <w:spacing w:before="158" w:line="364" w:lineRule="auto"/>
        <w:ind w:right="1291" w:firstLine="480"/>
        <w:jc w:val="both"/>
        <w:rPr>
          <w:sz w:val="21"/>
          <w:szCs w:val="21"/>
          <w:highlight w:val="none"/>
        </w:rPr>
      </w:pPr>
      <w:bookmarkStart w:id="145" w:name="6.3.1_评委会严格按照招标文件第三章“评标办法”规定的方法、评审因素、标准和"/>
      <w:bookmarkEnd w:id="145"/>
      <w:r>
        <w:rPr>
          <w:rFonts w:hint="eastAsia"/>
          <w:sz w:val="21"/>
          <w:szCs w:val="21"/>
          <w:highlight w:val="none"/>
        </w:rPr>
        <w:t>评委会严格按照招标文件第三章“评标办法”规定的方法、评审因素、标准和程序对投标文件进行评审。第三章“评标办法”没有规定的方法、评审因素和标准，不作为评标依据。</w:t>
      </w:r>
    </w:p>
    <w:p w14:paraId="6CD8C36C">
      <w:pPr>
        <w:pStyle w:val="70"/>
        <w:numPr>
          <w:ilvl w:val="2"/>
          <w:numId w:val="23"/>
        </w:numPr>
        <w:tabs>
          <w:tab w:val="left" w:pos="1874"/>
        </w:tabs>
        <w:spacing w:line="307" w:lineRule="exact"/>
        <w:ind w:left="1873" w:hanging="721"/>
        <w:jc w:val="both"/>
        <w:rPr>
          <w:sz w:val="21"/>
          <w:szCs w:val="21"/>
          <w:highlight w:val="none"/>
        </w:rPr>
      </w:pPr>
      <w:bookmarkStart w:id="146" w:name="6.3.2_评委会负责具体评标事务，并独立履行下列职责："/>
      <w:bookmarkEnd w:id="146"/>
      <w:r>
        <w:rPr>
          <w:rFonts w:hint="eastAsia"/>
          <w:sz w:val="21"/>
          <w:szCs w:val="21"/>
          <w:highlight w:val="none"/>
        </w:rPr>
        <w:t>评委会负责具体评标事务，并独立履行下列职责：</w:t>
      </w:r>
    </w:p>
    <w:p w14:paraId="5465777C">
      <w:pPr>
        <w:pStyle w:val="70"/>
        <w:numPr>
          <w:ilvl w:val="0"/>
          <w:numId w:val="26"/>
        </w:numPr>
        <w:tabs>
          <w:tab w:val="left" w:pos="1755"/>
        </w:tabs>
        <w:spacing w:before="158"/>
        <w:ind w:hanging="602"/>
        <w:rPr>
          <w:sz w:val="21"/>
          <w:szCs w:val="21"/>
          <w:highlight w:val="none"/>
        </w:rPr>
      </w:pPr>
      <w:bookmarkStart w:id="147" w:name="（1）审查、评价投标文件是否符合招标文件的商务、技术、服务等实质性要求；"/>
      <w:bookmarkEnd w:id="147"/>
      <w:r>
        <w:rPr>
          <w:rFonts w:hint="eastAsia"/>
          <w:sz w:val="21"/>
          <w:szCs w:val="21"/>
          <w:highlight w:val="none"/>
        </w:rPr>
        <w:t>审查、评价投标文件是否符合招标文件的商务、技术、服务等实质性要求；</w:t>
      </w:r>
    </w:p>
    <w:p w14:paraId="070F9807">
      <w:pPr>
        <w:pStyle w:val="70"/>
        <w:numPr>
          <w:ilvl w:val="0"/>
          <w:numId w:val="26"/>
        </w:numPr>
        <w:tabs>
          <w:tab w:val="left" w:pos="1755"/>
        </w:tabs>
        <w:spacing w:before="161"/>
        <w:ind w:hanging="602"/>
        <w:rPr>
          <w:sz w:val="21"/>
          <w:szCs w:val="21"/>
          <w:highlight w:val="none"/>
        </w:rPr>
      </w:pPr>
      <w:bookmarkStart w:id="148" w:name="（2）要求投标人对投标文件有关事项作出澄清或者说明；"/>
      <w:bookmarkEnd w:id="148"/>
      <w:r>
        <w:rPr>
          <w:rFonts w:hint="eastAsia"/>
          <w:sz w:val="21"/>
          <w:szCs w:val="21"/>
          <w:highlight w:val="none"/>
        </w:rPr>
        <w:t>要求投标人对投标文件有关事项作出澄清或者说明；</w:t>
      </w:r>
    </w:p>
    <w:p w14:paraId="0C06F1C5">
      <w:pPr>
        <w:pStyle w:val="70"/>
        <w:numPr>
          <w:ilvl w:val="0"/>
          <w:numId w:val="26"/>
        </w:numPr>
        <w:tabs>
          <w:tab w:val="left" w:pos="1755"/>
        </w:tabs>
        <w:spacing w:before="158"/>
        <w:ind w:hanging="602"/>
        <w:rPr>
          <w:sz w:val="21"/>
          <w:szCs w:val="21"/>
          <w:highlight w:val="none"/>
        </w:rPr>
      </w:pPr>
      <w:bookmarkStart w:id="149" w:name="（3）对投标文件进行比较和评价；"/>
      <w:bookmarkEnd w:id="149"/>
      <w:r>
        <w:rPr>
          <w:rFonts w:hint="eastAsia"/>
          <w:sz w:val="21"/>
          <w:szCs w:val="21"/>
          <w:highlight w:val="none"/>
        </w:rPr>
        <w:t>对投标文件进行比较和评价；</w:t>
      </w:r>
    </w:p>
    <w:p w14:paraId="08B7C1A8">
      <w:pPr>
        <w:pStyle w:val="70"/>
        <w:numPr>
          <w:ilvl w:val="0"/>
          <w:numId w:val="26"/>
        </w:numPr>
        <w:tabs>
          <w:tab w:val="left" w:pos="1755"/>
        </w:tabs>
        <w:spacing w:before="160"/>
        <w:ind w:hanging="602"/>
        <w:rPr>
          <w:sz w:val="21"/>
          <w:szCs w:val="21"/>
          <w:highlight w:val="none"/>
        </w:rPr>
      </w:pPr>
      <w:bookmarkStart w:id="150" w:name="（4）确定中标候选人名单，以及根据采购人委托直接确定中标人；"/>
      <w:bookmarkEnd w:id="150"/>
      <w:r>
        <w:rPr>
          <w:rFonts w:hint="eastAsia"/>
          <w:sz w:val="21"/>
          <w:szCs w:val="21"/>
          <w:highlight w:val="none"/>
        </w:rPr>
        <w:t>确定中标候选人名单，以及根据</w:t>
      </w:r>
      <w:r>
        <w:rPr>
          <w:rFonts w:hint="eastAsia"/>
          <w:sz w:val="21"/>
          <w:szCs w:val="21"/>
          <w:highlight w:val="none"/>
          <w:lang w:eastAsia="zh-CN"/>
        </w:rPr>
        <w:t>招标人</w:t>
      </w:r>
      <w:r>
        <w:rPr>
          <w:rFonts w:hint="eastAsia"/>
          <w:sz w:val="21"/>
          <w:szCs w:val="21"/>
          <w:highlight w:val="none"/>
        </w:rPr>
        <w:t>委托直接确定中标人；</w:t>
      </w:r>
    </w:p>
    <w:p w14:paraId="386A5402">
      <w:pPr>
        <w:pStyle w:val="70"/>
        <w:numPr>
          <w:ilvl w:val="0"/>
          <w:numId w:val="26"/>
        </w:numPr>
        <w:tabs>
          <w:tab w:val="left" w:pos="1755"/>
        </w:tabs>
        <w:spacing w:before="158"/>
        <w:ind w:hanging="602"/>
        <w:rPr>
          <w:sz w:val="21"/>
          <w:szCs w:val="21"/>
          <w:highlight w:val="none"/>
        </w:rPr>
      </w:pPr>
      <w:bookmarkStart w:id="151" w:name="（5）向采购人、采购代理机构或者有关部门报告评标中发现的违法行为。"/>
      <w:bookmarkEnd w:id="151"/>
      <w:r>
        <w:rPr>
          <w:rFonts w:hint="eastAsia"/>
          <w:sz w:val="21"/>
          <w:szCs w:val="21"/>
          <w:highlight w:val="none"/>
        </w:rPr>
        <w:t>向</w:t>
      </w:r>
      <w:r>
        <w:rPr>
          <w:rFonts w:hint="eastAsia"/>
          <w:sz w:val="21"/>
          <w:szCs w:val="21"/>
          <w:highlight w:val="none"/>
          <w:lang w:eastAsia="zh-CN"/>
        </w:rPr>
        <w:t>招标人</w:t>
      </w:r>
      <w:r>
        <w:rPr>
          <w:rFonts w:hint="eastAsia"/>
          <w:sz w:val="21"/>
          <w:szCs w:val="21"/>
          <w:highlight w:val="none"/>
        </w:rPr>
        <w:t>、</w:t>
      </w:r>
      <w:r>
        <w:rPr>
          <w:rFonts w:hint="eastAsia"/>
          <w:sz w:val="21"/>
          <w:szCs w:val="21"/>
          <w:highlight w:val="none"/>
          <w:lang w:eastAsia="zh-CN"/>
        </w:rPr>
        <w:t>招标代理机构</w:t>
      </w:r>
      <w:r>
        <w:rPr>
          <w:rFonts w:hint="eastAsia"/>
          <w:sz w:val="21"/>
          <w:szCs w:val="21"/>
          <w:highlight w:val="none"/>
        </w:rPr>
        <w:t>或者有关部门报告评标中发现的违法行为。</w:t>
      </w:r>
    </w:p>
    <w:p w14:paraId="038F7BCB">
      <w:pPr>
        <w:pStyle w:val="70"/>
        <w:numPr>
          <w:ilvl w:val="2"/>
          <w:numId w:val="23"/>
        </w:numPr>
        <w:tabs>
          <w:tab w:val="left" w:pos="1874"/>
        </w:tabs>
        <w:spacing w:before="161"/>
        <w:ind w:left="1873" w:hanging="721"/>
        <w:rPr>
          <w:sz w:val="21"/>
          <w:szCs w:val="21"/>
          <w:highlight w:val="none"/>
        </w:rPr>
      </w:pPr>
      <w:bookmarkStart w:id="152" w:name="6.3.3_采购代理机构负责组织评标工作并履行下列职责："/>
      <w:bookmarkEnd w:id="152"/>
      <w:r>
        <w:rPr>
          <w:rFonts w:hint="eastAsia"/>
          <w:sz w:val="21"/>
          <w:szCs w:val="21"/>
          <w:highlight w:val="none"/>
          <w:lang w:eastAsia="zh-CN"/>
        </w:rPr>
        <w:t>招标代理机构</w:t>
      </w:r>
      <w:r>
        <w:rPr>
          <w:rFonts w:hint="eastAsia"/>
          <w:sz w:val="21"/>
          <w:szCs w:val="21"/>
          <w:highlight w:val="none"/>
        </w:rPr>
        <w:t>负责组织评标工作并履行下列职责：</w:t>
      </w:r>
    </w:p>
    <w:p w14:paraId="230978B1">
      <w:pPr>
        <w:pStyle w:val="70"/>
        <w:numPr>
          <w:ilvl w:val="0"/>
          <w:numId w:val="27"/>
        </w:numPr>
        <w:tabs>
          <w:tab w:val="left" w:pos="1755"/>
        </w:tabs>
        <w:spacing w:before="160" w:line="362" w:lineRule="auto"/>
        <w:ind w:right="1291" w:firstLine="480"/>
        <w:rPr>
          <w:sz w:val="21"/>
          <w:szCs w:val="21"/>
          <w:highlight w:val="none"/>
        </w:rPr>
      </w:pPr>
      <w:bookmarkStart w:id="153" w:name="（1）核对评审专家身份和采购人代表授权函，对评审专家在政府采购活动中的职责履行情"/>
      <w:bookmarkEnd w:id="153"/>
      <w:r>
        <w:rPr>
          <w:rFonts w:hint="eastAsia"/>
          <w:spacing w:val="-3"/>
          <w:sz w:val="21"/>
          <w:szCs w:val="21"/>
          <w:highlight w:val="none"/>
        </w:rPr>
        <w:t>核对评审专家身份和</w:t>
      </w:r>
      <w:r>
        <w:rPr>
          <w:rFonts w:hint="eastAsia"/>
          <w:spacing w:val="-3"/>
          <w:sz w:val="21"/>
          <w:szCs w:val="21"/>
          <w:highlight w:val="none"/>
          <w:lang w:eastAsia="zh-CN"/>
        </w:rPr>
        <w:t>招标人</w:t>
      </w:r>
      <w:r>
        <w:rPr>
          <w:rFonts w:hint="eastAsia"/>
          <w:spacing w:val="-3"/>
          <w:sz w:val="21"/>
          <w:szCs w:val="21"/>
          <w:highlight w:val="none"/>
        </w:rPr>
        <w:t>代表授权函，对评审专家在政府采购活动中的职</w:t>
      </w:r>
      <w:r>
        <w:rPr>
          <w:rFonts w:hint="eastAsia"/>
          <w:sz w:val="21"/>
          <w:szCs w:val="21"/>
          <w:highlight w:val="none"/>
        </w:rPr>
        <w:t>责履行情况予以记录，并及时将有关违法违规行为向财政部门报告；</w:t>
      </w:r>
    </w:p>
    <w:p w14:paraId="0A9A1F4A">
      <w:pPr>
        <w:pStyle w:val="70"/>
        <w:numPr>
          <w:ilvl w:val="0"/>
          <w:numId w:val="27"/>
        </w:numPr>
        <w:tabs>
          <w:tab w:val="left" w:pos="1755"/>
        </w:tabs>
        <w:spacing w:before="3"/>
        <w:ind w:left="1754" w:hanging="602"/>
        <w:rPr>
          <w:sz w:val="21"/>
          <w:szCs w:val="21"/>
          <w:highlight w:val="none"/>
        </w:rPr>
      </w:pPr>
      <w:bookmarkStart w:id="154" w:name="（2）宣布评标纪律；"/>
      <w:bookmarkEnd w:id="154"/>
      <w:r>
        <w:rPr>
          <w:rFonts w:hint="eastAsia"/>
          <w:sz w:val="21"/>
          <w:szCs w:val="21"/>
          <w:highlight w:val="none"/>
        </w:rPr>
        <w:t>宣布评标纪律；</w:t>
      </w:r>
    </w:p>
    <w:p w14:paraId="56867497">
      <w:pPr>
        <w:pStyle w:val="70"/>
        <w:numPr>
          <w:ilvl w:val="0"/>
          <w:numId w:val="27"/>
        </w:numPr>
        <w:tabs>
          <w:tab w:val="left" w:pos="1755"/>
        </w:tabs>
        <w:spacing w:before="160"/>
        <w:ind w:left="1754" w:hanging="602"/>
        <w:rPr>
          <w:sz w:val="21"/>
          <w:szCs w:val="21"/>
          <w:highlight w:val="none"/>
        </w:rPr>
      </w:pPr>
      <w:bookmarkStart w:id="155" w:name="（3）公布投标人名单，告知评标专家应当回避的情形；"/>
      <w:bookmarkEnd w:id="155"/>
      <w:r>
        <w:rPr>
          <w:rFonts w:hint="eastAsia"/>
          <w:sz w:val="21"/>
          <w:szCs w:val="21"/>
          <w:highlight w:val="none"/>
        </w:rPr>
        <w:t>公布投标人名单，告知评标专家应当回避的情形；</w:t>
      </w:r>
    </w:p>
    <w:p w14:paraId="0816CB5A">
      <w:pPr>
        <w:pStyle w:val="70"/>
        <w:numPr>
          <w:ilvl w:val="0"/>
          <w:numId w:val="27"/>
        </w:numPr>
        <w:tabs>
          <w:tab w:val="left" w:pos="1755"/>
        </w:tabs>
        <w:spacing w:before="161"/>
        <w:ind w:left="1754" w:hanging="602"/>
        <w:rPr>
          <w:sz w:val="21"/>
          <w:szCs w:val="21"/>
          <w:highlight w:val="none"/>
        </w:rPr>
      </w:pPr>
      <w:bookmarkStart w:id="156" w:name="（4）组织评标委员会推选评标组长，采购人代表不得担任组长；"/>
      <w:bookmarkEnd w:id="156"/>
      <w:r>
        <w:rPr>
          <w:rFonts w:hint="eastAsia"/>
          <w:sz w:val="21"/>
          <w:szCs w:val="21"/>
          <w:highlight w:val="none"/>
        </w:rPr>
        <w:t>组织评标委员会推选评标组长，</w:t>
      </w:r>
      <w:r>
        <w:rPr>
          <w:rFonts w:hint="eastAsia"/>
          <w:sz w:val="21"/>
          <w:szCs w:val="21"/>
          <w:highlight w:val="none"/>
          <w:lang w:eastAsia="zh-CN"/>
        </w:rPr>
        <w:t>招标人</w:t>
      </w:r>
      <w:r>
        <w:rPr>
          <w:rFonts w:hint="eastAsia"/>
          <w:sz w:val="21"/>
          <w:szCs w:val="21"/>
          <w:highlight w:val="none"/>
        </w:rPr>
        <w:t>代表不得担任组长；</w:t>
      </w:r>
    </w:p>
    <w:p w14:paraId="758343D5">
      <w:pPr>
        <w:pStyle w:val="70"/>
        <w:numPr>
          <w:ilvl w:val="0"/>
          <w:numId w:val="27"/>
        </w:numPr>
        <w:tabs>
          <w:tab w:val="left" w:pos="1755"/>
        </w:tabs>
        <w:spacing w:before="158"/>
        <w:ind w:left="1754" w:hanging="602"/>
        <w:rPr>
          <w:sz w:val="21"/>
          <w:szCs w:val="21"/>
          <w:highlight w:val="none"/>
        </w:rPr>
      </w:pPr>
      <w:bookmarkStart w:id="157" w:name="（5）在评标期间采取必要的通讯管理措施，保证评标活动不受外界干扰；"/>
      <w:bookmarkEnd w:id="157"/>
      <w:r>
        <w:rPr>
          <w:rFonts w:hint="eastAsia"/>
          <w:sz w:val="21"/>
          <w:szCs w:val="21"/>
          <w:highlight w:val="none"/>
        </w:rPr>
        <w:t>在评标期间采取必要的通讯管理措施，保证评标活动不受外界干扰；</w:t>
      </w:r>
    </w:p>
    <w:p w14:paraId="0107B643">
      <w:pPr>
        <w:pStyle w:val="70"/>
        <w:numPr>
          <w:ilvl w:val="0"/>
          <w:numId w:val="27"/>
        </w:numPr>
        <w:tabs>
          <w:tab w:val="left" w:pos="1755"/>
        </w:tabs>
        <w:spacing w:before="161"/>
        <w:ind w:left="1754" w:hanging="602"/>
        <w:rPr>
          <w:sz w:val="21"/>
          <w:szCs w:val="21"/>
          <w:highlight w:val="none"/>
        </w:rPr>
      </w:pPr>
      <w:bookmarkStart w:id="158" w:name="（6）根据评标委员会的要求介绍政府采购相关政策法规、招标文件；"/>
      <w:bookmarkEnd w:id="158"/>
      <w:r>
        <w:rPr>
          <w:rFonts w:hint="eastAsia"/>
          <w:sz w:val="21"/>
          <w:szCs w:val="21"/>
          <w:highlight w:val="none"/>
        </w:rPr>
        <w:t>根据评标委员会的要求介绍政府采购相关政策法规、招标文件；</w:t>
      </w:r>
    </w:p>
    <w:p w14:paraId="2A809177">
      <w:pPr>
        <w:rPr>
          <w:sz w:val="21"/>
          <w:szCs w:val="21"/>
          <w:highlight w:val="none"/>
        </w:rPr>
        <w:sectPr>
          <w:footerReference r:id="rId5" w:type="default"/>
          <w:pgSz w:w="11910" w:h="16840"/>
          <w:pgMar w:top="1400" w:right="770" w:bottom="1100" w:left="800" w:header="0" w:footer="909" w:gutter="0"/>
          <w:cols w:space="720" w:num="1"/>
        </w:sectPr>
      </w:pPr>
    </w:p>
    <w:p w14:paraId="7BD48335">
      <w:pPr>
        <w:pStyle w:val="70"/>
        <w:numPr>
          <w:ilvl w:val="0"/>
          <w:numId w:val="27"/>
        </w:numPr>
        <w:tabs>
          <w:tab w:val="left" w:pos="1755"/>
        </w:tabs>
        <w:spacing w:before="44" w:line="364" w:lineRule="auto"/>
        <w:ind w:right="220" w:rightChars="0" w:firstLine="480"/>
        <w:rPr>
          <w:sz w:val="21"/>
          <w:szCs w:val="21"/>
          <w:highlight w:val="none"/>
        </w:rPr>
      </w:pPr>
      <w:bookmarkStart w:id="159" w:name="（7）维护评标秩序，监督评标委员会依照评标文件规定的评审程序、方法和标准进行独立"/>
      <w:bookmarkEnd w:id="159"/>
      <w:r>
        <w:rPr>
          <w:rFonts w:hint="eastAsia"/>
          <w:spacing w:val="-4"/>
          <w:sz w:val="21"/>
          <w:szCs w:val="21"/>
          <w:highlight w:val="none"/>
        </w:rPr>
        <w:t>维护评标秩序，监督评标委员会依照评标文件规定的评审程序、方法和标准</w:t>
      </w:r>
      <w:r>
        <w:rPr>
          <w:rFonts w:hint="eastAsia"/>
          <w:spacing w:val="-9"/>
          <w:sz w:val="21"/>
          <w:szCs w:val="21"/>
          <w:highlight w:val="none"/>
        </w:rPr>
        <w:t>进行独立评审，及时制止和纠正</w:t>
      </w:r>
      <w:r>
        <w:rPr>
          <w:rFonts w:hint="eastAsia"/>
          <w:spacing w:val="-9"/>
          <w:sz w:val="21"/>
          <w:szCs w:val="21"/>
          <w:highlight w:val="none"/>
          <w:lang w:eastAsia="zh-CN"/>
        </w:rPr>
        <w:t>招标人</w:t>
      </w:r>
      <w:r>
        <w:rPr>
          <w:rFonts w:hint="eastAsia"/>
          <w:spacing w:val="-9"/>
          <w:sz w:val="21"/>
          <w:szCs w:val="21"/>
          <w:highlight w:val="none"/>
        </w:rPr>
        <w:t>代表、评审专家的倾向性言论或违法违规行为；</w:t>
      </w:r>
    </w:p>
    <w:p w14:paraId="0E240DD8">
      <w:pPr>
        <w:pStyle w:val="70"/>
        <w:numPr>
          <w:ilvl w:val="0"/>
          <w:numId w:val="27"/>
        </w:numPr>
        <w:tabs>
          <w:tab w:val="left" w:pos="1755"/>
          <w:tab w:val="left" w:pos="6759"/>
          <w:tab w:val="left" w:pos="9460"/>
        </w:tabs>
        <w:spacing w:line="364" w:lineRule="auto"/>
        <w:ind w:right="440" w:rightChars="0" w:firstLine="480"/>
        <w:rPr>
          <w:sz w:val="21"/>
          <w:szCs w:val="21"/>
          <w:highlight w:val="none"/>
        </w:rPr>
      </w:pPr>
      <w:bookmarkStart w:id="160" w:name="（8）核对评标结果，有《政府采购法》第六十四条__规定情形的，要求评标委员会复核"/>
      <w:bookmarkEnd w:id="160"/>
      <w:r>
        <w:rPr>
          <w:rFonts w:hint="eastAsia"/>
          <w:sz w:val="21"/>
          <w:szCs w:val="21"/>
          <w:highlight w:val="none"/>
        </w:rPr>
        <w:t>核对评标结果</w:t>
      </w:r>
      <w:r>
        <w:rPr>
          <w:rFonts w:hint="eastAsia"/>
          <w:spacing w:val="-8"/>
          <w:sz w:val="21"/>
          <w:szCs w:val="21"/>
          <w:highlight w:val="none"/>
        </w:rPr>
        <w:t>，有</w:t>
      </w:r>
      <w:r>
        <w:rPr>
          <w:rFonts w:hint="eastAsia"/>
          <w:spacing w:val="-3"/>
          <w:sz w:val="21"/>
          <w:szCs w:val="21"/>
          <w:highlight w:val="none"/>
        </w:rPr>
        <w:t>《</w:t>
      </w:r>
      <w:r>
        <w:rPr>
          <w:rFonts w:hint="eastAsia"/>
          <w:sz w:val="21"/>
          <w:szCs w:val="21"/>
          <w:highlight w:val="none"/>
        </w:rPr>
        <w:t>政府采购法</w:t>
      </w:r>
      <w:r>
        <w:rPr>
          <w:rFonts w:hint="eastAsia"/>
          <w:spacing w:val="-8"/>
          <w:sz w:val="21"/>
          <w:szCs w:val="21"/>
          <w:highlight w:val="none"/>
        </w:rPr>
        <w:t>》</w:t>
      </w:r>
      <w:r>
        <w:rPr>
          <w:rFonts w:hint="eastAsia"/>
          <w:sz w:val="21"/>
          <w:szCs w:val="21"/>
          <w:highlight w:val="none"/>
        </w:rPr>
        <w:t>第六十四条规定情形的</w:t>
      </w:r>
      <w:r>
        <w:rPr>
          <w:rFonts w:hint="eastAsia"/>
          <w:spacing w:val="-8"/>
          <w:sz w:val="21"/>
          <w:szCs w:val="21"/>
          <w:highlight w:val="none"/>
        </w:rPr>
        <w:t>，</w:t>
      </w:r>
      <w:r>
        <w:rPr>
          <w:rFonts w:hint="eastAsia"/>
          <w:sz w:val="21"/>
          <w:szCs w:val="21"/>
          <w:highlight w:val="none"/>
        </w:rPr>
        <w:t>要求评标委</w:t>
      </w:r>
      <w:r>
        <w:rPr>
          <w:rFonts w:hint="eastAsia"/>
          <w:spacing w:val="-16"/>
          <w:sz w:val="21"/>
          <w:szCs w:val="21"/>
          <w:highlight w:val="none"/>
        </w:rPr>
        <w:t>员</w:t>
      </w:r>
      <w:r>
        <w:rPr>
          <w:rFonts w:hint="eastAsia"/>
          <w:sz w:val="21"/>
          <w:szCs w:val="21"/>
          <w:highlight w:val="none"/>
        </w:rPr>
        <w:t>会复核或书面说明理由，评标委员会拒绝的，应予记录并向本级财政部门报告；</w:t>
      </w:r>
    </w:p>
    <w:p w14:paraId="62D8B6DF">
      <w:pPr>
        <w:pStyle w:val="70"/>
        <w:numPr>
          <w:ilvl w:val="0"/>
          <w:numId w:val="27"/>
        </w:numPr>
        <w:tabs>
          <w:tab w:val="left" w:pos="1755"/>
        </w:tabs>
        <w:spacing w:line="364" w:lineRule="auto"/>
        <w:ind w:right="440" w:rightChars="0" w:firstLine="480"/>
        <w:rPr>
          <w:sz w:val="21"/>
          <w:szCs w:val="21"/>
          <w:highlight w:val="none"/>
        </w:rPr>
      </w:pPr>
      <w:bookmarkStart w:id="161" w:name="（9）评审工作完成后，按照规定向评审专家支付劳务报酬和异地评审差旅费，不得向评审"/>
      <w:bookmarkEnd w:id="161"/>
      <w:r>
        <w:rPr>
          <w:rFonts w:hint="eastAsia"/>
          <w:spacing w:val="-4"/>
          <w:sz w:val="21"/>
          <w:szCs w:val="21"/>
          <w:highlight w:val="none"/>
        </w:rPr>
        <w:t>评审工作完成后，按照规定向评审专家支付劳务报酬和异地评审差旅费，不</w:t>
      </w:r>
      <w:r>
        <w:rPr>
          <w:rFonts w:hint="eastAsia"/>
          <w:sz w:val="21"/>
          <w:szCs w:val="21"/>
          <w:highlight w:val="none"/>
        </w:rPr>
        <w:t>得向评审专家以外的其他人员支付评审劳务报酬；</w:t>
      </w:r>
    </w:p>
    <w:p w14:paraId="4C96286D">
      <w:pPr>
        <w:pStyle w:val="70"/>
        <w:numPr>
          <w:ilvl w:val="0"/>
          <w:numId w:val="27"/>
        </w:numPr>
        <w:tabs>
          <w:tab w:val="left" w:pos="1875"/>
        </w:tabs>
        <w:ind w:left="1874" w:hanging="722"/>
        <w:rPr>
          <w:sz w:val="21"/>
          <w:szCs w:val="21"/>
          <w:highlight w:val="none"/>
        </w:rPr>
      </w:pPr>
      <w:bookmarkStart w:id="162" w:name="（10）处理与评标有关的其他事项。"/>
      <w:bookmarkEnd w:id="162"/>
      <w:r>
        <w:rPr>
          <w:rFonts w:hint="eastAsia"/>
          <w:sz w:val="21"/>
          <w:szCs w:val="21"/>
          <w:highlight w:val="none"/>
        </w:rPr>
        <w:t>处理与评标有关的其他事项。</w:t>
      </w:r>
    </w:p>
    <w:p w14:paraId="71E5E6FE">
      <w:pPr>
        <w:pStyle w:val="70"/>
        <w:numPr>
          <w:ilvl w:val="1"/>
          <w:numId w:val="23"/>
        </w:numPr>
        <w:tabs>
          <w:tab w:val="left" w:pos="1574"/>
        </w:tabs>
        <w:spacing w:before="156"/>
        <w:ind w:left="1573" w:hanging="421"/>
        <w:rPr>
          <w:sz w:val="21"/>
          <w:szCs w:val="21"/>
          <w:highlight w:val="none"/>
        </w:rPr>
      </w:pPr>
      <w:bookmarkStart w:id="163" w:name="6.4评标过程的保密"/>
      <w:bookmarkEnd w:id="163"/>
      <w:r>
        <w:rPr>
          <w:rFonts w:hint="eastAsia"/>
          <w:sz w:val="21"/>
          <w:szCs w:val="21"/>
          <w:highlight w:val="none"/>
        </w:rPr>
        <w:t>评标过程的保密</w:t>
      </w:r>
    </w:p>
    <w:p w14:paraId="0CB71772">
      <w:pPr>
        <w:pStyle w:val="70"/>
        <w:numPr>
          <w:ilvl w:val="0"/>
          <w:numId w:val="28"/>
        </w:numPr>
        <w:tabs>
          <w:tab w:val="left" w:pos="1755"/>
        </w:tabs>
        <w:spacing w:before="161" w:line="362" w:lineRule="auto"/>
        <w:ind w:right="220" w:rightChars="100" w:firstLine="480"/>
        <w:rPr>
          <w:sz w:val="21"/>
          <w:szCs w:val="21"/>
          <w:highlight w:val="none"/>
        </w:rPr>
      </w:pPr>
      <w:bookmarkStart w:id="164" w:name="（1）开标后，直至授予中标人合同为止，凡属于对投标文件的审查、补遗、评价和比较的"/>
      <w:bookmarkEnd w:id="164"/>
      <w:r>
        <w:rPr>
          <w:rFonts w:hint="eastAsia"/>
          <w:spacing w:val="-6"/>
          <w:sz w:val="21"/>
          <w:szCs w:val="21"/>
          <w:highlight w:val="none"/>
        </w:rPr>
        <w:t>开标后，直至授予中标人合同为止，凡属于对投标文件的审查、补遗、评价</w:t>
      </w:r>
      <w:r>
        <w:rPr>
          <w:rFonts w:hint="eastAsia"/>
          <w:sz w:val="21"/>
          <w:szCs w:val="21"/>
          <w:highlight w:val="none"/>
        </w:rPr>
        <w:t>和比较的有关资料以及中标候选人的推荐情况等均严格保密。</w:t>
      </w:r>
    </w:p>
    <w:p w14:paraId="66765233">
      <w:pPr>
        <w:pStyle w:val="70"/>
        <w:numPr>
          <w:ilvl w:val="0"/>
          <w:numId w:val="28"/>
        </w:numPr>
        <w:tabs>
          <w:tab w:val="left" w:pos="1755"/>
        </w:tabs>
        <w:spacing w:before="2" w:line="364" w:lineRule="auto"/>
        <w:ind w:right="440" w:rightChars="0" w:firstLine="480"/>
        <w:rPr>
          <w:sz w:val="21"/>
          <w:szCs w:val="21"/>
          <w:highlight w:val="none"/>
        </w:rPr>
      </w:pPr>
      <w:bookmarkStart w:id="165" w:name="（2）在投标文件的评审、中标候选人推荐以及授予合同的过程中，投标人向采购人和评标"/>
      <w:bookmarkEnd w:id="165"/>
      <w:r>
        <w:rPr>
          <w:rFonts w:hint="eastAsia"/>
          <w:spacing w:val="-3"/>
          <w:sz w:val="21"/>
          <w:szCs w:val="21"/>
          <w:highlight w:val="none"/>
        </w:rPr>
        <w:t>在投标文件的评审、中标候选人推荐以及授予合同的过程中，投标人向</w:t>
      </w:r>
      <w:r>
        <w:rPr>
          <w:rFonts w:hint="eastAsia"/>
          <w:spacing w:val="-3"/>
          <w:sz w:val="21"/>
          <w:szCs w:val="21"/>
          <w:highlight w:val="none"/>
          <w:lang w:eastAsia="zh-CN"/>
        </w:rPr>
        <w:t>招标人</w:t>
      </w:r>
      <w:r>
        <w:rPr>
          <w:rFonts w:hint="eastAsia"/>
          <w:spacing w:val="-7"/>
          <w:sz w:val="21"/>
          <w:szCs w:val="21"/>
          <w:highlight w:val="none"/>
        </w:rPr>
        <w:t>和评标委员会施加影响的任何行为，都将会导致其投标被拒绝直至取消其中标资格。</w:t>
      </w:r>
    </w:p>
    <w:p w14:paraId="0AAAF3DB">
      <w:pPr>
        <w:pStyle w:val="70"/>
        <w:numPr>
          <w:ilvl w:val="0"/>
          <w:numId w:val="28"/>
        </w:numPr>
        <w:tabs>
          <w:tab w:val="left" w:pos="1755"/>
        </w:tabs>
        <w:spacing w:before="2" w:line="364" w:lineRule="auto"/>
        <w:ind w:right="440" w:rightChars="0" w:firstLine="480"/>
        <w:jc w:val="both"/>
        <w:rPr>
          <w:sz w:val="21"/>
          <w:szCs w:val="21"/>
          <w:highlight w:val="none"/>
        </w:rPr>
      </w:pPr>
      <w:bookmarkStart w:id="166" w:name="（3）中标人确定后，采购人不对未中标人就评标过程以及未能中标原因作出任何解释。未"/>
      <w:bookmarkEnd w:id="166"/>
      <w:r>
        <w:rPr>
          <w:rFonts w:hint="eastAsia"/>
          <w:spacing w:val="-4"/>
          <w:sz w:val="21"/>
          <w:szCs w:val="21"/>
          <w:highlight w:val="none"/>
        </w:rPr>
        <w:t>中标人确定后，</w:t>
      </w:r>
      <w:r>
        <w:rPr>
          <w:rFonts w:hint="eastAsia"/>
          <w:spacing w:val="-4"/>
          <w:sz w:val="21"/>
          <w:szCs w:val="21"/>
          <w:highlight w:val="none"/>
          <w:lang w:eastAsia="zh-CN"/>
        </w:rPr>
        <w:t>招标人</w:t>
      </w:r>
      <w:r>
        <w:rPr>
          <w:rFonts w:hint="eastAsia"/>
          <w:spacing w:val="-4"/>
          <w:sz w:val="21"/>
          <w:szCs w:val="21"/>
          <w:highlight w:val="none"/>
        </w:rPr>
        <w:t>不对未中标人就评标过程以及未能中标原因作出任何</w:t>
      </w:r>
      <w:r>
        <w:rPr>
          <w:rFonts w:hint="eastAsia"/>
          <w:sz w:val="21"/>
          <w:szCs w:val="21"/>
          <w:highlight w:val="none"/>
        </w:rPr>
        <w:t>解释。未中标人不得向评标委员会组成人员或其他有关人员索问评标过程的情况和材料。</w:t>
      </w:r>
    </w:p>
    <w:p w14:paraId="228417F2">
      <w:pPr>
        <w:pStyle w:val="70"/>
        <w:numPr>
          <w:ilvl w:val="1"/>
          <w:numId w:val="23"/>
        </w:numPr>
        <w:tabs>
          <w:tab w:val="left" w:pos="1574"/>
        </w:tabs>
        <w:spacing w:line="304" w:lineRule="exact"/>
        <w:ind w:left="1573" w:hanging="421"/>
        <w:jc w:val="both"/>
        <w:rPr>
          <w:sz w:val="21"/>
          <w:szCs w:val="21"/>
          <w:highlight w:val="none"/>
        </w:rPr>
      </w:pPr>
      <w:bookmarkStart w:id="167" w:name="6.5投标文件的澄清"/>
      <w:bookmarkEnd w:id="167"/>
      <w:r>
        <w:rPr>
          <w:rFonts w:hint="eastAsia"/>
          <w:sz w:val="21"/>
          <w:szCs w:val="21"/>
          <w:highlight w:val="none"/>
        </w:rPr>
        <w:t>投标文件的澄清</w:t>
      </w:r>
    </w:p>
    <w:p w14:paraId="32EE0A01">
      <w:pPr>
        <w:pStyle w:val="70"/>
        <w:numPr>
          <w:ilvl w:val="0"/>
          <w:numId w:val="29"/>
        </w:numPr>
        <w:tabs>
          <w:tab w:val="left" w:pos="1755"/>
        </w:tabs>
        <w:spacing w:before="160" w:line="364" w:lineRule="auto"/>
        <w:ind w:right="660" w:rightChars="0" w:firstLine="480"/>
        <w:jc w:val="both"/>
        <w:rPr>
          <w:sz w:val="21"/>
          <w:szCs w:val="21"/>
          <w:highlight w:val="none"/>
        </w:rPr>
      </w:pPr>
      <w:bookmarkStart w:id="168" w:name="（1）为有助于投标文件的审查、评价和比较，评标委员会可以书面形式要求投标人对投标"/>
      <w:bookmarkEnd w:id="168"/>
      <w:r>
        <w:rPr>
          <w:rFonts w:hint="eastAsia"/>
          <w:spacing w:val="-4"/>
          <w:sz w:val="21"/>
          <w:szCs w:val="21"/>
          <w:highlight w:val="none"/>
        </w:rPr>
        <w:t>为有助于投标文件的审查、评价和比较，评标委员会可以书面形式要求投标</w:t>
      </w:r>
      <w:r>
        <w:rPr>
          <w:rFonts w:hint="eastAsia"/>
          <w:sz w:val="21"/>
          <w:szCs w:val="21"/>
          <w:highlight w:val="none"/>
        </w:rPr>
        <w:t>人对投标文件不明确的内容作必要的澄清或说明，投标人应采用书面形式进行澄清或</w:t>
      </w:r>
      <w:r>
        <w:rPr>
          <w:rFonts w:hint="eastAsia"/>
          <w:spacing w:val="-1"/>
          <w:sz w:val="21"/>
          <w:szCs w:val="21"/>
          <w:highlight w:val="none"/>
        </w:rPr>
        <w:t xml:space="preserve">说明，但不得超出投标文件的范围或投标文件的实质性内容。根据本须知第 </w:t>
      </w:r>
      <w:r>
        <w:rPr>
          <w:rFonts w:hint="eastAsia"/>
          <w:sz w:val="21"/>
          <w:szCs w:val="21"/>
          <w:highlight w:val="none"/>
        </w:rPr>
        <w:t>6.6</w:t>
      </w:r>
      <w:r>
        <w:rPr>
          <w:rFonts w:hint="eastAsia"/>
          <w:spacing w:val="-12"/>
          <w:sz w:val="21"/>
          <w:szCs w:val="21"/>
          <w:highlight w:val="none"/>
        </w:rPr>
        <w:t xml:space="preserve"> 条规定，凡属于评标委员会在评标中发现的计算错误进行核实的修改不在此列。</w:t>
      </w:r>
    </w:p>
    <w:p w14:paraId="10BA2AB2">
      <w:pPr>
        <w:pStyle w:val="70"/>
        <w:numPr>
          <w:ilvl w:val="0"/>
          <w:numId w:val="29"/>
        </w:numPr>
        <w:tabs>
          <w:tab w:val="left" w:pos="1755"/>
        </w:tabs>
        <w:spacing w:line="305" w:lineRule="exact"/>
        <w:ind w:left="1754" w:hanging="602"/>
        <w:rPr>
          <w:sz w:val="21"/>
          <w:szCs w:val="21"/>
          <w:highlight w:val="none"/>
        </w:rPr>
      </w:pPr>
      <w:bookmarkStart w:id="169" w:name="（2）评标委员会认为有必要时，可向投标人进行询标。"/>
      <w:bookmarkEnd w:id="169"/>
      <w:r>
        <w:rPr>
          <w:rFonts w:hint="eastAsia"/>
          <w:sz w:val="21"/>
          <w:szCs w:val="21"/>
          <w:highlight w:val="none"/>
        </w:rPr>
        <w:t>评标委员会认为有必要时，可向投标人进行询标。</w:t>
      </w:r>
    </w:p>
    <w:p w14:paraId="3B933222">
      <w:pPr>
        <w:pStyle w:val="70"/>
        <w:numPr>
          <w:ilvl w:val="1"/>
          <w:numId w:val="23"/>
        </w:numPr>
        <w:tabs>
          <w:tab w:val="left" w:pos="1574"/>
        </w:tabs>
        <w:spacing w:before="158"/>
        <w:ind w:left="1573" w:hanging="421"/>
        <w:rPr>
          <w:sz w:val="21"/>
          <w:szCs w:val="21"/>
          <w:highlight w:val="none"/>
        </w:rPr>
      </w:pPr>
      <w:bookmarkStart w:id="170" w:name="6.6投标文件计算错误的修正"/>
      <w:bookmarkEnd w:id="170"/>
      <w:r>
        <w:rPr>
          <w:rFonts w:hint="eastAsia"/>
          <w:sz w:val="21"/>
          <w:szCs w:val="21"/>
          <w:highlight w:val="none"/>
        </w:rPr>
        <w:t>投标文件计算错误的修正</w:t>
      </w:r>
    </w:p>
    <w:p w14:paraId="1DD6D5B6">
      <w:pPr>
        <w:pStyle w:val="70"/>
        <w:numPr>
          <w:ilvl w:val="0"/>
          <w:numId w:val="30"/>
        </w:numPr>
        <w:tabs>
          <w:tab w:val="left" w:pos="1755"/>
        </w:tabs>
        <w:spacing w:before="161" w:line="364" w:lineRule="auto"/>
        <w:ind w:right="440" w:rightChars="0" w:firstLine="480"/>
        <w:rPr>
          <w:sz w:val="21"/>
          <w:szCs w:val="21"/>
          <w:highlight w:val="none"/>
        </w:rPr>
      </w:pPr>
      <w:bookmarkStart w:id="171" w:name="（1）评标委员会将对确定为实质上响应招标文件要求的投标文件进行校核，看其是否有计"/>
      <w:bookmarkEnd w:id="171"/>
      <w:r>
        <w:rPr>
          <w:rFonts w:hint="eastAsia"/>
          <w:spacing w:val="-2"/>
          <w:sz w:val="21"/>
          <w:szCs w:val="21"/>
          <w:highlight w:val="none"/>
        </w:rPr>
        <w:t>评标委员会将对确定为实质上响应招标文件要求的投标文件进行校核，看其</w:t>
      </w:r>
      <w:r>
        <w:rPr>
          <w:rFonts w:hint="eastAsia"/>
          <w:sz w:val="21"/>
          <w:szCs w:val="21"/>
          <w:highlight w:val="none"/>
        </w:rPr>
        <w:t>是否有计算或表达上的错误，修正错误的原则如下：</w:t>
      </w:r>
    </w:p>
    <w:p w14:paraId="54E0A05D">
      <w:pPr>
        <w:pStyle w:val="16"/>
        <w:spacing w:line="362" w:lineRule="auto"/>
        <w:ind w:left="673" w:right="440" w:rightChars="0" w:firstLine="480"/>
        <w:rPr>
          <w:sz w:val="21"/>
          <w:szCs w:val="21"/>
          <w:highlight w:val="none"/>
        </w:rPr>
      </w:pPr>
      <w:bookmarkStart w:id="172" w:name="当单价与数量的乘积与合价不一致时，以单价为准，除非评标委员会认为单价有明显的小数"/>
      <w:bookmarkEnd w:id="172"/>
      <w:r>
        <w:rPr>
          <w:rFonts w:hint="eastAsia"/>
          <w:sz w:val="21"/>
          <w:szCs w:val="21"/>
          <w:highlight w:val="none"/>
        </w:rPr>
        <w:t>当单价与数量的乘积与合价不一致时，以单价为准，除非评标委员会认为单价有明显的小数点错误，此时应以标出的合价为准，并修改单价。</w:t>
      </w:r>
    </w:p>
    <w:p w14:paraId="32BE1AA8">
      <w:pPr>
        <w:pStyle w:val="70"/>
        <w:numPr>
          <w:ilvl w:val="0"/>
          <w:numId w:val="30"/>
        </w:numPr>
        <w:tabs>
          <w:tab w:val="left" w:pos="1755"/>
        </w:tabs>
        <w:spacing w:before="4" w:line="364" w:lineRule="auto"/>
        <w:ind w:right="440" w:rightChars="0" w:firstLine="480"/>
        <w:jc w:val="both"/>
        <w:rPr>
          <w:sz w:val="21"/>
          <w:szCs w:val="21"/>
          <w:highlight w:val="none"/>
        </w:rPr>
      </w:pPr>
      <w:bookmarkStart w:id="173" w:name="（2）按上述修正错误的原则及方法调整或修正投标文件的投标报价，投标人同意后，调整"/>
      <w:bookmarkEnd w:id="173"/>
      <w:r>
        <w:rPr>
          <w:rFonts w:hint="eastAsia"/>
          <w:spacing w:val="-2"/>
          <w:sz w:val="21"/>
          <w:szCs w:val="21"/>
          <w:highlight w:val="none"/>
        </w:rPr>
        <w:t>按上述修正错误的原则及方法调整或修正投标文件的投标报价，投标人同意</w:t>
      </w:r>
      <w:r>
        <w:rPr>
          <w:rFonts w:hint="eastAsia"/>
          <w:sz w:val="21"/>
          <w:szCs w:val="21"/>
          <w:highlight w:val="none"/>
        </w:rPr>
        <w:t>后，调整后的投标报价对投标人起约束作用。如果投标人不接受修正后的报价，则其投标将被拒绝，并不影响评标工作。</w:t>
      </w:r>
    </w:p>
    <w:p w14:paraId="23FD6917">
      <w:pPr>
        <w:pStyle w:val="70"/>
        <w:numPr>
          <w:ilvl w:val="1"/>
          <w:numId w:val="23"/>
        </w:numPr>
        <w:tabs>
          <w:tab w:val="left" w:pos="1574"/>
        </w:tabs>
        <w:spacing w:line="307" w:lineRule="exact"/>
        <w:ind w:left="1573" w:hanging="421"/>
        <w:jc w:val="both"/>
        <w:rPr>
          <w:sz w:val="21"/>
          <w:szCs w:val="21"/>
          <w:highlight w:val="none"/>
        </w:rPr>
      </w:pPr>
      <w:bookmarkStart w:id="174" w:name="6.7投标文件的评审、比较和否决"/>
      <w:bookmarkEnd w:id="174"/>
      <w:r>
        <w:rPr>
          <w:rFonts w:hint="eastAsia"/>
          <w:sz w:val="21"/>
          <w:szCs w:val="21"/>
          <w:highlight w:val="none"/>
        </w:rPr>
        <w:t>投标文件的评审、比较和否决</w:t>
      </w:r>
    </w:p>
    <w:p w14:paraId="10C76300">
      <w:pPr>
        <w:pStyle w:val="70"/>
        <w:numPr>
          <w:ilvl w:val="0"/>
          <w:numId w:val="31"/>
        </w:numPr>
        <w:tabs>
          <w:tab w:val="left" w:pos="1755"/>
        </w:tabs>
        <w:spacing w:before="44" w:line="364" w:lineRule="auto"/>
        <w:ind w:right="440" w:rightChars="0" w:firstLine="480"/>
        <w:rPr>
          <w:sz w:val="21"/>
          <w:szCs w:val="21"/>
          <w:highlight w:val="none"/>
        </w:rPr>
      </w:pPr>
      <w:bookmarkStart w:id="175" w:name="（1）评标委员会仅对在实质上响应招标文件要求的投标文件进行评估和比较。未响应招标"/>
      <w:bookmarkEnd w:id="175"/>
      <w:r>
        <w:rPr>
          <w:rFonts w:hint="eastAsia"/>
          <w:spacing w:val="-2"/>
          <w:sz w:val="21"/>
          <w:szCs w:val="21"/>
          <w:highlight w:val="none"/>
        </w:rPr>
        <w:t>评标委员会仅对在实质上响应招标文件要求的投标文件进行评估和比较。未</w:t>
      </w:r>
      <w:r>
        <w:rPr>
          <w:rFonts w:hint="eastAsia"/>
          <w:sz w:val="21"/>
          <w:szCs w:val="21"/>
          <w:highlight w:val="none"/>
        </w:rPr>
        <w:t>响应招标文件和合同条款的投标文件，不得进行评标。</w:t>
      </w:r>
    </w:p>
    <w:p w14:paraId="1514537B">
      <w:pPr>
        <w:pStyle w:val="70"/>
        <w:numPr>
          <w:ilvl w:val="0"/>
          <w:numId w:val="31"/>
        </w:numPr>
        <w:tabs>
          <w:tab w:val="left" w:pos="1755"/>
        </w:tabs>
        <w:spacing w:line="364" w:lineRule="auto"/>
        <w:ind w:right="440" w:rightChars="0" w:firstLine="480"/>
        <w:rPr>
          <w:sz w:val="21"/>
          <w:szCs w:val="21"/>
          <w:highlight w:val="none"/>
        </w:rPr>
      </w:pPr>
      <w:bookmarkStart w:id="176" w:name="（2）在评审过程中，评标委员会可以书面形式要求投标人就投标文件中含义不明确的内容"/>
      <w:bookmarkEnd w:id="176"/>
      <w:r>
        <w:rPr>
          <w:rFonts w:hint="eastAsia"/>
          <w:spacing w:val="-4"/>
          <w:sz w:val="21"/>
          <w:szCs w:val="21"/>
          <w:highlight w:val="none"/>
        </w:rPr>
        <w:t>在评审过程中，评标委员会可以书面形式要求投标人就投标文件中含义不明</w:t>
      </w:r>
      <w:r>
        <w:rPr>
          <w:rFonts w:hint="eastAsia"/>
          <w:sz w:val="21"/>
          <w:szCs w:val="21"/>
          <w:highlight w:val="none"/>
        </w:rPr>
        <w:t>确的内容进行书面说明并提供相关材料。</w:t>
      </w:r>
    </w:p>
    <w:p w14:paraId="3AD029D9">
      <w:pPr>
        <w:pStyle w:val="70"/>
        <w:numPr>
          <w:ilvl w:val="0"/>
          <w:numId w:val="31"/>
        </w:numPr>
        <w:tabs>
          <w:tab w:val="left" w:pos="1755"/>
        </w:tabs>
        <w:spacing w:line="364" w:lineRule="auto"/>
        <w:ind w:right="440" w:rightChars="0" w:firstLine="480"/>
        <w:rPr>
          <w:sz w:val="21"/>
          <w:szCs w:val="21"/>
          <w:highlight w:val="none"/>
        </w:rPr>
      </w:pPr>
      <w:bookmarkStart w:id="177" w:name="（3）评标委员会依据本次评标标准和方法，对投标文件进行评审，向采购人提出书面评标"/>
      <w:bookmarkEnd w:id="177"/>
      <w:r>
        <w:rPr>
          <w:rFonts w:hint="eastAsia"/>
          <w:spacing w:val="-3"/>
          <w:sz w:val="21"/>
          <w:szCs w:val="21"/>
          <w:highlight w:val="none"/>
        </w:rPr>
        <w:t>评标委员会依据本次评标标准和方法，对投标文件进行评审，向</w:t>
      </w:r>
      <w:r>
        <w:rPr>
          <w:rFonts w:hint="eastAsia"/>
          <w:spacing w:val="-3"/>
          <w:sz w:val="21"/>
          <w:szCs w:val="21"/>
          <w:highlight w:val="none"/>
          <w:lang w:eastAsia="zh-CN"/>
        </w:rPr>
        <w:t>招标人</w:t>
      </w:r>
      <w:r>
        <w:rPr>
          <w:rFonts w:hint="eastAsia"/>
          <w:spacing w:val="-3"/>
          <w:sz w:val="21"/>
          <w:szCs w:val="21"/>
          <w:highlight w:val="none"/>
        </w:rPr>
        <w:t>提出</w:t>
      </w:r>
      <w:r>
        <w:rPr>
          <w:rFonts w:hint="eastAsia"/>
          <w:sz w:val="21"/>
          <w:szCs w:val="21"/>
          <w:highlight w:val="none"/>
        </w:rPr>
        <w:t>书面评标报告，并根据得分由高到低的顺序，推荐中标候选人。</w:t>
      </w:r>
    </w:p>
    <w:p w14:paraId="4FFDBCC1">
      <w:pPr>
        <w:pStyle w:val="8"/>
        <w:spacing w:before="97"/>
        <w:ind w:left="956" w:right="1096"/>
        <w:jc w:val="center"/>
        <w:rPr>
          <w:sz w:val="21"/>
          <w:szCs w:val="21"/>
          <w:highlight w:val="none"/>
        </w:rPr>
      </w:pPr>
      <w:bookmarkStart w:id="178" w:name="七、合同授予"/>
      <w:bookmarkEnd w:id="178"/>
      <w:r>
        <w:rPr>
          <w:rFonts w:hint="eastAsia"/>
          <w:sz w:val="21"/>
          <w:szCs w:val="21"/>
          <w:highlight w:val="none"/>
        </w:rPr>
        <w:t>七、合同授予</w:t>
      </w:r>
    </w:p>
    <w:p w14:paraId="7A2865BD">
      <w:pPr>
        <w:pStyle w:val="70"/>
        <w:numPr>
          <w:ilvl w:val="1"/>
          <w:numId w:val="32"/>
        </w:numPr>
        <w:tabs>
          <w:tab w:val="left" w:pos="1634"/>
        </w:tabs>
        <w:spacing w:before="160"/>
        <w:ind w:hanging="481"/>
        <w:rPr>
          <w:sz w:val="21"/>
          <w:szCs w:val="21"/>
          <w:highlight w:val="none"/>
        </w:rPr>
      </w:pPr>
      <w:bookmarkStart w:id="179" w:name="7.1_定标方式"/>
      <w:bookmarkEnd w:id="179"/>
      <w:r>
        <w:rPr>
          <w:rFonts w:hint="eastAsia"/>
          <w:sz w:val="21"/>
          <w:szCs w:val="21"/>
          <w:highlight w:val="none"/>
        </w:rPr>
        <w:t>定标方式</w:t>
      </w:r>
      <w:bookmarkStart w:id="180" w:name="由评标委员会根据评标报告中分数由高到低的顺序直接确定排名第一的投标人为中标单位。"/>
      <w:bookmarkEnd w:id="180"/>
    </w:p>
    <w:p w14:paraId="10A4ECD1">
      <w:pPr>
        <w:pStyle w:val="16"/>
        <w:spacing w:line="364" w:lineRule="auto"/>
        <w:ind w:left="673" w:right="440" w:rightChars="0" w:firstLine="480"/>
        <w:rPr>
          <w:sz w:val="21"/>
          <w:szCs w:val="21"/>
          <w:highlight w:val="none"/>
        </w:rPr>
      </w:pPr>
      <w:bookmarkStart w:id="181" w:name="由评标委员会根据评标汇总得分情况，由高向低推荐前三名为中标候选人，经公示后，若无"/>
      <w:bookmarkEnd w:id="181"/>
      <w:r>
        <w:rPr>
          <w:rFonts w:hint="eastAsia"/>
          <w:sz w:val="21"/>
          <w:szCs w:val="21"/>
          <w:highlight w:val="none"/>
        </w:rPr>
        <w:t>由评标委员会根据评标汇总得分情况，由高向低推荐前三名为中标候选人，经公</w:t>
      </w:r>
      <w:r>
        <w:rPr>
          <w:rFonts w:hint="eastAsia"/>
          <w:spacing w:val="-8"/>
          <w:sz w:val="21"/>
          <w:szCs w:val="21"/>
          <w:highlight w:val="none"/>
        </w:rPr>
        <w:t>示后，若无异议，排名第一的中标候选人为中标人。排名第一的中标候选人放弃中标、</w:t>
      </w:r>
      <w:r>
        <w:rPr>
          <w:rFonts w:hint="eastAsia"/>
          <w:sz w:val="21"/>
          <w:szCs w:val="21"/>
          <w:highlight w:val="none"/>
        </w:rPr>
        <w:t>因不可抗力不能履行合同、不按照招标文件要求提交履约保证金，项目经理不能依法履约、中标单位要求更换项目经理甲方不同意的，或者被查实存在影响中标结果的违法行为等情形，不符合中标条件的，</w:t>
      </w:r>
      <w:r>
        <w:rPr>
          <w:rFonts w:hint="eastAsia"/>
          <w:sz w:val="21"/>
          <w:szCs w:val="21"/>
          <w:highlight w:val="none"/>
          <w:lang w:eastAsia="zh-CN"/>
        </w:rPr>
        <w:t>招标人</w:t>
      </w:r>
      <w:r>
        <w:rPr>
          <w:rFonts w:hint="eastAsia"/>
          <w:sz w:val="21"/>
          <w:szCs w:val="21"/>
          <w:highlight w:val="none"/>
        </w:rPr>
        <w:t>有权取消其中标资格，已发放中标通知书的中标通知书作废，</w:t>
      </w:r>
      <w:r>
        <w:rPr>
          <w:rFonts w:hint="eastAsia"/>
          <w:sz w:val="21"/>
          <w:szCs w:val="21"/>
          <w:highlight w:val="none"/>
          <w:lang w:eastAsia="zh-CN"/>
        </w:rPr>
        <w:t>招标人</w:t>
      </w:r>
      <w:r>
        <w:rPr>
          <w:rFonts w:hint="eastAsia"/>
          <w:sz w:val="21"/>
          <w:szCs w:val="21"/>
          <w:highlight w:val="none"/>
        </w:rPr>
        <w:t>可以按照评标委员会提出的中标候选人名单排序依次确定其他中标候选人为中标人，也可以立即开展重新招标。以此类推，如果所有中标候选人均出现上述情形，则招标失败，</w:t>
      </w:r>
      <w:r>
        <w:rPr>
          <w:rFonts w:hint="eastAsia"/>
          <w:sz w:val="21"/>
          <w:szCs w:val="21"/>
          <w:highlight w:val="none"/>
          <w:lang w:eastAsia="zh-CN"/>
        </w:rPr>
        <w:t>招标人</w:t>
      </w:r>
      <w:r>
        <w:rPr>
          <w:rFonts w:hint="eastAsia"/>
          <w:sz w:val="21"/>
          <w:szCs w:val="21"/>
          <w:highlight w:val="none"/>
        </w:rPr>
        <w:t>依法重新组织招标。</w:t>
      </w:r>
    </w:p>
    <w:p w14:paraId="29240468">
      <w:pPr>
        <w:pStyle w:val="70"/>
        <w:numPr>
          <w:ilvl w:val="1"/>
          <w:numId w:val="32"/>
        </w:numPr>
        <w:tabs>
          <w:tab w:val="left" w:pos="1634"/>
        </w:tabs>
        <w:spacing w:line="303" w:lineRule="exact"/>
        <w:ind w:hanging="481"/>
        <w:jc w:val="both"/>
        <w:rPr>
          <w:sz w:val="21"/>
          <w:szCs w:val="21"/>
          <w:highlight w:val="none"/>
        </w:rPr>
      </w:pPr>
      <w:bookmarkStart w:id="182" w:name="7.2_中标通知"/>
      <w:bookmarkEnd w:id="182"/>
      <w:r>
        <w:rPr>
          <w:rFonts w:hint="eastAsia"/>
          <w:sz w:val="21"/>
          <w:szCs w:val="21"/>
          <w:highlight w:val="none"/>
        </w:rPr>
        <w:t>中标通知</w:t>
      </w:r>
    </w:p>
    <w:p w14:paraId="17EEDCF2">
      <w:pPr>
        <w:pStyle w:val="70"/>
        <w:numPr>
          <w:ilvl w:val="2"/>
          <w:numId w:val="32"/>
        </w:numPr>
        <w:tabs>
          <w:tab w:val="left" w:pos="1814"/>
        </w:tabs>
        <w:spacing w:before="160" w:line="364" w:lineRule="auto"/>
        <w:ind w:right="1291" w:firstLine="480"/>
        <w:jc w:val="both"/>
        <w:rPr>
          <w:rFonts w:hint="eastAsia"/>
          <w:spacing w:val="-15"/>
          <w:sz w:val="21"/>
          <w:szCs w:val="21"/>
          <w:highlight w:val="none"/>
        </w:rPr>
      </w:pPr>
      <w:bookmarkStart w:id="183" w:name="7.2.1采购代理机构在评标结束后2个工作日内将评标报告送采购人，采购人应当在收"/>
      <w:bookmarkEnd w:id="183"/>
      <w:r>
        <w:rPr>
          <w:rFonts w:hint="eastAsia"/>
          <w:spacing w:val="-5"/>
          <w:sz w:val="21"/>
          <w:szCs w:val="21"/>
          <w:highlight w:val="none"/>
          <w:lang w:eastAsia="zh-CN"/>
        </w:rPr>
        <w:t>招标代理机构</w:t>
      </w:r>
      <w:r>
        <w:rPr>
          <w:rFonts w:hint="eastAsia"/>
          <w:spacing w:val="-5"/>
          <w:sz w:val="21"/>
          <w:szCs w:val="21"/>
          <w:highlight w:val="none"/>
        </w:rPr>
        <w:t xml:space="preserve">在评标结束后 </w:t>
      </w:r>
      <w:r>
        <w:rPr>
          <w:rFonts w:hint="eastAsia"/>
          <w:sz w:val="21"/>
          <w:szCs w:val="21"/>
          <w:highlight w:val="none"/>
          <w:lang w:val="en-US" w:eastAsia="zh-CN"/>
        </w:rPr>
        <w:t>1</w:t>
      </w:r>
      <w:r>
        <w:rPr>
          <w:rFonts w:hint="eastAsia"/>
          <w:spacing w:val="-15"/>
          <w:sz w:val="21"/>
          <w:szCs w:val="21"/>
          <w:highlight w:val="none"/>
        </w:rPr>
        <w:t xml:space="preserve"> 个工作日内将评标报告送</w:t>
      </w:r>
      <w:r>
        <w:rPr>
          <w:rFonts w:hint="eastAsia"/>
          <w:spacing w:val="-15"/>
          <w:sz w:val="21"/>
          <w:szCs w:val="21"/>
          <w:highlight w:val="none"/>
          <w:lang w:eastAsia="zh-CN"/>
        </w:rPr>
        <w:t>招标人</w:t>
      </w:r>
      <w:r>
        <w:rPr>
          <w:rFonts w:hint="eastAsia"/>
          <w:spacing w:val="-15"/>
          <w:sz w:val="21"/>
          <w:szCs w:val="21"/>
          <w:highlight w:val="none"/>
        </w:rPr>
        <w:t>，</w:t>
      </w:r>
    </w:p>
    <w:p w14:paraId="055DF43D">
      <w:pPr>
        <w:pStyle w:val="70"/>
        <w:numPr>
          <w:ilvl w:val="2"/>
          <w:numId w:val="32"/>
        </w:numPr>
        <w:tabs>
          <w:tab w:val="left" w:pos="1814"/>
        </w:tabs>
        <w:spacing w:before="160" w:line="364" w:lineRule="auto"/>
        <w:ind w:right="440" w:rightChars="0" w:firstLine="480"/>
        <w:jc w:val="both"/>
        <w:rPr>
          <w:sz w:val="21"/>
          <w:szCs w:val="21"/>
          <w:highlight w:val="none"/>
        </w:rPr>
      </w:pPr>
      <w:r>
        <w:rPr>
          <w:rFonts w:hint="eastAsia"/>
          <w:spacing w:val="-15"/>
          <w:sz w:val="21"/>
          <w:szCs w:val="21"/>
          <w:highlight w:val="none"/>
          <w:lang w:val="en-US" w:eastAsia="zh-CN"/>
        </w:rPr>
        <w:t>招标人收到评标报告3日内对中标候选人情况进行公示，公示期不少于3日，无异议后甲方须在一个工作日内出具中标复函后发布中标结果公示及中标公告，并且同时发布中标通知书；</w:t>
      </w:r>
    </w:p>
    <w:p w14:paraId="06EA015A">
      <w:pPr>
        <w:pStyle w:val="70"/>
        <w:numPr>
          <w:ilvl w:val="2"/>
          <w:numId w:val="32"/>
        </w:numPr>
        <w:tabs>
          <w:tab w:val="left" w:pos="1814"/>
        </w:tabs>
        <w:spacing w:line="364" w:lineRule="auto"/>
        <w:ind w:right="440" w:rightChars="0" w:firstLine="480"/>
        <w:jc w:val="both"/>
        <w:rPr>
          <w:sz w:val="21"/>
          <w:szCs w:val="21"/>
          <w:highlight w:val="none"/>
        </w:rPr>
      </w:pPr>
      <w:bookmarkStart w:id="184" w:name="7.2.2在公示期内，未接到投标人对评标结果提出异议或未接到招标行政监督部门通知"/>
      <w:bookmarkEnd w:id="184"/>
      <w:r>
        <w:rPr>
          <w:rFonts w:hint="eastAsia"/>
          <w:spacing w:val="-12"/>
          <w:sz w:val="21"/>
          <w:szCs w:val="21"/>
          <w:highlight w:val="none"/>
        </w:rPr>
        <w:t>在公示期内，未接到投标人对评标结果提出异议或未接到招标行政监督部门</w:t>
      </w:r>
      <w:r>
        <w:rPr>
          <w:rFonts w:hint="eastAsia"/>
          <w:sz w:val="21"/>
          <w:szCs w:val="21"/>
          <w:highlight w:val="none"/>
        </w:rPr>
        <w:t>通知</w:t>
      </w:r>
      <w:r>
        <w:rPr>
          <w:rFonts w:hint="eastAsia"/>
          <w:sz w:val="21"/>
          <w:szCs w:val="21"/>
          <w:highlight w:val="none"/>
          <w:lang w:eastAsia="zh-CN"/>
        </w:rPr>
        <w:t>招标人</w:t>
      </w:r>
      <w:r>
        <w:rPr>
          <w:rFonts w:hint="eastAsia"/>
          <w:sz w:val="21"/>
          <w:szCs w:val="21"/>
          <w:highlight w:val="none"/>
        </w:rPr>
        <w:t>在招投标活动中有违法行为时，公示期满后，</w:t>
      </w:r>
      <w:r>
        <w:rPr>
          <w:rFonts w:hint="eastAsia"/>
          <w:sz w:val="21"/>
          <w:szCs w:val="21"/>
          <w:highlight w:val="none"/>
          <w:lang w:eastAsia="zh-CN"/>
        </w:rPr>
        <w:t>招标人</w:t>
      </w:r>
      <w:r>
        <w:rPr>
          <w:rFonts w:hint="eastAsia"/>
          <w:sz w:val="21"/>
          <w:szCs w:val="21"/>
          <w:highlight w:val="none"/>
        </w:rPr>
        <w:t>将向第一中标候选人发出中标通知书，并向相关机构备案。</w:t>
      </w:r>
    </w:p>
    <w:p w14:paraId="160108A7">
      <w:pPr>
        <w:pStyle w:val="70"/>
        <w:numPr>
          <w:ilvl w:val="1"/>
          <w:numId w:val="32"/>
        </w:numPr>
        <w:tabs>
          <w:tab w:val="left" w:pos="1634"/>
        </w:tabs>
        <w:spacing w:line="305" w:lineRule="exact"/>
        <w:ind w:hanging="481"/>
        <w:jc w:val="both"/>
        <w:rPr>
          <w:sz w:val="21"/>
          <w:szCs w:val="21"/>
          <w:highlight w:val="none"/>
        </w:rPr>
      </w:pPr>
      <w:bookmarkStart w:id="185" w:name="7.3_履约担保"/>
      <w:bookmarkEnd w:id="185"/>
      <w:r>
        <w:rPr>
          <w:rFonts w:hint="eastAsia"/>
          <w:sz w:val="21"/>
          <w:szCs w:val="21"/>
          <w:highlight w:val="none"/>
        </w:rPr>
        <w:t>履约担保</w:t>
      </w:r>
    </w:p>
    <w:p w14:paraId="5197F328">
      <w:pPr>
        <w:pStyle w:val="70"/>
        <w:numPr>
          <w:ilvl w:val="2"/>
          <w:numId w:val="32"/>
        </w:numPr>
        <w:tabs>
          <w:tab w:val="left" w:pos="1814"/>
        </w:tabs>
        <w:spacing w:before="158" w:line="362" w:lineRule="auto"/>
        <w:ind w:right="440" w:rightChars="0" w:firstLine="480"/>
        <w:jc w:val="both"/>
        <w:rPr>
          <w:sz w:val="21"/>
          <w:szCs w:val="21"/>
          <w:highlight w:val="none"/>
        </w:rPr>
      </w:pPr>
      <w:bookmarkStart w:id="186" w:name="7.3.1在签订合同前，中标人应按投标人须知前附表规定的金额、担保形式和招标文件"/>
      <w:bookmarkEnd w:id="186"/>
      <w:r>
        <w:rPr>
          <w:rFonts w:hint="eastAsia"/>
          <w:spacing w:val="-10"/>
          <w:sz w:val="21"/>
          <w:szCs w:val="21"/>
          <w:highlight w:val="none"/>
        </w:rPr>
        <w:t>在签订合同前，中标人应按投标人须知前附表规定的金额、担保形式和招标</w:t>
      </w:r>
      <w:r>
        <w:rPr>
          <w:rFonts w:hint="eastAsia"/>
          <w:sz w:val="21"/>
          <w:szCs w:val="21"/>
          <w:highlight w:val="none"/>
        </w:rPr>
        <w:t>文件第四章“合同条款及格式”规定的履约担保格式向</w:t>
      </w:r>
      <w:r>
        <w:rPr>
          <w:rFonts w:hint="eastAsia"/>
          <w:sz w:val="21"/>
          <w:szCs w:val="21"/>
          <w:highlight w:val="none"/>
          <w:lang w:eastAsia="zh-CN"/>
        </w:rPr>
        <w:t>招标人</w:t>
      </w:r>
      <w:r>
        <w:rPr>
          <w:rFonts w:hint="eastAsia"/>
          <w:sz w:val="21"/>
          <w:szCs w:val="21"/>
          <w:highlight w:val="none"/>
        </w:rPr>
        <w:t>提交履约担保。</w:t>
      </w:r>
      <w:bookmarkStart w:id="187" w:name="7.3.2_中标人不能按本章第7.3.1项要求提交履约担保的，视为放弃中标。"/>
      <w:bookmarkEnd w:id="187"/>
      <w:r>
        <w:rPr>
          <w:rFonts w:hint="eastAsia"/>
          <w:spacing w:val="-6"/>
          <w:sz w:val="21"/>
          <w:szCs w:val="21"/>
          <w:highlight w:val="none"/>
        </w:rPr>
        <w:t xml:space="preserve">中标人不能按本章第 </w:t>
      </w:r>
      <w:r>
        <w:rPr>
          <w:rFonts w:hint="eastAsia"/>
          <w:sz w:val="21"/>
          <w:szCs w:val="21"/>
          <w:highlight w:val="none"/>
        </w:rPr>
        <w:t>7.3.1</w:t>
      </w:r>
      <w:r>
        <w:rPr>
          <w:rFonts w:hint="eastAsia"/>
          <w:spacing w:val="-8"/>
          <w:sz w:val="21"/>
          <w:szCs w:val="21"/>
          <w:highlight w:val="none"/>
        </w:rPr>
        <w:t xml:space="preserve"> 项要求提交履约担保的，视为放弃中标。</w:t>
      </w:r>
    </w:p>
    <w:p w14:paraId="1E7FB4AB">
      <w:pPr>
        <w:pStyle w:val="70"/>
        <w:numPr>
          <w:ilvl w:val="1"/>
          <w:numId w:val="32"/>
        </w:numPr>
        <w:tabs>
          <w:tab w:val="left" w:pos="1574"/>
        </w:tabs>
        <w:spacing w:before="160"/>
        <w:ind w:left="1573" w:hanging="421"/>
        <w:jc w:val="both"/>
        <w:rPr>
          <w:sz w:val="21"/>
          <w:szCs w:val="21"/>
          <w:highlight w:val="none"/>
        </w:rPr>
      </w:pPr>
      <w:bookmarkStart w:id="188" w:name="7.4签订合同"/>
      <w:bookmarkEnd w:id="188"/>
      <w:r>
        <w:rPr>
          <w:rFonts w:hint="eastAsia"/>
          <w:sz w:val="21"/>
          <w:szCs w:val="21"/>
          <w:highlight w:val="none"/>
        </w:rPr>
        <w:t>签订合同</w:t>
      </w:r>
    </w:p>
    <w:p w14:paraId="4EAF2FB6">
      <w:pPr>
        <w:pStyle w:val="70"/>
        <w:numPr>
          <w:ilvl w:val="2"/>
          <w:numId w:val="32"/>
        </w:numPr>
        <w:tabs>
          <w:tab w:val="left" w:pos="1814"/>
        </w:tabs>
        <w:spacing w:before="158" w:line="364" w:lineRule="auto"/>
        <w:ind w:right="440" w:rightChars="0" w:firstLine="480"/>
        <w:jc w:val="both"/>
        <w:rPr>
          <w:sz w:val="21"/>
          <w:szCs w:val="21"/>
          <w:highlight w:val="none"/>
        </w:rPr>
      </w:pPr>
      <w:bookmarkStart w:id="189" w:name="7.4.1采购人和中标人应当自中标通知书发出之日起30日内，根据招标文件和中标人"/>
      <w:bookmarkEnd w:id="189"/>
      <w:r>
        <w:rPr>
          <w:rFonts w:hint="eastAsia"/>
          <w:spacing w:val="-3"/>
          <w:sz w:val="21"/>
          <w:szCs w:val="21"/>
          <w:highlight w:val="none"/>
          <w:lang w:eastAsia="zh-CN"/>
        </w:rPr>
        <w:t>招标人</w:t>
      </w:r>
      <w:r>
        <w:rPr>
          <w:rFonts w:hint="eastAsia"/>
          <w:spacing w:val="-3"/>
          <w:sz w:val="21"/>
          <w:szCs w:val="21"/>
          <w:highlight w:val="none"/>
        </w:rPr>
        <w:t xml:space="preserve">和中标人应当自中标通知书发出之日起 </w:t>
      </w:r>
      <w:r>
        <w:rPr>
          <w:rFonts w:hint="eastAsia"/>
          <w:sz w:val="21"/>
          <w:szCs w:val="21"/>
          <w:highlight w:val="none"/>
        </w:rPr>
        <w:t>30</w:t>
      </w:r>
      <w:r>
        <w:rPr>
          <w:rFonts w:hint="eastAsia"/>
          <w:spacing w:val="-9"/>
          <w:sz w:val="21"/>
          <w:szCs w:val="21"/>
          <w:highlight w:val="none"/>
        </w:rPr>
        <w:t xml:space="preserve"> 日内，根据招标文件和中</w:t>
      </w:r>
      <w:r>
        <w:rPr>
          <w:rFonts w:hint="eastAsia"/>
          <w:sz w:val="21"/>
          <w:szCs w:val="21"/>
          <w:highlight w:val="none"/>
        </w:rPr>
        <w:t>标人的投标文件订立书面合同。中标人无正当理由拒签合同的，</w:t>
      </w:r>
      <w:r>
        <w:rPr>
          <w:rFonts w:hint="eastAsia"/>
          <w:sz w:val="21"/>
          <w:szCs w:val="21"/>
          <w:highlight w:val="none"/>
          <w:lang w:eastAsia="zh-CN"/>
        </w:rPr>
        <w:t>招标人</w:t>
      </w:r>
      <w:r>
        <w:rPr>
          <w:rFonts w:hint="eastAsia"/>
          <w:sz w:val="21"/>
          <w:szCs w:val="21"/>
          <w:highlight w:val="none"/>
        </w:rPr>
        <w:t>取消其中标资格；给</w:t>
      </w:r>
      <w:r>
        <w:rPr>
          <w:rFonts w:hint="eastAsia"/>
          <w:sz w:val="21"/>
          <w:szCs w:val="21"/>
          <w:highlight w:val="none"/>
          <w:lang w:eastAsia="zh-CN"/>
        </w:rPr>
        <w:t>招标人</w:t>
      </w:r>
      <w:r>
        <w:rPr>
          <w:rFonts w:hint="eastAsia"/>
          <w:sz w:val="21"/>
          <w:szCs w:val="21"/>
          <w:highlight w:val="none"/>
        </w:rPr>
        <w:t>造成损失的，中标人应当予以赔偿，赔偿金额由</w:t>
      </w:r>
      <w:r>
        <w:rPr>
          <w:rFonts w:hint="eastAsia"/>
          <w:sz w:val="21"/>
          <w:szCs w:val="21"/>
          <w:highlight w:val="none"/>
          <w:lang w:eastAsia="zh-CN"/>
        </w:rPr>
        <w:t>招标人</w:t>
      </w:r>
      <w:r>
        <w:rPr>
          <w:rFonts w:hint="eastAsia"/>
          <w:sz w:val="21"/>
          <w:szCs w:val="21"/>
          <w:highlight w:val="none"/>
        </w:rPr>
        <w:t>与中标人协商决定。</w:t>
      </w:r>
    </w:p>
    <w:p w14:paraId="06197E23">
      <w:pPr>
        <w:pStyle w:val="70"/>
        <w:numPr>
          <w:ilvl w:val="2"/>
          <w:numId w:val="32"/>
        </w:numPr>
        <w:tabs>
          <w:tab w:val="left" w:pos="1874"/>
        </w:tabs>
        <w:spacing w:line="362" w:lineRule="auto"/>
        <w:ind w:right="440" w:rightChars="0" w:firstLine="480"/>
        <w:jc w:val="both"/>
        <w:rPr>
          <w:sz w:val="21"/>
          <w:szCs w:val="21"/>
          <w:highlight w:val="none"/>
        </w:rPr>
      </w:pPr>
      <w:bookmarkStart w:id="190" w:name="7.4.2_发出中标通知书后，采购人无正当理由拒签合同，如给中标人造成损失的，应"/>
      <w:bookmarkEnd w:id="190"/>
      <w:r>
        <w:rPr>
          <w:rFonts w:hint="eastAsia"/>
          <w:spacing w:val="-5"/>
          <w:sz w:val="21"/>
          <w:szCs w:val="21"/>
          <w:highlight w:val="none"/>
        </w:rPr>
        <w:t>发出中标通知书后，</w:t>
      </w:r>
      <w:r>
        <w:rPr>
          <w:rFonts w:hint="eastAsia"/>
          <w:spacing w:val="-5"/>
          <w:sz w:val="21"/>
          <w:szCs w:val="21"/>
          <w:highlight w:val="none"/>
          <w:lang w:eastAsia="zh-CN"/>
        </w:rPr>
        <w:t>招标人</w:t>
      </w:r>
      <w:r>
        <w:rPr>
          <w:rFonts w:hint="eastAsia"/>
          <w:spacing w:val="-5"/>
          <w:sz w:val="21"/>
          <w:szCs w:val="21"/>
          <w:highlight w:val="none"/>
        </w:rPr>
        <w:t xml:space="preserve">无正当理由拒签合同，如给中标人造成损失的， </w:t>
      </w:r>
      <w:r>
        <w:rPr>
          <w:rFonts w:hint="eastAsia"/>
          <w:sz w:val="21"/>
          <w:szCs w:val="21"/>
          <w:highlight w:val="none"/>
        </w:rPr>
        <w:t>应当赔偿损失。</w:t>
      </w:r>
    </w:p>
    <w:p w14:paraId="208222AF">
      <w:pPr>
        <w:pStyle w:val="70"/>
        <w:numPr>
          <w:ilvl w:val="1"/>
          <w:numId w:val="32"/>
        </w:numPr>
        <w:tabs>
          <w:tab w:val="left" w:pos="1100"/>
        </w:tabs>
        <w:spacing w:before="5"/>
        <w:ind w:left="1573" w:hanging="421"/>
        <w:jc w:val="both"/>
        <w:rPr>
          <w:sz w:val="21"/>
          <w:szCs w:val="21"/>
          <w:highlight w:val="none"/>
        </w:rPr>
      </w:pPr>
      <w:bookmarkStart w:id="191" w:name="7.5合同履行"/>
      <w:bookmarkEnd w:id="191"/>
      <w:r>
        <w:rPr>
          <w:rFonts w:hint="eastAsia"/>
          <w:sz w:val="21"/>
          <w:szCs w:val="21"/>
          <w:highlight w:val="none"/>
        </w:rPr>
        <w:t>合同履行</w:t>
      </w:r>
    </w:p>
    <w:p w14:paraId="2F716673">
      <w:pPr>
        <w:pStyle w:val="70"/>
        <w:numPr>
          <w:ilvl w:val="2"/>
          <w:numId w:val="32"/>
        </w:numPr>
        <w:tabs>
          <w:tab w:val="left" w:pos="1876"/>
        </w:tabs>
        <w:spacing w:before="158" w:line="364" w:lineRule="auto"/>
        <w:ind w:right="440" w:rightChars="0" w:firstLine="480"/>
        <w:jc w:val="both"/>
        <w:rPr>
          <w:sz w:val="21"/>
          <w:szCs w:val="21"/>
          <w:highlight w:val="none"/>
        </w:rPr>
      </w:pPr>
      <w:bookmarkStart w:id="192" w:name="7.5.1_政府采购合同订立后，合同各方不得擅自变更或者中止或者终止合同。政府采"/>
      <w:bookmarkEnd w:id="192"/>
      <w:r>
        <w:rPr>
          <w:rFonts w:hint="eastAsia"/>
          <w:sz w:val="21"/>
          <w:szCs w:val="21"/>
          <w:highlight w:val="none"/>
        </w:rPr>
        <w:t>政府采购合同订立后，合同各方不得擅自变更或者中止或者终止合同。政府采购合同需要变更的，</w:t>
      </w:r>
      <w:r>
        <w:rPr>
          <w:rFonts w:hint="eastAsia"/>
          <w:sz w:val="21"/>
          <w:szCs w:val="21"/>
          <w:highlight w:val="none"/>
          <w:lang w:eastAsia="zh-CN"/>
        </w:rPr>
        <w:t>招标人</w:t>
      </w:r>
      <w:r>
        <w:rPr>
          <w:rFonts w:hint="eastAsia"/>
          <w:sz w:val="21"/>
          <w:szCs w:val="21"/>
          <w:highlight w:val="none"/>
        </w:rPr>
        <w:t>应将有关合同变更内容，以书面形式报政府采购监督管理部门备案；因特殊情况需要中止或终止合同的，</w:t>
      </w:r>
      <w:r>
        <w:rPr>
          <w:rFonts w:hint="eastAsia"/>
          <w:sz w:val="21"/>
          <w:szCs w:val="21"/>
          <w:highlight w:val="none"/>
          <w:lang w:eastAsia="zh-CN"/>
        </w:rPr>
        <w:t>招标人</w:t>
      </w:r>
      <w:r>
        <w:rPr>
          <w:rFonts w:hint="eastAsia"/>
          <w:sz w:val="21"/>
          <w:szCs w:val="21"/>
          <w:highlight w:val="none"/>
        </w:rPr>
        <w:t>应将中止或终止合同的理由以及相应措施，以书面形式报政府采购监督管理部门备案。</w:t>
      </w:r>
    </w:p>
    <w:p w14:paraId="75A2906C">
      <w:pPr>
        <w:pStyle w:val="70"/>
        <w:numPr>
          <w:ilvl w:val="2"/>
          <w:numId w:val="32"/>
        </w:numPr>
        <w:tabs>
          <w:tab w:val="left" w:pos="1876"/>
        </w:tabs>
        <w:spacing w:line="364" w:lineRule="auto"/>
        <w:ind w:right="440" w:rightChars="0" w:firstLine="480"/>
        <w:jc w:val="both"/>
        <w:rPr>
          <w:sz w:val="21"/>
          <w:szCs w:val="21"/>
          <w:highlight w:val="none"/>
        </w:rPr>
      </w:pPr>
      <w:bookmarkStart w:id="193" w:name="7.5.2_政府采购合同履行中，采购人需追加与合同标的相同的服务的，在不改变合同"/>
      <w:bookmarkEnd w:id="193"/>
      <w:r>
        <w:rPr>
          <w:rFonts w:hint="eastAsia"/>
          <w:sz w:val="21"/>
          <w:szCs w:val="21"/>
          <w:highlight w:val="none"/>
        </w:rPr>
        <w:t>政府采购合同履行中，</w:t>
      </w:r>
      <w:r>
        <w:rPr>
          <w:rFonts w:hint="eastAsia"/>
          <w:sz w:val="21"/>
          <w:szCs w:val="21"/>
          <w:highlight w:val="none"/>
          <w:lang w:eastAsia="zh-CN"/>
        </w:rPr>
        <w:t>招标人</w:t>
      </w:r>
      <w:r>
        <w:rPr>
          <w:rFonts w:hint="eastAsia"/>
          <w:sz w:val="21"/>
          <w:szCs w:val="21"/>
          <w:highlight w:val="none"/>
        </w:rPr>
        <w:t>需追加与合同标的相同的服务的，在不改变合同其他条款的前提下，可以与中标人签订补充合同，但所补充合同的采购金额不得超过原合同采购金额的百分之十。签订补充合同的应按规定备案。</w:t>
      </w:r>
    </w:p>
    <w:p w14:paraId="2C30D319">
      <w:pPr>
        <w:pStyle w:val="70"/>
        <w:numPr>
          <w:ilvl w:val="1"/>
          <w:numId w:val="32"/>
        </w:numPr>
        <w:tabs>
          <w:tab w:val="left" w:pos="1574"/>
        </w:tabs>
        <w:spacing w:line="307" w:lineRule="exact"/>
        <w:ind w:left="1573" w:hanging="421"/>
        <w:jc w:val="both"/>
        <w:rPr>
          <w:sz w:val="21"/>
          <w:szCs w:val="21"/>
          <w:highlight w:val="none"/>
        </w:rPr>
      </w:pPr>
      <w:bookmarkStart w:id="194" w:name="7.6履约验收"/>
      <w:bookmarkEnd w:id="194"/>
      <w:r>
        <w:rPr>
          <w:rFonts w:hint="eastAsia"/>
          <w:sz w:val="21"/>
          <w:szCs w:val="21"/>
          <w:highlight w:val="none"/>
        </w:rPr>
        <w:t>履约验收</w:t>
      </w:r>
    </w:p>
    <w:p w14:paraId="17840F60">
      <w:pPr>
        <w:pStyle w:val="70"/>
        <w:numPr>
          <w:ilvl w:val="2"/>
          <w:numId w:val="32"/>
        </w:numPr>
        <w:tabs>
          <w:tab w:val="left" w:pos="1814"/>
        </w:tabs>
        <w:spacing w:before="156" w:line="364" w:lineRule="auto"/>
        <w:ind w:right="440" w:rightChars="0" w:firstLine="480"/>
        <w:jc w:val="both"/>
        <w:rPr>
          <w:sz w:val="21"/>
          <w:szCs w:val="21"/>
          <w:highlight w:val="none"/>
        </w:rPr>
      </w:pPr>
      <w:bookmarkStart w:id="195" w:name="7.6.1政府采购合同的履行、违约责任和解决争议的方法等适用《中华人民共和国民法"/>
      <w:bookmarkEnd w:id="195"/>
      <w:r>
        <w:rPr>
          <w:rFonts w:hint="eastAsia"/>
          <w:spacing w:val="-9"/>
          <w:sz w:val="21"/>
          <w:szCs w:val="21"/>
          <w:highlight w:val="none"/>
        </w:rPr>
        <w:t>政府采购合同的履行、违约责任和解决争议的方法等适用《中华人民共和国</w:t>
      </w:r>
      <w:r>
        <w:rPr>
          <w:rFonts w:hint="eastAsia"/>
          <w:sz w:val="21"/>
          <w:szCs w:val="21"/>
          <w:highlight w:val="none"/>
        </w:rPr>
        <w:t>民法典》。</w:t>
      </w:r>
      <w:r>
        <w:rPr>
          <w:rFonts w:hint="eastAsia"/>
          <w:sz w:val="21"/>
          <w:szCs w:val="21"/>
          <w:highlight w:val="none"/>
          <w:lang w:eastAsia="zh-CN"/>
        </w:rPr>
        <w:t>招标人</w:t>
      </w:r>
      <w:r>
        <w:rPr>
          <w:rFonts w:hint="eastAsia"/>
          <w:sz w:val="21"/>
          <w:szCs w:val="21"/>
          <w:highlight w:val="none"/>
        </w:rPr>
        <w:t>按照政府采购合同规定的技术、服务、安全标准组织对</w:t>
      </w:r>
      <w:r>
        <w:rPr>
          <w:rFonts w:hint="eastAsia"/>
          <w:sz w:val="21"/>
          <w:szCs w:val="21"/>
          <w:highlight w:val="none"/>
          <w:lang w:eastAsia="zh-CN"/>
        </w:rPr>
        <w:t>投标人</w:t>
      </w:r>
      <w:r>
        <w:rPr>
          <w:rFonts w:hint="eastAsia"/>
          <w:sz w:val="21"/>
          <w:szCs w:val="21"/>
          <w:highlight w:val="none"/>
        </w:rPr>
        <w:t>履约情况进行验收，并出具验收书。</w:t>
      </w:r>
    </w:p>
    <w:p w14:paraId="4DF4A735">
      <w:pPr>
        <w:pStyle w:val="8"/>
        <w:spacing w:before="100"/>
        <w:ind w:left="956" w:right="1096"/>
        <w:jc w:val="center"/>
        <w:rPr>
          <w:sz w:val="21"/>
          <w:szCs w:val="21"/>
          <w:highlight w:val="none"/>
        </w:rPr>
      </w:pPr>
      <w:bookmarkStart w:id="196" w:name="八、质疑与投诉"/>
      <w:bookmarkEnd w:id="196"/>
      <w:r>
        <w:rPr>
          <w:rFonts w:hint="eastAsia"/>
          <w:sz w:val="21"/>
          <w:szCs w:val="21"/>
          <w:highlight w:val="none"/>
        </w:rPr>
        <w:t>八、质疑与投诉</w:t>
      </w:r>
    </w:p>
    <w:p w14:paraId="3C9C83EE">
      <w:pPr>
        <w:pStyle w:val="16"/>
        <w:spacing w:before="9"/>
        <w:rPr>
          <w:b/>
          <w:sz w:val="21"/>
          <w:szCs w:val="21"/>
          <w:highlight w:val="none"/>
        </w:rPr>
      </w:pPr>
    </w:p>
    <w:p w14:paraId="5546B1C8">
      <w:pPr>
        <w:pStyle w:val="70"/>
        <w:numPr>
          <w:ilvl w:val="0"/>
          <w:numId w:val="0"/>
        </w:numPr>
        <w:tabs>
          <w:tab w:val="left" w:pos="1876"/>
        </w:tabs>
        <w:spacing w:line="364" w:lineRule="auto"/>
        <w:ind w:left="1153" w:leftChars="0" w:right="1293" w:rightChars="0"/>
        <w:jc w:val="both"/>
        <w:rPr>
          <w:rFonts w:hint="eastAsia"/>
          <w:sz w:val="21"/>
          <w:szCs w:val="21"/>
          <w:highlight w:val="none"/>
        </w:rPr>
      </w:pPr>
      <w:bookmarkStart w:id="197" w:name="九、其他"/>
      <w:bookmarkEnd w:id="197"/>
      <w:r>
        <w:rPr>
          <w:rFonts w:hint="eastAsia"/>
          <w:sz w:val="21"/>
          <w:szCs w:val="21"/>
          <w:highlight w:val="none"/>
          <w:lang w:val="en-US" w:eastAsia="zh-CN"/>
        </w:rPr>
        <w:t>8</w:t>
      </w:r>
      <w:r>
        <w:rPr>
          <w:rFonts w:hint="eastAsia"/>
          <w:sz w:val="21"/>
          <w:szCs w:val="21"/>
          <w:highlight w:val="none"/>
        </w:rPr>
        <w:t>.1质疑</w:t>
      </w:r>
    </w:p>
    <w:p w14:paraId="2EEB83DC">
      <w:pPr>
        <w:pStyle w:val="70"/>
        <w:numPr>
          <w:ilvl w:val="0"/>
          <w:numId w:val="0"/>
        </w:numPr>
        <w:tabs>
          <w:tab w:val="left" w:pos="1876"/>
        </w:tabs>
        <w:spacing w:line="364" w:lineRule="auto"/>
        <w:ind w:left="1153" w:leftChars="0" w:right="440" w:rightChars="0"/>
        <w:jc w:val="both"/>
        <w:rPr>
          <w:rFonts w:hint="eastAsia"/>
          <w:sz w:val="21"/>
          <w:szCs w:val="21"/>
          <w:highlight w:val="none"/>
        </w:rPr>
      </w:pPr>
      <w:r>
        <w:rPr>
          <w:rFonts w:hint="eastAsia"/>
          <w:sz w:val="21"/>
          <w:szCs w:val="21"/>
          <w:highlight w:val="none"/>
          <w:lang w:val="en-US" w:eastAsia="zh-CN"/>
        </w:rPr>
        <w:t>8</w:t>
      </w:r>
      <w:r>
        <w:rPr>
          <w:rFonts w:hint="eastAsia"/>
          <w:sz w:val="21"/>
          <w:szCs w:val="21"/>
          <w:highlight w:val="none"/>
        </w:rPr>
        <w:t>.1.1 如投标人对本次采购活动有疑问，认为需要提出质疑和投诉的，应当按照《政府采购质疑投诉办法》（财政部94号令）的有关规定办理。</w:t>
      </w:r>
    </w:p>
    <w:p w14:paraId="6CC4E67A">
      <w:pPr>
        <w:pStyle w:val="70"/>
        <w:numPr>
          <w:ilvl w:val="0"/>
          <w:numId w:val="0"/>
        </w:numPr>
        <w:tabs>
          <w:tab w:val="left" w:pos="1876"/>
        </w:tabs>
        <w:spacing w:line="364" w:lineRule="auto"/>
        <w:ind w:left="1153" w:leftChars="0" w:right="440" w:rightChars="0"/>
        <w:jc w:val="both"/>
        <w:rPr>
          <w:rFonts w:hint="eastAsia"/>
          <w:sz w:val="21"/>
          <w:szCs w:val="21"/>
          <w:highlight w:val="none"/>
        </w:rPr>
      </w:pPr>
      <w:r>
        <w:rPr>
          <w:rFonts w:hint="eastAsia"/>
          <w:sz w:val="21"/>
          <w:szCs w:val="21"/>
          <w:highlight w:val="none"/>
          <w:lang w:val="en-US" w:eastAsia="zh-CN"/>
        </w:rPr>
        <w:t>8</w:t>
      </w:r>
      <w:r>
        <w:rPr>
          <w:rFonts w:hint="eastAsia"/>
          <w:sz w:val="21"/>
          <w:szCs w:val="21"/>
          <w:highlight w:val="none"/>
        </w:rPr>
        <w:t>.1.2 投标人对采购文件、采购过程或中标结果使自身的合法权益受到损害，应当在法定期限内，按照质疑函范本格式要求以书面形式向采购代理机构或采购人提出质疑，并附必要的证明材料。</w:t>
      </w:r>
    </w:p>
    <w:p w14:paraId="0732093C">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lang w:val="en-US" w:eastAsia="zh-CN"/>
        </w:rPr>
        <w:t>8</w:t>
      </w:r>
      <w:r>
        <w:rPr>
          <w:rFonts w:hint="eastAsia"/>
          <w:sz w:val="21"/>
          <w:szCs w:val="21"/>
          <w:highlight w:val="none"/>
        </w:rPr>
        <w:t>.1.3 质疑函应当包括下列内容：</w:t>
      </w:r>
    </w:p>
    <w:p w14:paraId="44A2A808">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（1）投标人的姓名或者名称、地址、邮编、联系人及联系电话；</w:t>
      </w:r>
    </w:p>
    <w:p w14:paraId="5E0419D2">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（2）质疑项目的名称、编号；</w:t>
      </w:r>
    </w:p>
    <w:p w14:paraId="1885A7FF">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（3）具体、明确的质疑事项和与质疑事项相关的请求；</w:t>
      </w:r>
    </w:p>
    <w:p w14:paraId="22DA7E7B">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（4）事实依据；</w:t>
      </w:r>
    </w:p>
    <w:p w14:paraId="4AFBC84C">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（5）必要的法律依据；</w:t>
      </w:r>
    </w:p>
    <w:p w14:paraId="7B79AE08">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（6）提出质疑的日期。</w:t>
      </w:r>
    </w:p>
    <w:p w14:paraId="3DA8F38A">
      <w:pPr>
        <w:pStyle w:val="70"/>
        <w:numPr>
          <w:ilvl w:val="0"/>
          <w:numId w:val="0"/>
        </w:numPr>
        <w:tabs>
          <w:tab w:val="left" w:pos="1876"/>
        </w:tabs>
        <w:spacing w:line="364" w:lineRule="auto"/>
        <w:ind w:left="1153" w:leftChars="0" w:right="440" w:rightChars="0"/>
        <w:jc w:val="both"/>
        <w:rPr>
          <w:rFonts w:hint="eastAsia"/>
          <w:sz w:val="21"/>
          <w:szCs w:val="21"/>
          <w:highlight w:val="none"/>
        </w:rPr>
      </w:pPr>
      <w:r>
        <w:rPr>
          <w:rFonts w:hint="eastAsia"/>
          <w:sz w:val="21"/>
          <w:szCs w:val="21"/>
          <w:highlight w:val="none"/>
          <w:lang w:val="en-US" w:eastAsia="zh-CN"/>
        </w:rPr>
        <w:t>8.1.3</w:t>
      </w:r>
      <w:r>
        <w:rPr>
          <w:rFonts w:hint="eastAsia"/>
          <w:sz w:val="21"/>
          <w:szCs w:val="21"/>
          <w:highlight w:val="none"/>
        </w:rPr>
        <w:t>投标人为自然人的，应当由本人签名；投标人为法人或者其他组织的，应当由法定代表人、主要负责人，或者其授权代表签名或者盖章，并加盖单位章。</w:t>
      </w:r>
    </w:p>
    <w:p w14:paraId="494C30F5">
      <w:pPr>
        <w:pStyle w:val="70"/>
        <w:numPr>
          <w:ilvl w:val="0"/>
          <w:numId w:val="0"/>
        </w:numPr>
        <w:tabs>
          <w:tab w:val="left" w:pos="1876"/>
        </w:tabs>
        <w:spacing w:line="364" w:lineRule="auto"/>
        <w:ind w:left="1153" w:leftChars="0" w:right="440" w:rightChars="0"/>
        <w:jc w:val="both"/>
        <w:rPr>
          <w:rFonts w:hint="eastAsia"/>
          <w:sz w:val="21"/>
          <w:szCs w:val="21"/>
          <w:highlight w:val="none"/>
        </w:rPr>
      </w:pPr>
      <w:r>
        <w:rPr>
          <w:rFonts w:hint="eastAsia"/>
          <w:sz w:val="21"/>
          <w:szCs w:val="21"/>
          <w:highlight w:val="none"/>
          <w:lang w:val="en-US" w:eastAsia="zh-CN"/>
        </w:rPr>
        <w:t>8</w:t>
      </w:r>
      <w:r>
        <w:rPr>
          <w:rFonts w:hint="eastAsia"/>
          <w:sz w:val="21"/>
          <w:szCs w:val="21"/>
          <w:highlight w:val="none"/>
        </w:rPr>
        <w:t>.1.4质疑人可以委托代理人办理质疑事项，代理人办理质疑事项时，除提交质疑函外，还应当提交质疑人的授权委托书及代理人的有效身份证明，授权委托书应当载明委托代理的具体权限期限和相关事项。</w:t>
      </w:r>
    </w:p>
    <w:p w14:paraId="447E82E3">
      <w:pPr>
        <w:pStyle w:val="70"/>
        <w:numPr>
          <w:ilvl w:val="0"/>
          <w:numId w:val="0"/>
        </w:numPr>
        <w:tabs>
          <w:tab w:val="left" w:pos="1876"/>
        </w:tabs>
        <w:spacing w:line="364" w:lineRule="auto"/>
        <w:ind w:left="1153" w:leftChars="0" w:right="440" w:rightChars="0"/>
        <w:jc w:val="both"/>
        <w:rPr>
          <w:rFonts w:hint="eastAsia"/>
          <w:sz w:val="21"/>
          <w:szCs w:val="21"/>
          <w:highlight w:val="none"/>
        </w:rPr>
      </w:pPr>
      <w:r>
        <w:rPr>
          <w:rFonts w:hint="eastAsia"/>
          <w:sz w:val="21"/>
          <w:szCs w:val="21"/>
          <w:highlight w:val="none"/>
          <w:lang w:val="en-US" w:eastAsia="zh-CN"/>
        </w:rPr>
        <w:t>8</w:t>
      </w:r>
      <w:r>
        <w:rPr>
          <w:rFonts w:hint="eastAsia"/>
          <w:sz w:val="21"/>
          <w:szCs w:val="21"/>
          <w:highlight w:val="none"/>
        </w:rPr>
        <w:t>.1.5 质疑函范本格式在中国政府采购网站（http://www.ccgp.gov.cn/）自行下载。</w:t>
      </w:r>
    </w:p>
    <w:p w14:paraId="753CE57B">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lang w:val="en-US" w:eastAsia="zh-CN"/>
        </w:rPr>
        <w:t>8</w:t>
      </w:r>
      <w:r>
        <w:rPr>
          <w:rFonts w:hint="eastAsia"/>
          <w:sz w:val="21"/>
          <w:szCs w:val="21"/>
          <w:highlight w:val="none"/>
        </w:rPr>
        <w:t>.1.6 接收质疑函的联系部门、联系电话和通讯地址同招标公告。</w:t>
      </w:r>
    </w:p>
    <w:p w14:paraId="3D4A8206">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lang w:val="en-US" w:eastAsia="zh-CN"/>
        </w:rPr>
        <w:t>8</w:t>
      </w:r>
      <w:r>
        <w:rPr>
          <w:rFonts w:hint="eastAsia"/>
          <w:sz w:val="21"/>
          <w:szCs w:val="21"/>
          <w:highlight w:val="none"/>
        </w:rPr>
        <w:t>.1.7 有下列情形之一的，属于无效质疑，采购代理机构和采购人不予受理：</w:t>
      </w:r>
    </w:p>
    <w:p w14:paraId="4617BB5A">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（1）质疑人不是参与本次政府采购项目的投标人；</w:t>
      </w:r>
    </w:p>
    <w:p w14:paraId="209B54CA">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（2）质疑人与质疑事项不存在利害关系的；</w:t>
      </w:r>
    </w:p>
    <w:p w14:paraId="4A5E48E1">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（3）未在法定期限内提出质疑的；</w:t>
      </w:r>
    </w:p>
    <w:p w14:paraId="14486584">
      <w:pPr>
        <w:pStyle w:val="70"/>
        <w:numPr>
          <w:ilvl w:val="0"/>
          <w:numId w:val="0"/>
        </w:numPr>
        <w:tabs>
          <w:tab w:val="left" w:pos="1876"/>
        </w:tabs>
        <w:spacing w:line="364" w:lineRule="auto"/>
        <w:ind w:left="1153" w:leftChars="0" w:right="440" w:rightChars="0"/>
        <w:jc w:val="both"/>
        <w:rPr>
          <w:rFonts w:hint="eastAsia"/>
          <w:sz w:val="21"/>
          <w:szCs w:val="21"/>
          <w:highlight w:val="none"/>
        </w:rPr>
      </w:pPr>
      <w:r>
        <w:rPr>
          <w:rFonts w:hint="eastAsia"/>
          <w:sz w:val="21"/>
          <w:szCs w:val="21"/>
          <w:highlight w:val="none"/>
        </w:rPr>
        <w:t>（4）质疑未以书面形式提出，以传真、电子邮件、移动通信等形式即时收悉提交的质疑材料；</w:t>
      </w:r>
    </w:p>
    <w:p w14:paraId="1ABBB898">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（5）质疑未按质疑函范本格式提出的；</w:t>
      </w:r>
    </w:p>
    <w:p w14:paraId="5BCC7D38">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（6）质疑书主要内容构成不完整的；</w:t>
      </w:r>
    </w:p>
    <w:p w14:paraId="0420AF32">
      <w:pPr>
        <w:pStyle w:val="70"/>
        <w:numPr>
          <w:ilvl w:val="0"/>
          <w:numId w:val="0"/>
        </w:numPr>
        <w:tabs>
          <w:tab w:val="left" w:pos="1876"/>
        </w:tabs>
        <w:spacing w:line="364" w:lineRule="auto"/>
        <w:ind w:left="1153" w:leftChars="0" w:right="440" w:rightChars="0"/>
        <w:jc w:val="both"/>
        <w:rPr>
          <w:rFonts w:hint="eastAsia"/>
          <w:sz w:val="21"/>
          <w:szCs w:val="21"/>
          <w:highlight w:val="none"/>
        </w:rPr>
      </w:pPr>
      <w:r>
        <w:rPr>
          <w:rFonts w:hint="eastAsia"/>
          <w:sz w:val="21"/>
          <w:szCs w:val="21"/>
          <w:highlight w:val="none"/>
        </w:rPr>
        <w:t>（7）未提交营业执照或法人证书复印件，由授权代表签名的，未提交授权委托书；</w:t>
      </w:r>
    </w:p>
    <w:p w14:paraId="3D316F56">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（8）质疑书没有合法有效的签名、盖章或授权的；</w:t>
      </w:r>
    </w:p>
    <w:p w14:paraId="7FBD4DE1">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（9）以非法手段取得证据、材料的；</w:t>
      </w:r>
    </w:p>
    <w:p w14:paraId="39E797A3">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（10）质疑答复后，同一质疑人就同一事项再次提出质疑的；</w:t>
      </w:r>
    </w:p>
    <w:p w14:paraId="7F1C3E62">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（11）不符合法律、法规、规章和政府采购监管机构规定的其他条件的。</w:t>
      </w:r>
    </w:p>
    <w:p w14:paraId="0839E4EB">
      <w:pPr>
        <w:pStyle w:val="70"/>
        <w:numPr>
          <w:ilvl w:val="0"/>
          <w:numId w:val="0"/>
        </w:numPr>
        <w:tabs>
          <w:tab w:val="left" w:pos="1876"/>
        </w:tabs>
        <w:spacing w:line="364" w:lineRule="auto"/>
        <w:ind w:left="1153" w:leftChars="0" w:right="440" w:rightChars="0"/>
        <w:jc w:val="both"/>
        <w:rPr>
          <w:rFonts w:hint="eastAsia"/>
          <w:sz w:val="21"/>
          <w:szCs w:val="21"/>
          <w:highlight w:val="none"/>
        </w:rPr>
      </w:pPr>
      <w:r>
        <w:rPr>
          <w:rFonts w:hint="eastAsia"/>
          <w:sz w:val="21"/>
          <w:szCs w:val="21"/>
          <w:highlight w:val="none"/>
          <w:lang w:val="en-US" w:eastAsia="zh-CN"/>
        </w:rPr>
        <w:t>8</w:t>
      </w:r>
      <w:r>
        <w:rPr>
          <w:rFonts w:hint="eastAsia"/>
          <w:sz w:val="21"/>
          <w:szCs w:val="21"/>
          <w:highlight w:val="none"/>
        </w:rPr>
        <w:t>.1.8 采购代理机构或采购人将在收到书面质疑后7个工作日内做出答复，并以书面形式通知质疑人和其他有关投标人。</w:t>
      </w:r>
    </w:p>
    <w:p w14:paraId="4F8B99D7">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lang w:val="en-US" w:eastAsia="zh-CN"/>
        </w:rPr>
        <w:t>8</w:t>
      </w:r>
      <w:r>
        <w:rPr>
          <w:rFonts w:hint="eastAsia"/>
          <w:sz w:val="21"/>
          <w:szCs w:val="21"/>
          <w:highlight w:val="none"/>
        </w:rPr>
        <w:t>.2 投诉</w:t>
      </w:r>
    </w:p>
    <w:p w14:paraId="3963C38B">
      <w:pPr>
        <w:pStyle w:val="70"/>
        <w:numPr>
          <w:ilvl w:val="0"/>
          <w:numId w:val="0"/>
        </w:numPr>
        <w:tabs>
          <w:tab w:val="left" w:pos="1876"/>
        </w:tabs>
        <w:spacing w:line="364" w:lineRule="auto"/>
        <w:ind w:left="1153" w:leftChars="0" w:right="440" w:rightChars="0"/>
        <w:jc w:val="both"/>
        <w:rPr>
          <w:rFonts w:hint="eastAsia"/>
          <w:sz w:val="21"/>
          <w:szCs w:val="21"/>
          <w:highlight w:val="none"/>
        </w:rPr>
      </w:pPr>
      <w:r>
        <w:rPr>
          <w:rFonts w:hint="eastAsia"/>
          <w:sz w:val="21"/>
          <w:szCs w:val="21"/>
          <w:highlight w:val="none"/>
          <w:lang w:val="en-US" w:eastAsia="zh-CN"/>
        </w:rPr>
        <w:t>8</w:t>
      </w:r>
      <w:r>
        <w:rPr>
          <w:rFonts w:hint="eastAsia"/>
          <w:sz w:val="21"/>
          <w:szCs w:val="21"/>
          <w:highlight w:val="none"/>
        </w:rPr>
        <w:t xml:space="preserve">.2.1 质疑人对采购代理机构或采购人的答复不满意，或者采购人、采购代理机构未在规定时间内作出答复的，可以在答复期满后15个工作日内向  </w:t>
      </w:r>
      <w:r>
        <w:rPr>
          <w:rFonts w:hint="eastAsia"/>
          <w:sz w:val="21"/>
          <w:szCs w:val="21"/>
          <w:highlight w:val="none"/>
          <w:lang w:val="en-US" w:eastAsia="zh-CN"/>
        </w:rPr>
        <w:t>西安市</w:t>
      </w:r>
      <w:r>
        <w:rPr>
          <w:rFonts w:hint="eastAsia"/>
          <w:sz w:val="21"/>
          <w:szCs w:val="21"/>
          <w:highlight w:val="none"/>
          <w:u w:val="single"/>
          <w:lang w:val="en-US" w:eastAsia="zh-CN"/>
        </w:rPr>
        <w:t>高新技术开发区财政局</w:t>
      </w:r>
      <w:r>
        <w:rPr>
          <w:rFonts w:hint="eastAsia"/>
          <w:sz w:val="21"/>
          <w:szCs w:val="21"/>
          <w:highlight w:val="none"/>
          <w:u w:val="single"/>
        </w:rPr>
        <w:t xml:space="preserve"> </w:t>
      </w:r>
      <w:r>
        <w:rPr>
          <w:rFonts w:hint="eastAsia"/>
          <w:sz w:val="21"/>
          <w:szCs w:val="21"/>
          <w:highlight w:val="none"/>
        </w:rPr>
        <w:t xml:space="preserve"> （财政部门）提起投诉，联系电话：</w:t>
      </w:r>
      <w:r>
        <w:rPr>
          <w:rFonts w:hint="eastAsia"/>
          <w:sz w:val="21"/>
          <w:szCs w:val="21"/>
          <w:highlight w:val="none"/>
          <w:u w:val="single"/>
        </w:rPr>
        <w:t>029-88333605</w:t>
      </w:r>
      <w:r>
        <w:rPr>
          <w:rFonts w:hint="eastAsia"/>
          <w:sz w:val="21"/>
          <w:szCs w:val="21"/>
          <w:highlight w:val="none"/>
        </w:rPr>
        <w:t>。</w:t>
      </w:r>
    </w:p>
    <w:p w14:paraId="1C57BEEB">
      <w:pPr>
        <w:pStyle w:val="70"/>
        <w:numPr>
          <w:ilvl w:val="0"/>
          <w:numId w:val="0"/>
        </w:numPr>
        <w:tabs>
          <w:tab w:val="left" w:pos="1876"/>
        </w:tabs>
        <w:spacing w:line="364" w:lineRule="auto"/>
        <w:ind w:left="1153" w:leftChars="0" w:right="440" w:rightChars="0"/>
        <w:jc w:val="both"/>
        <w:rPr>
          <w:rFonts w:hint="eastAsia"/>
          <w:sz w:val="21"/>
          <w:szCs w:val="21"/>
          <w:highlight w:val="none"/>
        </w:rPr>
      </w:pPr>
      <w:r>
        <w:rPr>
          <w:rFonts w:hint="eastAsia"/>
          <w:sz w:val="21"/>
          <w:szCs w:val="21"/>
          <w:highlight w:val="none"/>
          <w:lang w:val="en-US" w:eastAsia="zh-CN"/>
        </w:rPr>
        <w:t>8</w:t>
      </w:r>
      <w:r>
        <w:rPr>
          <w:rFonts w:hint="eastAsia"/>
          <w:sz w:val="21"/>
          <w:szCs w:val="21"/>
          <w:highlight w:val="none"/>
        </w:rPr>
        <w:t>.2.2 投诉人投诉时,应当提交投诉书和必要的证明材料，并按照被投诉采购人、采购代理机构（以下简称被投诉人）和与投诉事项有关的供应商数量提供投诉书的副本。投诉书应当包括下列内容：</w:t>
      </w:r>
    </w:p>
    <w:p w14:paraId="72F5F4A7">
      <w:pPr>
        <w:pStyle w:val="70"/>
        <w:numPr>
          <w:ilvl w:val="0"/>
          <w:numId w:val="0"/>
        </w:numPr>
        <w:tabs>
          <w:tab w:val="left" w:pos="1876"/>
        </w:tabs>
        <w:spacing w:line="364" w:lineRule="auto"/>
        <w:ind w:left="1153" w:leftChars="0" w:right="440" w:rightChars="0"/>
        <w:jc w:val="both"/>
        <w:rPr>
          <w:rFonts w:hint="eastAsia"/>
          <w:sz w:val="21"/>
          <w:szCs w:val="21"/>
          <w:highlight w:val="none"/>
        </w:rPr>
      </w:pPr>
      <w:r>
        <w:rPr>
          <w:rFonts w:hint="eastAsia"/>
          <w:sz w:val="21"/>
          <w:szCs w:val="21"/>
          <w:highlight w:val="none"/>
        </w:rPr>
        <w:t>（1）投诉人和被投诉人的姓名或者名称、通讯地址、邮编、联系人及联系电话；</w:t>
      </w:r>
    </w:p>
    <w:p w14:paraId="6FD4C3E3">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（2）质疑和质疑答复情况说明及相关证明材料；</w:t>
      </w:r>
    </w:p>
    <w:p w14:paraId="77677E80">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（3）具体、明确的投诉事项和与投诉事项相关的投诉请求；</w:t>
      </w:r>
    </w:p>
    <w:p w14:paraId="75457444">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（4）事实依据；</w:t>
      </w:r>
    </w:p>
    <w:p w14:paraId="2F897CD0">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（5）法律依据；</w:t>
      </w:r>
    </w:p>
    <w:p w14:paraId="79858D3B">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（6）提起投诉的日期。</w:t>
      </w:r>
    </w:p>
    <w:p w14:paraId="1E691FD1">
      <w:pPr>
        <w:pStyle w:val="70"/>
        <w:numPr>
          <w:ilvl w:val="0"/>
          <w:numId w:val="0"/>
        </w:numPr>
        <w:tabs>
          <w:tab w:val="left" w:pos="1876"/>
        </w:tabs>
        <w:spacing w:line="364" w:lineRule="auto"/>
        <w:ind w:left="1153" w:leftChars="0" w:right="440" w:rightChars="0"/>
        <w:jc w:val="both"/>
        <w:rPr>
          <w:rFonts w:hint="eastAsia"/>
          <w:sz w:val="21"/>
          <w:szCs w:val="21"/>
          <w:highlight w:val="none"/>
        </w:rPr>
      </w:pPr>
      <w:r>
        <w:rPr>
          <w:rFonts w:hint="eastAsia"/>
          <w:sz w:val="21"/>
          <w:szCs w:val="21"/>
          <w:highlight w:val="none"/>
        </w:rPr>
        <w:t>投诉人为自然人的，应当由本人签名；投诉人为法人或者其他组织的，应当由法定代表人、主要负责人，或者其授权代表签名或者盖章，并加盖单位章。</w:t>
      </w:r>
    </w:p>
    <w:p w14:paraId="78B4FAF3">
      <w:pPr>
        <w:pStyle w:val="70"/>
        <w:numPr>
          <w:ilvl w:val="0"/>
          <w:numId w:val="0"/>
        </w:numPr>
        <w:tabs>
          <w:tab w:val="left" w:pos="1876"/>
        </w:tabs>
        <w:spacing w:line="364" w:lineRule="auto"/>
        <w:ind w:left="1153" w:leftChars="0" w:right="440" w:rightChars="0"/>
        <w:jc w:val="both"/>
        <w:rPr>
          <w:rFonts w:hint="eastAsia"/>
          <w:sz w:val="21"/>
          <w:szCs w:val="21"/>
          <w:highlight w:val="none"/>
        </w:rPr>
      </w:pPr>
      <w:r>
        <w:rPr>
          <w:rFonts w:hint="eastAsia"/>
          <w:sz w:val="21"/>
          <w:szCs w:val="21"/>
          <w:highlight w:val="none"/>
          <w:lang w:val="en-US" w:eastAsia="zh-CN"/>
        </w:rPr>
        <w:t>8</w:t>
      </w:r>
      <w:r>
        <w:rPr>
          <w:rFonts w:hint="eastAsia"/>
          <w:sz w:val="21"/>
          <w:szCs w:val="21"/>
          <w:highlight w:val="none"/>
        </w:rPr>
        <w:t>.2.3 投诉书范本格式在中国政府采购网站（http://www.ccgp.gov.cn/）自行下载。</w:t>
      </w:r>
    </w:p>
    <w:p w14:paraId="68BE71FC">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lang w:val="en-US" w:eastAsia="zh-CN"/>
        </w:rPr>
        <w:t>8</w:t>
      </w:r>
      <w:r>
        <w:rPr>
          <w:rFonts w:hint="eastAsia"/>
          <w:sz w:val="21"/>
          <w:szCs w:val="21"/>
          <w:highlight w:val="none"/>
        </w:rPr>
        <w:t>.2.4 投诉人提起投诉应当符合下列条件：</w:t>
      </w:r>
    </w:p>
    <w:p w14:paraId="0FABAAC8">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（1）提起投诉前已依法进行质疑；</w:t>
      </w:r>
    </w:p>
    <w:p w14:paraId="3F4E8CE2">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（2）投诉书内容符合财政部94号令的规定；</w:t>
      </w:r>
    </w:p>
    <w:p w14:paraId="4ADEC9CC">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（3）在投诉有效期限内提起投诉；</w:t>
      </w:r>
    </w:p>
    <w:p w14:paraId="36114A59">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（4）同一投诉事项未经财政部门投诉处理；</w:t>
      </w:r>
    </w:p>
    <w:p w14:paraId="17793FB4">
      <w:pPr>
        <w:pStyle w:val="70"/>
        <w:numPr>
          <w:ilvl w:val="0"/>
          <w:numId w:val="0"/>
        </w:numPr>
        <w:tabs>
          <w:tab w:val="left" w:pos="1876"/>
        </w:tabs>
        <w:spacing w:line="364" w:lineRule="auto"/>
        <w:ind w:left="1153" w:leftChars="0" w:right="1293" w:rightChars="0"/>
        <w:jc w:val="both"/>
        <w:rPr>
          <w:rFonts w:hint="eastAsia"/>
          <w:sz w:val="21"/>
          <w:szCs w:val="21"/>
          <w:highlight w:val="none"/>
        </w:rPr>
      </w:pPr>
      <w:r>
        <w:rPr>
          <w:rFonts w:hint="eastAsia"/>
          <w:sz w:val="21"/>
          <w:szCs w:val="21"/>
          <w:highlight w:val="none"/>
        </w:rPr>
        <w:t>（5）财政部规定的其他条件。</w:t>
      </w:r>
    </w:p>
    <w:p w14:paraId="06C9F8E2">
      <w:pPr>
        <w:pStyle w:val="70"/>
        <w:numPr>
          <w:ilvl w:val="0"/>
          <w:numId w:val="0"/>
        </w:numPr>
        <w:tabs>
          <w:tab w:val="left" w:pos="1876"/>
        </w:tabs>
        <w:spacing w:line="364" w:lineRule="auto"/>
        <w:ind w:left="1153" w:leftChars="0" w:right="660" w:rightChars="0"/>
        <w:jc w:val="both"/>
        <w:rPr>
          <w:rFonts w:hint="eastAsia"/>
          <w:sz w:val="21"/>
          <w:szCs w:val="21"/>
          <w:highlight w:val="none"/>
        </w:rPr>
      </w:pPr>
      <w:r>
        <w:rPr>
          <w:rFonts w:hint="eastAsia"/>
          <w:sz w:val="21"/>
          <w:szCs w:val="21"/>
          <w:highlight w:val="none"/>
          <w:lang w:val="en-US" w:eastAsia="zh-CN"/>
        </w:rPr>
        <w:t>8</w:t>
      </w:r>
      <w:r>
        <w:rPr>
          <w:rFonts w:hint="eastAsia"/>
          <w:sz w:val="21"/>
          <w:szCs w:val="21"/>
          <w:highlight w:val="none"/>
        </w:rPr>
        <w:t>.2.5  投诉人投诉的事项不得超出已质疑事项的范围，但基于质疑答复内容提出的投诉事项除外。</w:t>
      </w:r>
    </w:p>
    <w:p w14:paraId="290120D0">
      <w:pPr>
        <w:pStyle w:val="8"/>
        <w:spacing w:before="132"/>
        <w:ind w:left="956" w:right="1093"/>
        <w:jc w:val="center"/>
        <w:rPr>
          <w:sz w:val="21"/>
          <w:szCs w:val="21"/>
          <w:highlight w:val="none"/>
        </w:rPr>
      </w:pPr>
      <w:r>
        <w:rPr>
          <w:rFonts w:hint="eastAsia"/>
          <w:sz w:val="21"/>
          <w:szCs w:val="21"/>
          <w:highlight w:val="none"/>
        </w:rPr>
        <w:t>九、其他</w:t>
      </w:r>
    </w:p>
    <w:p w14:paraId="7F7E312C">
      <w:pPr>
        <w:pStyle w:val="16"/>
        <w:spacing w:before="9"/>
        <w:rPr>
          <w:b/>
          <w:sz w:val="21"/>
          <w:szCs w:val="21"/>
          <w:highlight w:val="none"/>
        </w:rPr>
      </w:pPr>
    </w:p>
    <w:p w14:paraId="20922609">
      <w:pPr>
        <w:pStyle w:val="70"/>
        <w:numPr>
          <w:ilvl w:val="1"/>
          <w:numId w:val="33"/>
        </w:numPr>
        <w:tabs>
          <w:tab w:val="left" w:pos="1634"/>
        </w:tabs>
        <w:ind w:hanging="481"/>
        <w:rPr>
          <w:sz w:val="21"/>
          <w:szCs w:val="21"/>
          <w:highlight w:val="none"/>
        </w:rPr>
      </w:pPr>
      <w:r>
        <w:rPr>
          <w:rFonts w:hint="eastAsia"/>
          <w:sz w:val="21"/>
          <w:szCs w:val="21"/>
          <w:highlight w:val="none"/>
        </w:rPr>
        <w:t>废标的情形</w:t>
      </w:r>
    </w:p>
    <w:p w14:paraId="4D54A593">
      <w:pPr>
        <w:pStyle w:val="70"/>
        <w:numPr>
          <w:ilvl w:val="2"/>
          <w:numId w:val="33"/>
        </w:numPr>
        <w:tabs>
          <w:tab w:val="left" w:pos="1814"/>
        </w:tabs>
        <w:spacing w:before="194"/>
        <w:ind w:hanging="661"/>
        <w:rPr>
          <w:sz w:val="21"/>
          <w:szCs w:val="21"/>
          <w:highlight w:val="none"/>
        </w:rPr>
      </w:pPr>
      <w:r>
        <w:rPr>
          <w:rFonts w:hint="eastAsia"/>
          <w:sz w:val="21"/>
          <w:szCs w:val="21"/>
          <w:highlight w:val="none"/>
        </w:rPr>
        <w:t>招标采购中，出现下列情形之一的，应予以废标：</w:t>
      </w:r>
    </w:p>
    <w:p w14:paraId="715A8BAE">
      <w:pPr>
        <w:pStyle w:val="70"/>
        <w:numPr>
          <w:ilvl w:val="0"/>
          <w:numId w:val="34"/>
        </w:numPr>
        <w:tabs>
          <w:tab w:val="left" w:pos="1755"/>
        </w:tabs>
        <w:spacing w:before="192"/>
        <w:ind w:hanging="602"/>
        <w:rPr>
          <w:sz w:val="21"/>
          <w:szCs w:val="21"/>
          <w:highlight w:val="none"/>
        </w:rPr>
      </w:pPr>
      <w:r>
        <w:rPr>
          <w:rFonts w:hint="eastAsia"/>
          <w:spacing w:val="-3"/>
          <w:sz w:val="21"/>
          <w:szCs w:val="21"/>
          <w:highlight w:val="none"/>
        </w:rPr>
        <w:t xml:space="preserve">符合专业条件的投标人或者对招标文件作实质响应的投标人不足 </w:t>
      </w:r>
      <w:r>
        <w:rPr>
          <w:rFonts w:hint="eastAsia"/>
          <w:sz w:val="21"/>
          <w:szCs w:val="21"/>
          <w:highlight w:val="none"/>
        </w:rPr>
        <w:t>3</w:t>
      </w:r>
      <w:r>
        <w:rPr>
          <w:rFonts w:hint="eastAsia"/>
          <w:spacing w:val="-15"/>
          <w:sz w:val="21"/>
          <w:szCs w:val="21"/>
          <w:highlight w:val="none"/>
        </w:rPr>
        <w:t xml:space="preserve"> 家的；</w:t>
      </w:r>
    </w:p>
    <w:p w14:paraId="12B4DFF6">
      <w:pPr>
        <w:pStyle w:val="70"/>
        <w:numPr>
          <w:ilvl w:val="0"/>
          <w:numId w:val="34"/>
        </w:numPr>
        <w:tabs>
          <w:tab w:val="left" w:pos="1755"/>
        </w:tabs>
        <w:spacing w:before="192"/>
        <w:ind w:hanging="602"/>
        <w:rPr>
          <w:sz w:val="21"/>
          <w:szCs w:val="21"/>
          <w:highlight w:val="none"/>
        </w:rPr>
      </w:pPr>
      <w:r>
        <w:rPr>
          <w:rFonts w:hint="eastAsia"/>
          <w:sz w:val="21"/>
          <w:szCs w:val="21"/>
          <w:highlight w:val="none"/>
        </w:rPr>
        <w:t>出现影响采购公正的违法、违规行为的；</w:t>
      </w:r>
    </w:p>
    <w:p w14:paraId="62B18D96">
      <w:pPr>
        <w:pStyle w:val="70"/>
        <w:numPr>
          <w:ilvl w:val="0"/>
          <w:numId w:val="34"/>
        </w:numPr>
        <w:tabs>
          <w:tab w:val="left" w:pos="1755"/>
        </w:tabs>
        <w:spacing w:before="194"/>
        <w:ind w:hanging="602"/>
        <w:rPr>
          <w:sz w:val="21"/>
          <w:szCs w:val="21"/>
          <w:highlight w:val="none"/>
        </w:rPr>
      </w:pPr>
      <w:r>
        <w:rPr>
          <w:rFonts w:hint="eastAsia"/>
          <w:sz w:val="21"/>
          <w:szCs w:val="21"/>
          <w:highlight w:val="none"/>
        </w:rPr>
        <w:t>投标人的报价均超过了采购预算，</w:t>
      </w:r>
      <w:r>
        <w:rPr>
          <w:rFonts w:hint="eastAsia"/>
          <w:sz w:val="21"/>
          <w:szCs w:val="21"/>
          <w:highlight w:val="none"/>
          <w:lang w:eastAsia="zh-CN"/>
        </w:rPr>
        <w:t>招标人</w:t>
      </w:r>
      <w:r>
        <w:rPr>
          <w:rFonts w:hint="eastAsia"/>
          <w:sz w:val="21"/>
          <w:szCs w:val="21"/>
          <w:highlight w:val="none"/>
        </w:rPr>
        <w:t>不能支付的；</w:t>
      </w:r>
    </w:p>
    <w:p w14:paraId="287BC7E7">
      <w:pPr>
        <w:pStyle w:val="70"/>
        <w:numPr>
          <w:ilvl w:val="0"/>
          <w:numId w:val="34"/>
        </w:numPr>
        <w:tabs>
          <w:tab w:val="left" w:pos="1755"/>
        </w:tabs>
        <w:spacing w:before="191"/>
        <w:ind w:hanging="602"/>
        <w:rPr>
          <w:sz w:val="21"/>
          <w:szCs w:val="21"/>
          <w:highlight w:val="none"/>
        </w:rPr>
      </w:pPr>
      <w:r>
        <w:rPr>
          <w:rFonts w:hint="eastAsia"/>
          <w:sz w:val="21"/>
          <w:szCs w:val="21"/>
          <w:highlight w:val="none"/>
        </w:rPr>
        <w:t>因重大变故，采购任务取消的。</w:t>
      </w:r>
    </w:p>
    <w:p w14:paraId="2497A07A">
      <w:pPr>
        <w:pStyle w:val="70"/>
        <w:numPr>
          <w:ilvl w:val="2"/>
          <w:numId w:val="33"/>
        </w:numPr>
        <w:tabs>
          <w:tab w:val="left" w:pos="1814"/>
        </w:tabs>
        <w:spacing w:before="192" w:line="391" w:lineRule="auto"/>
        <w:ind w:left="673" w:right="1291" w:firstLine="480"/>
        <w:rPr>
          <w:sz w:val="21"/>
          <w:szCs w:val="21"/>
          <w:highlight w:val="none"/>
        </w:rPr>
      </w:pPr>
      <w:r>
        <w:rPr>
          <w:rFonts w:hint="eastAsia"/>
          <w:spacing w:val="-11"/>
          <w:sz w:val="21"/>
          <w:szCs w:val="21"/>
          <w:highlight w:val="none"/>
        </w:rPr>
        <w:t>废标后，</w:t>
      </w:r>
      <w:r>
        <w:rPr>
          <w:rFonts w:hint="eastAsia"/>
          <w:spacing w:val="-11"/>
          <w:sz w:val="21"/>
          <w:szCs w:val="21"/>
          <w:highlight w:val="none"/>
          <w:lang w:eastAsia="zh-CN"/>
        </w:rPr>
        <w:t>招标代理机构</w:t>
      </w:r>
      <w:r>
        <w:rPr>
          <w:rFonts w:hint="eastAsia"/>
          <w:spacing w:val="-11"/>
          <w:sz w:val="21"/>
          <w:szCs w:val="21"/>
          <w:highlight w:val="none"/>
        </w:rPr>
        <w:t>应在财政部门指定采购网上公告，并公告废标的详细</w:t>
      </w:r>
      <w:r>
        <w:rPr>
          <w:rFonts w:hint="eastAsia"/>
          <w:sz w:val="21"/>
          <w:szCs w:val="21"/>
          <w:highlight w:val="none"/>
        </w:rPr>
        <w:t>理由。</w:t>
      </w:r>
    </w:p>
    <w:p w14:paraId="5AAF4DC9">
      <w:pPr>
        <w:pStyle w:val="70"/>
        <w:numPr>
          <w:ilvl w:val="1"/>
          <w:numId w:val="33"/>
        </w:numPr>
        <w:tabs>
          <w:tab w:val="left" w:pos="1574"/>
        </w:tabs>
        <w:spacing w:line="306" w:lineRule="exact"/>
        <w:ind w:left="1573" w:hanging="421"/>
        <w:rPr>
          <w:sz w:val="21"/>
          <w:szCs w:val="21"/>
          <w:highlight w:val="none"/>
        </w:rPr>
      </w:pPr>
      <w:r>
        <w:rPr>
          <w:rFonts w:hint="eastAsia"/>
          <w:sz w:val="21"/>
          <w:szCs w:val="21"/>
          <w:highlight w:val="none"/>
        </w:rPr>
        <w:t>变更采购方式</w:t>
      </w:r>
    </w:p>
    <w:p w14:paraId="3F6AFF92">
      <w:pPr>
        <w:pStyle w:val="70"/>
        <w:tabs>
          <w:tab w:val="left" w:pos="1574"/>
        </w:tabs>
        <w:spacing w:line="306" w:lineRule="exact"/>
        <w:ind w:left="1152" w:firstLine="0"/>
        <w:rPr>
          <w:sz w:val="21"/>
          <w:szCs w:val="21"/>
          <w:highlight w:val="none"/>
        </w:rPr>
      </w:pPr>
      <w:r>
        <w:rPr>
          <w:rFonts w:hint="eastAsia"/>
          <w:sz w:val="21"/>
          <w:szCs w:val="21"/>
          <w:highlight w:val="none"/>
        </w:rPr>
        <w:t>通过符合性审查的投标人只有 2 家时，</w:t>
      </w:r>
      <w:r>
        <w:rPr>
          <w:rFonts w:hint="eastAsia"/>
          <w:sz w:val="21"/>
          <w:szCs w:val="21"/>
          <w:highlight w:val="none"/>
          <w:lang w:eastAsia="zh-CN"/>
        </w:rPr>
        <w:t>招标人</w:t>
      </w:r>
      <w:r>
        <w:rPr>
          <w:rFonts w:hint="eastAsia"/>
          <w:sz w:val="21"/>
          <w:szCs w:val="21"/>
          <w:highlight w:val="none"/>
        </w:rPr>
        <w:t>经同级财政部门同意后，可以按《政</w:t>
      </w:r>
    </w:p>
    <w:p w14:paraId="4EC6F98B">
      <w:pPr>
        <w:pStyle w:val="16"/>
        <w:spacing w:before="213" w:line="405" w:lineRule="auto"/>
        <w:ind w:left="673" w:right="880" w:rightChars="0"/>
        <w:rPr>
          <w:sz w:val="21"/>
          <w:szCs w:val="21"/>
          <w:highlight w:val="none"/>
        </w:rPr>
      </w:pPr>
      <w:r>
        <w:rPr>
          <w:rFonts w:hint="eastAsia"/>
          <w:spacing w:val="-2"/>
          <w:sz w:val="21"/>
          <w:szCs w:val="21"/>
          <w:highlight w:val="none"/>
        </w:rPr>
        <w:t>府采购非招标采购方式管理办法》</w:t>
      </w:r>
      <w:r>
        <w:rPr>
          <w:rFonts w:hint="eastAsia"/>
          <w:sz w:val="21"/>
          <w:szCs w:val="21"/>
          <w:highlight w:val="none"/>
        </w:rPr>
        <w:t>（</w:t>
      </w:r>
      <w:r>
        <w:rPr>
          <w:rFonts w:hint="eastAsia"/>
          <w:spacing w:val="-12"/>
          <w:sz w:val="21"/>
          <w:szCs w:val="21"/>
          <w:highlight w:val="none"/>
        </w:rPr>
        <w:t xml:space="preserve">财政部第 </w:t>
      </w:r>
      <w:r>
        <w:rPr>
          <w:rFonts w:hint="eastAsia"/>
          <w:sz w:val="21"/>
          <w:szCs w:val="21"/>
          <w:highlight w:val="none"/>
        </w:rPr>
        <w:t>74</w:t>
      </w:r>
      <w:r>
        <w:rPr>
          <w:rFonts w:hint="eastAsia"/>
          <w:spacing w:val="-20"/>
          <w:sz w:val="21"/>
          <w:szCs w:val="21"/>
          <w:highlight w:val="none"/>
        </w:rPr>
        <w:t xml:space="preserve"> 号令</w:t>
      </w:r>
      <w:r>
        <w:rPr>
          <w:rFonts w:hint="eastAsia"/>
          <w:spacing w:val="-12"/>
          <w:sz w:val="21"/>
          <w:szCs w:val="21"/>
          <w:highlight w:val="none"/>
        </w:rPr>
        <w:t>）</w:t>
      </w:r>
      <w:r>
        <w:rPr>
          <w:rFonts w:hint="eastAsia"/>
          <w:spacing w:val="-10"/>
          <w:sz w:val="21"/>
          <w:szCs w:val="21"/>
          <w:highlight w:val="none"/>
        </w:rPr>
        <w:t xml:space="preserve">的规定与该 </w:t>
      </w:r>
      <w:r>
        <w:rPr>
          <w:rFonts w:hint="eastAsia"/>
          <w:sz w:val="21"/>
          <w:szCs w:val="21"/>
          <w:highlight w:val="none"/>
        </w:rPr>
        <w:t>2</w:t>
      </w:r>
      <w:r>
        <w:rPr>
          <w:rFonts w:hint="eastAsia"/>
          <w:spacing w:val="-10"/>
          <w:sz w:val="21"/>
          <w:szCs w:val="21"/>
          <w:highlight w:val="none"/>
        </w:rPr>
        <w:t xml:space="preserve"> 家投标人进行竞</w:t>
      </w:r>
      <w:r>
        <w:rPr>
          <w:rFonts w:hint="eastAsia"/>
          <w:sz w:val="21"/>
          <w:szCs w:val="21"/>
          <w:highlight w:val="none"/>
        </w:rPr>
        <w:t>争性谈判采购。</w:t>
      </w:r>
    </w:p>
    <w:p w14:paraId="3113B55E">
      <w:pPr>
        <w:pStyle w:val="16"/>
        <w:spacing w:before="213" w:line="405" w:lineRule="auto"/>
        <w:ind w:left="673" w:right="1291" w:firstLine="396" w:firstLineChars="200"/>
        <w:rPr>
          <w:spacing w:val="-6"/>
          <w:sz w:val="21"/>
          <w:szCs w:val="21"/>
          <w:highlight w:val="none"/>
        </w:rPr>
      </w:pPr>
      <w:r>
        <w:rPr>
          <w:rFonts w:hint="eastAsia"/>
          <w:spacing w:val="-6"/>
          <w:sz w:val="21"/>
          <w:szCs w:val="21"/>
          <w:highlight w:val="none"/>
          <w:lang w:val="en-US"/>
        </w:rPr>
        <w:t>9.3</w:t>
      </w:r>
      <w:r>
        <w:rPr>
          <w:rFonts w:hint="eastAsia"/>
          <w:spacing w:val="-6"/>
          <w:sz w:val="21"/>
          <w:szCs w:val="21"/>
          <w:highlight w:val="none"/>
        </w:rPr>
        <w:t>信用担保</w:t>
      </w:r>
    </w:p>
    <w:p w14:paraId="36E8A3CA">
      <w:pPr>
        <w:pStyle w:val="16"/>
        <w:spacing w:before="213" w:line="405" w:lineRule="auto"/>
        <w:ind w:left="673" w:right="1291"/>
        <w:jc w:val="both"/>
        <w:rPr>
          <w:spacing w:val="-6"/>
          <w:sz w:val="21"/>
          <w:szCs w:val="21"/>
          <w:highlight w:val="none"/>
        </w:rPr>
      </w:pPr>
      <w:r>
        <w:rPr>
          <w:rFonts w:hint="eastAsia"/>
          <w:spacing w:val="-6"/>
          <w:sz w:val="21"/>
          <w:szCs w:val="21"/>
          <w:highlight w:val="none"/>
        </w:rPr>
        <w:t>（一）陕西省信用担保及信用融资政策</w:t>
      </w:r>
    </w:p>
    <w:p w14:paraId="388109FA">
      <w:pPr>
        <w:ind w:left="836" w:leftChars="380" w:right="1250" w:rightChars="568" w:firstLine="377" w:firstLineChars="187"/>
        <w:jc w:val="both"/>
        <w:rPr>
          <w:rFonts w:hint="eastAsia" w:ascii="宋体" w:hAnsi="宋体" w:eastAsia="宋体" w:cs="宋体"/>
          <w:spacing w:val="-4"/>
          <w:sz w:val="21"/>
          <w:szCs w:val="21"/>
          <w:highlight w:val="none"/>
          <w:lang w:val="zh-CN" w:eastAsia="zh-CN" w:bidi="zh-CN"/>
        </w:rPr>
      </w:pPr>
      <w:bookmarkStart w:id="198" w:name="为支持和促进中小企业发展，进一步发挥政府采购政策功能作用，有效缓解中小企业融资难"/>
      <w:bookmarkEnd w:id="198"/>
      <w:r>
        <w:rPr>
          <w:rFonts w:hint="eastAsia" w:ascii="宋体" w:hAnsi="宋体" w:eastAsia="宋体" w:cs="宋体"/>
          <w:spacing w:val="-4"/>
          <w:sz w:val="21"/>
          <w:szCs w:val="21"/>
          <w:highlight w:val="none"/>
          <w:lang w:val="en-US" w:eastAsia="zh-CN" w:bidi="zh-CN"/>
        </w:rPr>
        <w:t>中标人融资 ：为进一步贯彻落实国务院和陕西省关于支持中小企业发展的政策措施，发挥政府采购政策导向作用，充分利用信息化技术，通过搭建信息对称、相互对接的平台，有效缓解中小企业融资难、融资贵问题。本着 “银企自愿，风险自担”的原则，中标人可以自愿选择政府采购贷进行融资，通过“陕西省政府采购合同融资平台”（http://www.ccgp-shaanxi.gov.cn/）实施政采贷。</w:t>
      </w:r>
    </w:p>
    <w:p w14:paraId="132666CA">
      <w:pPr>
        <w:jc w:val="center"/>
        <w:rPr>
          <w:sz w:val="21"/>
          <w:highlight w:val="none"/>
        </w:rPr>
      </w:pPr>
    </w:p>
    <w:p w14:paraId="596C3AFF">
      <w:pPr>
        <w:jc w:val="center"/>
        <w:rPr>
          <w:sz w:val="21"/>
          <w:highlight w:val="none"/>
        </w:rPr>
      </w:pPr>
    </w:p>
    <w:p w14:paraId="6FDB46E1">
      <w:pPr>
        <w:widowControl/>
        <w:spacing w:line="360" w:lineRule="auto"/>
        <w:ind w:firstLine="482" w:firstLineChars="200"/>
        <w:jc w:val="center"/>
        <w:rPr>
          <w:b/>
          <w:sz w:val="24"/>
          <w:szCs w:val="24"/>
          <w:highlight w:val="none"/>
        </w:rPr>
      </w:pPr>
      <w:r>
        <w:rPr>
          <w:b/>
          <w:sz w:val="24"/>
          <w:szCs w:val="24"/>
          <w:highlight w:val="none"/>
        </w:rPr>
        <w:t xml:space="preserve">10. </w:t>
      </w:r>
      <w:r>
        <w:rPr>
          <w:rFonts w:hint="eastAsia"/>
          <w:b/>
          <w:sz w:val="24"/>
          <w:szCs w:val="24"/>
          <w:highlight w:val="none"/>
        </w:rPr>
        <w:t>需要补充的其他内容</w:t>
      </w:r>
    </w:p>
    <w:p w14:paraId="03E85C5D">
      <w:pPr>
        <w:pStyle w:val="56"/>
        <w:ind w:firstLine="880" w:firstLineChars="400"/>
        <w:rPr>
          <w:highlight w:val="none"/>
        </w:rPr>
        <w:sectPr>
          <w:footerReference r:id="rId6" w:type="default"/>
          <w:pgSz w:w="11910" w:h="16840"/>
          <w:pgMar w:top="1580" w:right="1430" w:bottom="1100" w:left="800" w:header="0" w:footer="909" w:gutter="0"/>
          <w:cols w:space="720" w:num="1"/>
        </w:sectPr>
      </w:pPr>
      <w:r>
        <w:rPr>
          <w:rFonts w:hint="eastAsia"/>
          <w:szCs w:val="21"/>
          <w:highlight w:val="none"/>
          <w:lang w:val="en-US"/>
        </w:rPr>
        <w:t>材料、设备供应方式：本工程材料</w:t>
      </w:r>
      <w:r>
        <w:rPr>
          <w:szCs w:val="21"/>
          <w:highlight w:val="none"/>
          <w:lang w:val="en-US"/>
        </w:rPr>
        <w:t>均由乙方自行</w:t>
      </w:r>
      <w:r>
        <w:rPr>
          <w:rFonts w:hint="eastAsia"/>
          <w:szCs w:val="21"/>
          <w:highlight w:val="none"/>
          <w:lang w:val="en-US"/>
        </w:rPr>
        <w:t>采购</w:t>
      </w:r>
      <w:r>
        <w:rPr>
          <w:szCs w:val="21"/>
          <w:highlight w:val="none"/>
          <w:lang w:val="en-US"/>
        </w:rPr>
        <w:t>。</w:t>
      </w:r>
    </w:p>
    <w:p w14:paraId="77A0295F">
      <w:pPr>
        <w:pStyle w:val="2"/>
        <w:spacing w:before="64"/>
        <w:ind w:left="956" w:right="1554"/>
        <w:rPr>
          <w:highlight w:val="none"/>
        </w:rPr>
      </w:pPr>
      <w:bookmarkStart w:id="199" w:name="第三章_评标办法"/>
      <w:bookmarkEnd w:id="199"/>
      <w:r>
        <w:rPr>
          <w:highlight w:val="none"/>
        </w:rPr>
        <w:t>第三章 评标办法</w:t>
      </w:r>
    </w:p>
    <w:p w14:paraId="6DB4BC61">
      <w:pPr>
        <w:pStyle w:val="16"/>
        <w:rPr>
          <w:b/>
          <w:sz w:val="27"/>
          <w:highlight w:val="none"/>
        </w:rPr>
      </w:pPr>
    </w:p>
    <w:p w14:paraId="602CB49D">
      <w:pPr>
        <w:pStyle w:val="3"/>
        <w:ind w:left="956" w:right="1552"/>
        <w:jc w:val="center"/>
        <w:rPr>
          <w:highlight w:val="none"/>
        </w:rPr>
      </w:pPr>
      <w:bookmarkStart w:id="200" w:name="评标办法前附表"/>
      <w:bookmarkEnd w:id="200"/>
      <w:r>
        <w:rPr>
          <w:highlight w:val="none"/>
        </w:rPr>
        <w:t>评标办法前附表</w:t>
      </w:r>
    </w:p>
    <w:p w14:paraId="64875160">
      <w:pPr>
        <w:pStyle w:val="16"/>
        <w:spacing w:before="11"/>
        <w:rPr>
          <w:b/>
          <w:sz w:val="25"/>
          <w:highlight w:val="none"/>
        </w:rPr>
      </w:pPr>
    </w:p>
    <w:tbl>
      <w:tblPr>
        <w:tblStyle w:val="41"/>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7"/>
        <w:gridCol w:w="1035"/>
        <w:gridCol w:w="1845"/>
        <w:gridCol w:w="6451"/>
      </w:tblGrid>
      <w:tr w14:paraId="7C398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802" w:type="dxa"/>
            <w:gridSpan w:val="2"/>
          </w:tcPr>
          <w:p w14:paraId="6DF0865F">
            <w:pPr>
              <w:pStyle w:val="71"/>
              <w:spacing w:before="128"/>
              <w:ind w:left="539"/>
              <w:rPr>
                <w:b/>
                <w:sz w:val="24"/>
                <w:highlight w:val="none"/>
              </w:rPr>
            </w:pPr>
            <w:r>
              <w:rPr>
                <w:b/>
                <w:sz w:val="24"/>
                <w:highlight w:val="none"/>
              </w:rPr>
              <w:t>条款号</w:t>
            </w:r>
          </w:p>
        </w:tc>
        <w:tc>
          <w:tcPr>
            <w:tcW w:w="1845" w:type="dxa"/>
          </w:tcPr>
          <w:p w14:paraId="693412F5">
            <w:pPr>
              <w:pStyle w:val="71"/>
              <w:spacing w:before="128"/>
              <w:ind w:left="178" w:right="174"/>
              <w:jc w:val="center"/>
              <w:rPr>
                <w:b/>
                <w:sz w:val="24"/>
                <w:highlight w:val="none"/>
              </w:rPr>
            </w:pPr>
            <w:r>
              <w:rPr>
                <w:b/>
                <w:sz w:val="24"/>
                <w:highlight w:val="none"/>
              </w:rPr>
              <w:t>评审因素</w:t>
            </w:r>
          </w:p>
        </w:tc>
        <w:tc>
          <w:tcPr>
            <w:tcW w:w="6451" w:type="dxa"/>
          </w:tcPr>
          <w:p w14:paraId="7B7F4801">
            <w:pPr>
              <w:pStyle w:val="71"/>
              <w:spacing w:before="128"/>
              <w:ind w:left="2722" w:right="2714"/>
              <w:jc w:val="center"/>
              <w:rPr>
                <w:b/>
                <w:sz w:val="24"/>
                <w:highlight w:val="none"/>
              </w:rPr>
            </w:pPr>
            <w:r>
              <w:rPr>
                <w:b/>
                <w:sz w:val="24"/>
                <w:highlight w:val="none"/>
              </w:rPr>
              <w:t>评审标准</w:t>
            </w:r>
          </w:p>
        </w:tc>
      </w:tr>
      <w:tr w14:paraId="54787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67" w:type="dxa"/>
            <w:vMerge w:val="restart"/>
          </w:tcPr>
          <w:p w14:paraId="6BBB64C5">
            <w:pPr>
              <w:pStyle w:val="71"/>
              <w:rPr>
                <w:b/>
                <w:sz w:val="21"/>
                <w:szCs w:val="21"/>
                <w:highlight w:val="none"/>
              </w:rPr>
            </w:pPr>
          </w:p>
          <w:p w14:paraId="7485F2C2">
            <w:pPr>
              <w:pStyle w:val="71"/>
              <w:rPr>
                <w:b/>
                <w:sz w:val="21"/>
                <w:szCs w:val="21"/>
                <w:highlight w:val="none"/>
              </w:rPr>
            </w:pPr>
          </w:p>
          <w:p w14:paraId="78749886">
            <w:pPr>
              <w:pStyle w:val="71"/>
              <w:rPr>
                <w:b/>
                <w:sz w:val="21"/>
                <w:szCs w:val="21"/>
                <w:highlight w:val="none"/>
              </w:rPr>
            </w:pPr>
          </w:p>
          <w:p w14:paraId="5532F75A">
            <w:pPr>
              <w:pStyle w:val="71"/>
              <w:rPr>
                <w:b/>
                <w:sz w:val="21"/>
                <w:szCs w:val="21"/>
                <w:highlight w:val="none"/>
              </w:rPr>
            </w:pPr>
          </w:p>
          <w:p w14:paraId="2094FDFD">
            <w:pPr>
              <w:pStyle w:val="71"/>
              <w:rPr>
                <w:b/>
                <w:sz w:val="21"/>
                <w:szCs w:val="21"/>
                <w:highlight w:val="none"/>
              </w:rPr>
            </w:pPr>
          </w:p>
          <w:p w14:paraId="53C9FDBD">
            <w:pPr>
              <w:pStyle w:val="71"/>
              <w:rPr>
                <w:b/>
                <w:sz w:val="21"/>
                <w:szCs w:val="21"/>
                <w:highlight w:val="none"/>
              </w:rPr>
            </w:pPr>
          </w:p>
          <w:p w14:paraId="394CBD68">
            <w:pPr>
              <w:pStyle w:val="71"/>
              <w:rPr>
                <w:b/>
                <w:sz w:val="21"/>
                <w:szCs w:val="21"/>
                <w:highlight w:val="none"/>
              </w:rPr>
            </w:pPr>
          </w:p>
          <w:p w14:paraId="4BF4EEE3">
            <w:pPr>
              <w:pStyle w:val="71"/>
              <w:rPr>
                <w:b/>
                <w:sz w:val="21"/>
                <w:szCs w:val="21"/>
                <w:highlight w:val="none"/>
              </w:rPr>
            </w:pPr>
          </w:p>
          <w:p w14:paraId="00CC17FE">
            <w:pPr>
              <w:pStyle w:val="71"/>
              <w:rPr>
                <w:b/>
                <w:sz w:val="21"/>
                <w:szCs w:val="21"/>
                <w:highlight w:val="none"/>
              </w:rPr>
            </w:pPr>
          </w:p>
          <w:p w14:paraId="5CEFC219">
            <w:pPr>
              <w:pStyle w:val="71"/>
              <w:rPr>
                <w:b/>
                <w:sz w:val="21"/>
                <w:szCs w:val="21"/>
                <w:highlight w:val="none"/>
              </w:rPr>
            </w:pPr>
          </w:p>
          <w:p w14:paraId="53D01A6E">
            <w:pPr>
              <w:pStyle w:val="71"/>
              <w:rPr>
                <w:b/>
                <w:sz w:val="21"/>
                <w:szCs w:val="21"/>
                <w:highlight w:val="none"/>
              </w:rPr>
            </w:pPr>
          </w:p>
          <w:p w14:paraId="2C6A97F5">
            <w:pPr>
              <w:pStyle w:val="71"/>
              <w:rPr>
                <w:b/>
                <w:sz w:val="21"/>
                <w:szCs w:val="21"/>
                <w:highlight w:val="none"/>
              </w:rPr>
            </w:pPr>
          </w:p>
          <w:p w14:paraId="2A5ADDE4">
            <w:pPr>
              <w:pStyle w:val="71"/>
              <w:rPr>
                <w:b/>
                <w:sz w:val="21"/>
                <w:szCs w:val="21"/>
                <w:highlight w:val="none"/>
              </w:rPr>
            </w:pPr>
          </w:p>
          <w:p w14:paraId="7DFA0216">
            <w:pPr>
              <w:pStyle w:val="71"/>
              <w:rPr>
                <w:b/>
                <w:sz w:val="21"/>
                <w:szCs w:val="21"/>
                <w:highlight w:val="none"/>
              </w:rPr>
            </w:pPr>
          </w:p>
          <w:p w14:paraId="649C7D98">
            <w:pPr>
              <w:pStyle w:val="71"/>
              <w:rPr>
                <w:b/>
                <w:sz w:val="21"/>
                <w:szCs w:val="21"/>
                <w:highlight w:val="none"/>
              </w:rPr>
            </w:pPr>
          </w:p>
          <w:p w14:paraId="258E97EC">
            <w:pPr>
              <w:pStyle w:val="71"/>
              <w:rPr>
                <w:b/>
                <w:sz w:val="21"/>
                <w:szCs w:val="21"/>
                <w:highlight w:val="none"/>
              </w:rPr>
            </w:pPr>
          </w:p>
          <w:p w14:paraId="6F4EAF31">
            <w:pPr>
              <w:pStyle w:val="71"/>
              <w:rPr>
                <w:b/>
                <w:sz w:val="21"/>
                <w:szCs w:val="21"/>
                <w:highlight w:val="none"/>
              </w:rPr>
            </w:pPr>
          </w:p>
          <w:p w14:paraId="76840750">
            <w:pPr>
              <w:pStyle w:val="71"/>
              <w:spacing w:before="6"/>
              <w:rPr>
                <w:b/>
                <w:sz w:val="21"/>
                <w:szCs w:val="21"/>
                <w:highlight w:val="none"/>
              </w:rPr>
            </w:pPr>
          </w:p>
          <w:p w14:paraId="465EBA6E">
            <w:pPr>
              <w:pStyle w:val="71"/>
              <w:ind w:left="203"/>
              <w:rPr>
                <w:sz w:val="21"/>
                <w:szCs w:val="21"/>
                <w:highlight w:val="none"/>
              </w:rPr>
            </w:pPr>
            <w:r>
              <w:rPr>
                <w:rFonts w:hint="eastAsia"/>
                <w:sz w:val="21"/>
                <w:szCs w:val="21"/>
                <w:highlight w:val="none"/>
              </w:rPr>
              <w:t>2.1</w:t>
            </w:r>
          </w:p>
        </w:tc>
        <w:tc>
          <w:tcPr>
            <w:tcW w:w="1035" w:type="dxa"/>
            <w:vMerge w:val="restart"/>
          </w:tcPr>
          <w:p w14:paraId="24758387">
            <w:pPr>
              <w:pStyle w:val="71"/>
              <w:rPr>
                <w:b/>
                <w:sz w:val="21"/>
                <w:szCs w:val="21"/>
                <w:highlight w:val="none"/>
              </w:rPr>
            </w:pPr>
          </w:p>
          <w:p w14:paraId="3C008216">
            <w:pPr>
              <w:pStyle w:val="71"/>
              <w:rPr>
                <w:b/>
                <w:sz w:val="21"/>
                <w:szCs w:val="21"/>
                <w:highlight w:val="none"/>
              </w:rPr>
            </w:pPr>
          </w:p>
          <w:p w14:paraId="70B97616">
            <w:pPr>
              <w:pStyle w:val="71"/>
              <w:rPr>
                <w:b/>
                <w:sz w:val="21"/>
                <w:szCs w:val="21"/>
                <w:highlight w:val="none"/>
              </w:rPr>
            </w:pPr>
          </w:p>
          <w:p w14:paraId="1AD2DD67">
            <w:pPr>
              <w:pStyle w:val="71"/>
              <w:rPr>
                <w:b/>
                <w:sz w:val="21"/>
                <w:szCs w:val="21"/>
                <w:highlight w:val="none"/>
              </w:rPr>
            </w:pPr>
          </w:p>
          <w:p w14:paraId="201EBDE5">
            <w:pPr>
              <w:pStyle w:val="71"/>
              <w:rPr>
                <w:b/>
                <w:sz w:val="21"/>
                <w:szCs w:val="21"/>
                <w:highlight w:val="none"/>
              </w:rPr>
            </w:pPr>
          </w:p>
          <w:p w14:paraId="39F8606F">
            <w:pPr>
              <w:pStyle w:val="71"/>
              <w:rPr>
                <w:b/>
                <w:sz w:val="21"/>
                <w:szCs w:val="21"/>
                <w:highlight w:val="none"/>
              </w:rPr>
            </w:pPr>
          </w:p>
          <w:p w14:paraId="44C02B54">
            <w:pPr>
              <w:pStyle w:val="71"/>
              <w:rPr>
                <w:b/>
                <w:sz w:val="21"/>
                <w:szCs w:val="21"/>
                <w:highlight w:val="none"/>
              </w:rPr>
            </w:pPr>
          </w:p>
          <w:p w14:paraId="25468CE7">
            <w:pPr>
              <w:pStyle w:val="71"/>
              <w:rPr>
                <w:b/>
                <w:sz w:val="21"/>
                <w:szCs w:val="21"/>
                <w:highlight w:val="none"/>
              </w:rPr>
            </w:pPr>
          </w:p>
          <w:p w14:paraId="1FBC38A2">
            <w:pPr>
              <w:pStyle w:val="71"/>
              <w:rPr>
                <w:b/>
                <w:sz w:val="21"/>
                <w:szCs w:val="21"/>
                <w:highlight w:val="none"/>
              </w:rPr>
            </w:pPr>
          </w:p>
          <w:p w14:paraId="66F105FE">
            <w:pPr>
              <w:pStyle w:val="71"/>
              <w:rPr>
                <w:b/>
                <w:sz w:val="21"/>
                <w:szCs w:val="21"/>
                <w:highlight w:val="none"/>
              </w:rPr>
            </w:pPr>
          </w:p>
          <w:p w14:paraId="604FC2A7">
            <w:pPr>
              <w:pStyle w:val="71"/>
              <w:rPr>
                <w:b/>
                <w:sz w:val="21"/>
                <w:szCs w:val="21"/>
                <w:highlight w:val="none"/>
              </w:rPr>
            </w:pPr>
          </w:p>
          <w:p w14:paraId="1ED1D431">
            <w:pPr>
              <w:pStyle w:val="71"/>
              <w:rPr>
                <w:b/>
                <w:sz w:val="21"/>
                <w:szCs w:val="21"/>
                <w:highlight w:val="none"/>
              </w:rPr>
            </w:pPr>
          </w:p>
          <w:p w14:paraId="36EE536E">
            <w:pPr>
              <w:pStyle w:val="71"/>
              <w:rPr>
                <w:b/>
                <w:sz w:val="21"/>
                <w:szCs w:val="21"/>
                <w:highlight w:val="none"/>
              </w:rPr>
            </w:pPr>
          </w:p>
          <w:p w14:paraId="54F15981">
            <w:pPr>
              <w:pStyle w:val="71"/>
              <w:rPr>
                <w:b/>
                <w:sz w:val="21"/>
                <w:szCs w:val="21"/>
                <w:highlight w:val="none"/>
              </w:rPr>
            </w:pPr>
          </w:p>
          <w:p w14:paraId="67F1BAC1">
            <w:pPr>
              <w:pStyle w:val="71"/>
              <w:spacing w:before="7"/>
              <w:rPr>
                <w:b/>
                <w:sz w:val="21"/>
                <w:szCs w:val="21"/>
                <w:highlight w:val="none"/>
              </w:rPr>
            </w:pPr>
          </w:p>
          <w:p w14:paraId="4F2851F5">
            <w:pPr>
              <w:pStyle w:val="71"/>
              <w:spacing w:before="1" w:line="364" w:lineRule="auto"/>
              <w:ind w:left="276" w:right="266"/>
              <w:jc w:val="both"/>
              <w:rPr>
                <w:sz w:val="21"/>
                <w:szCs w:val="21"/>
                <w:highlight w:val="none"/>
              </w:rPr>
            </w:pPr>
            <w:r>
              <w:rPr>
                <w:rFonts w:hint="eastAsia"/>
                <w:sz w:val="21"/>
                <w:szCs w:val="21"/>
                <w:highlight w:val="none"/>
              </w:rPr>
              <w:t>资格审查评审标准</w:t>
            </w:r>
          </w:p>
        </w:tc>
        <w:tc>
          <w:tcPr>
            <w:tcW w:w="1845" w:type="dxa"/>
          </w:tcPr>
          <w:p w14:paraId="0EC2465B">
            <w:pPr>
              <w:pStyle w:val="71"/>
              <w:spacing w:before="10"/>
              <w:rPr>
                <w:b/>
                <w:sz w:val="21"/>
                <w:szCs w:val="21"/>
                <w:highlight w:val="none"/>
              </w:rPr>
            </w:pPr>
          </w:p>
          <w:p w14:paraId="02735ED8">
            <w:pPr>
              <w:pStyle w:val="71"/>
              <w:ind w:left="181" w:right="174"/>
              <w:jc w:val="center"/>
              <w:rPr>
                <w:sz w:val="21"/>
                <w:szCs w:val="21"/>
                <w:highlight w:val="none"/>
              </w:rPr>
            </w:pPr>
            <w:r>
              <w:rPr>
                <w:rFonts w:hint="eastAsia"/>
                <w:sz w:val="21"/>
                <w:szCs w:val="21"/>
                <w:highlight w:val="none"/>
              </w:rPr>
              <w:t>营业执照</w:t>
            </w:r>
          </w:p>
        </w:tc>
        <w:tc>
          <w:tcPr>
            <w:tcW w:w="6451" w:type="dxa"/>
          </w:tcPr>
          <w:p w14:paraId="7414CDA8">
            <w:pPr>
              <w:pStyle w:val="71"/>
              <w:spacing w:before="81"/>
              <w:ind w:left="108"/>
              <w:rPr>
                <w:sz w:val="21"/>
                <w:szCs w:val="21"/>
                <w:highlight w:val="none"/>
              </w:rPr>
            </w:pPr>
            <w:r>
              <w:rPr>
                <w:rFonts w:hint="eastAsia"/>
                <w:sz w:val="21"/>
                <w:szCs w:val="21"/>
                <w:highlight w:val="none"/>
              </w:rPr>
              <w:t>具有独立承担民事责任能力的法人、其他组织，并出具合法有效的营业执照或事业单位法人证书等国家规定的相关证明，自然人参与的提供其身份证明；</w:t>
            </w:r>
          </w:p>
        </w:tc>
      </w:tr>
      <w:tr w14:paraId="7CE70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767" w:type="dxa"/>
            <w:vMerge w:val="continue"/>
            <w:tcBorders>
              <w:top w:val="nil"/>
            </w:tcBorders>
          </w:tcPr>
          <w:p w14:paraId="08E46D3C">
            <w:pPr>
              <w:rPr>
                <w:sz w:val="21"/>
                <w:szCs w:val="21"/>
                <w:highlight w:val="none"/>
              </w:rPr>
            </w:pPr>
          </w:p>
        </w:tc>
        <w:tc>
          <w:tcPr>
            <w:tcW w:w="1035" w:type="dxa"/>
            <w:vMerge w:val="continue"/>
            <w:tcBorders>
              <w:top w:val="nil"/>
            </w:tcBorders>
          </w:tcPr>
          <w:p w14:paraId="5F25BBAD">
            <w:pPr>
              <w:rPr>
                <w:sz w:val="21"/>
                <w:szCs w:val="21"/>
                <w:highlight w:val="none"/>
              </w:rPr>
            </w:pPr>
          </w:p>
        </w:tc>
        <w:tc>
          <w:tcPr>
            <w:tcW w:w="1845" w:type="dxa"/>
          </w:tcPr>
          <w:p w14:paraId="0C8DA10B">
            <w:pPr>
              <w:pStyle w:val="71"/>
              <w:rPr>
                <w:b/>
                <w:sz w:val="21"/>
                <w:szCs w:val="21"/>
                <w:highlight w:val="none"/>
              </w:rPr>
            </w:pPr>
          </w:p>
          <w:p w14:paraId="3234E734">
            <w:pPr>
              <w:pStyle w:val="71"/>
              <w:spacing w:before="4"/>
              <w:rPr>
                <w:b/>
                <w:sz w:val="21"/>
                <w:szCs w:val="21"/>
                <w:highlight w:val="none"/>
              </w:rPr>
            </w:pPr>
          </w:p>
          <w:p w14:paraId="74312457">
            <w:pPr>
              <w:pStyle w:val="71"/>
              <w:ind w:left="181" w:right="174"/>
              <w:jc w:val="center"/>
              <w:rPr>
                <w:sz w:val="21"/>
                <w:szCs w:val="21"/>
                <w:highlight w:val="none"/>
              </w:rPr>
            </w:pPr>
            <w:r>
              <w:rPr>
                <w:rFonts w:hint="eastAsia"/>
                <w:sz w:val="21"/>
                <w:szCs w:val="21"/>
                <w:highlight w:val="none"/>
              </w:rPr>
              <w:t>财务状况报告</w:t>
            </w:r>
          </w:p>
        </w:tc>
        <w:tc>
          <w:tcPr>
            <w:tcW w:w="6451" w:type="dxa"/>
          </w:tcPr>
          <w:p w14:paraId="4DC6E5DF">
            <w:pPr>
              <w:pStyle w:val="71"/>
              <w:spacing w:before="81"/>
              <w:ind w:left="108"/>
              <w:rPr>
                <w:sz w:val="21"/>
                <w:szCs w:val="21"/>
                <w:highlight w:val="none"/>
              </w:rPr>
            </w:pPr>
            <w:r>
              <w:rPr>
                <w:rFonts w:hint="eastAsia"/>
                <w:spacing w:val="-1"/>
                <w:sz w:val="21"/>
                <w:szCs w:val="21"/>
                <w:highlight w:val="none"/>
              </w:rPr>
              <w:t xml:space="preserve">提供具有财务审计资质单位出具的 </w:t>
            </w:r>
            <w:r>
              <w:rPr>
                <w:rFonts w:hint="eastAsia"/>
                <w:sz w:val="21"/>
                <w:szCs w:val="21"/>
                <w:highlight w:val="none"/>
              </w:rPr>
              <w:t>202</w:t>
            </w:r>
            <w:r>
              <w:rPr>
                <w:rFonts w:hint="eastAsia"/>
                <w:sz w:val="21"/>
                <w:szCs w:val="21"/>
                <w:highlight w:val="none"/>
                <w:lang w:val="en-US" w:eastAsia="zh-CN"/>
              </w:rPr>
              <w:t>2或2023</w:t>
            </w:r>
            <w:r>
              <w:rPr>
                <w:rFonts w:hint="eastAsia"/>
                <w:spacing w:val="-4"/>
                <w:sz w:val="21"/>
                <w:szCs w:val="21"/>
                <w:highlight w:val="none"/>
              </w:rPr>
              <w:t xml:space="preserve"> 年度财务审计报告</w:t>
            </w:r>
            <w:r>
              <w:rPr>
                <w:rFonts w:hint="eastAsia"/>
                <w:spacing w:val="9"/>
                <w:sz w:val="21"/>
                <w:szCs w:val="21"/>
                <w:highlight w:val="none"/>
              </w:rPr>
              <w:t>（</w:t>
            </w:r>
            <w:r>
              <w:rPr>
                <w:rFonts w:hint="eastAsia"/>
                <w:spacing w:val="8"/>
                <w:sz w:val="21"/>
                <w:szCs w:val="21"/>
                <w:highlight w:val="none"/>
              </w:rPr>
              <w:t>成立时间至开标时间不足一年的可提供成立后任意时段的资产负债表</w:t>
            </w:r>
            <w:r>
              <w:rPr>
                <w:rFonts w:hint="eastAsia"/>
                <w:spacing w:val="-5"/>
                <w:sz w:val="21"/>
                <w:szCs w:val="21"/>
                <w:highlight w:val="none"/>
              </w:rPr>
              <w:t>）</w:t>
            </w:r>
            <w:r>
              <w:rPr>
                <w:rFonts w:hint="eastAsia"/>
                <w:spacing w:val="-1"/>
                <w:sz w:val="21"/>
                <w:szCs w:val="21"/>
                <w:highlight w:val="none"/>
              </w:rPr>
              <w:t>或开标前六个月内银行出具的资信证明</w:t>
            </w:r>
            <w:r>
              <w:rPr>
                <w:rFonts w:hint="eastAsia"/>
                <w:sz w:val="21"/>
                <w:szCs w:val="21"/>
                <w:highlight w:val="none"/>
              </w:rPr>
              <w:t>；</w:t>
            </w:r>
          </w:p>
        </w:tc>
      </w:tr>
      <w:tr w14:paraId="4AE0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67" w:type="dxa"/>
            <w:vMerge w:val="continue"/>
            <w:tcBorders>
              <w:top w:val="nil"/>
            </w:tcBorders>
          </w:tcPr>
          <w:p w14:paraId="16B05BA2">
            <w:pPr>
              <w:rPr>
                <w:sz w:val="21"/>
                <w:szCs w:val="21"/>
                <w:highlight w:val="none"/>
              </w:rPr>
            </w:pPr>
          </w:p>
        </w:tc>
        <w:tc>
          <w:tcPr>
            <w:tcW w:w="1035" w:type="dxa"/>
            <w:vMerge w:val="continue"/>
            <w:tcBorders>
              <w:top w:val="nil"/>
            </w:tcBorders>
          </w:tcPr>
          <w:p w14:paraId="18AB6F35">
            <w:pPr>
              <w:rPr>
                <w:sz w:val="21"/>
                <w:szCs w:val="21"/>
                <w:highlight w:val="none"/>
              </w:rPr>
            </w:pPr>
          </w:p>
        </w:tc>
        <w:tc>
          <w:tcPr>
            <w:tcW w:w="1845" w:type="dxa"/>
          </w:tcPr>
          <w:p w14:paraId="6011CEA3">
            <w:pPr>
              <w:pStyle w:val="71"/>
              <w:spacing w:before="167"/>
              <w:ind w:left="181" w:right="174"/>
              <w:jc w:val="center"/>
              <w:rPr>
                <w:sz w:val="21"/>
                <w:szCs w:val="21"/>
                <w:highlight w:val="none"/>
              </w:rPr>
            </w:pPr>
            <w:r>
              <w:rPr>
                <w:rFonts w:hint="eastAsia"/>
                <w:sz w:val="21"/>
                <w:szCs w:val="21"/>
                <w:highlight w:val="none"/>
              </w:rPr>
              <w:t>税收缴纳证明</w:t>
            </w:r>
          </w:p>
        </w:tc>
        <w:tc>
          <w:tcPr>
            <w:tcW w:w="6451" w:type="dxa"/>
          </w:tcPr>
          <w:p w14:paraId="529E18E5">
            <w:pPr>
              <w:pStyle w:val="71"/>
              <w:spacing w:before="81"/>
              <w:ind w:left="108"/>
              <w:rPr>
                <w:sz w:val="21"/>
                <w:szCs w:val="21"/>
                <w:highlight w:val="none"/>
              </w:rPr>
            </w:pPr>
            <w:r>
              <w:rPr>
                <w:rFonts w:hint="eastAsia"/>
                <w:sz w:val="21"/>
                <w:szCs w:val="21"/>
                <w:highlight w:val="none"/>
              </w:rPr>
              <w:t>提供截止至开标时间前六个月内任意一个月的缴费证明；</w:t>
            </w:r>
          </w:p>
          <w:p w14:paraId="50EBAD9E">
            <w:pPr>
              <w:pStyle w:val="71"/>
              <w:spacing w:before="93" w:line="298" w:lineRule="exact"/>
              <w:ind w:left="108"/>
              <w:rPr>
                <w:sz w:val="21"/>
                <w:szCs w:val="21"/>
                <w:highlight w:val="none"/>
              </w:rPr>
            </w:pPr>
            <w:r>
              <w:rPr>
                <w:rFonts w:hint="eastAsia"/>
                <w:sz w:val="21"/>
                <w:szCs w:val="21"/>
                <w:highlight w:val="none"/>
              </w:rPr>
              <w:t>（依法免税的</w:t>
            </w:r>
            <w:r>
              <w:rPr>
                <w:rFonts w:hint="eastAsia"/>
                <w:sz w:val="21"/>
                <w:szCs w:val="21"/>
                <w:highlight w:val="none"/>
                <w:lang w:eastAsia="zh-CN"/>
              </w:rPr>
              <w:t>投标人</w:t>
            </w:r>
            <w:r>
              <w:rPr>
                <w:rFonts w:hint="eastAsia"/>
                <w:sz w:val="21"/>
                <w:szCs w:val="21"/>
                <w:highlight w:val="none"/>
              </w:rPr>
              <w:t>应提供相关文件证明）；</w:t>
            </w:r>
          </w:p>
        </w:tc>
      </w:tr>
      <w:tr w14:paraId="64731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767" w:type="dxa"/>
            <w:vMerge w:val="continue"/>
            <w:tcBorders>
              <w:top w:val="nil"/>
            </w:tcBorders>
          </w:tcPr>
          <w:p w14:paraId="1CEC417D">
            <w:pPr>
              <w:rPr>
                <w:sz w:val="21"/>
                <w:szCs w:val="21"/>
                <w:highlight w:val="none"/>
              </w:rPr>
            </w:pPr>
          </w:p>
        </w:tc>
        <w:tc>
          <w:tcPr>
            <w:tcW w:w="1035" w:type="dxa"/>
            <w:vMerge w:val="continue"/>
            <w:tcBorders>
              <w:top w:val="nil"/>
            </w:tcBorders>
          </w:tcPr>
          <w:p w14:paraId="5D50E153">
            <w:pPr>
              <w:rPr>
                <w:sz w:val="21"/>
                <w:szCs w:val="21"/>
                <w:highlight w:val="none"/>
              </w:rPr>
            </w:pPr>
          </w:p>
        </w:tc>
        <w:tc>
          <w:tcPr>
            <w:tcW w:w="1845" w:type="dxa"/>
          </w:tcPr>
          <w:p w14:paraId="000BEB61">
            <w:pPr>
              <w:pStyle w:val="71"/>
              <w:spacing w:before="135" w:line="362" w:lineRule="auto"/>
              <w:ind w:left="441" w:right="191" w:hanging="240"/>
              <w:rPr>
                <w:sz w:val="21"/>
                <w:szCs w:val="21"/>
                <w:highlight w:val="none"/>
              </w:rPr>
            </w:pPr>
            <w:r>
              <w:rPr>
                <w:rFonts w:hint="eastAsia"/>
                <w:sz w:val="21"/>
                <w:szCs w:val="21"/>
                <w:highlight w:val="none"/>
              </w:rPr>
              <w:t>社会保障资金缴纳证明</w:t>
            </w:r>
          </w:p>
        </w:tc>
        <w:tc>
          <w:tcPr>
            <w:tcW w:w="6451" w:type="dxa"/>
          </w:tcPr>
          <w:p w14:paraId="1E88615C">
            <w:pPr>
              <w:pStyle w:val="71"/>
              <w:spacing w:before="80"/>
              <w:ind w:left="108"/>
              <w:rPr>
                <w:sz w:val="21"/>
                <w:szCs w:val="21"/>
                <w:highlight w:val="none"/>
              </w:rPr>
            </w:pPr>
            <w:r>
              <w:rPr>
                <w:rFonts w:hint="eastAsia"/>
                <w:sz w:val="21"/>
                <w:szCs w:val="21"/>
                <w:highlight w:val="none"/>
              </w:rPr>
              <w:t>提供截止至开标时间前六个月内任意一个月的社保缴费证明或社保机构开具的社会保险参保缴费情况证明；（依法不需要缴纳社会保障资金的</w:t>
            </w:r>
            <w:r>
              <w:rPr>
                <w:rFonts w:hint="eastAsia"/>
                <w:sz w:val="21"/>
                <w:szCs w:val="21"/>
                <w:highlight w:val="none"/>
                <w:lang w:eastAsia="zh-CN"/>
              </w:rPr>
              <w:t>投标人</w:t>
            </w:r>
            <w:r>
              <w:rPr>
                <w:rFonts w:hint="eastAsia"/>
                <w:sz w:val="21"/>
                <w:szCs w:val="21"/>
                <w:highlight w:val="none"/>
              </w:rPr>
              <w:t>应提供相关证明）；</w:t>
            </w:r>
          </w:p>
        </w:tc>
      </w:tr>
      <w:tr w14:paraId="08898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767" w:type="dxa"/>
            <w:vMerge w:val="continue"/>
            <w:tcBorders>
              <w:top w:val="nil"/>
            </w:tcBorders>
          </w:tcPr>
          <w:p w14:paraId="75B5F634">
            <w:pPr>
              <w:rPr>
                <w:sz w:val="21"/>
                <w:szCs w:val="21"/>
                <w:highlight w:val="none"/>
              </w:rPr>
            </w:pPr>
          </w:p>
        </w:tc>
        <w:tc>
          <w:tcPr>
            <w:tcW w:w="1035" w:type="dxa"/>
            <w:vMerge w:val="continue"/>
            <w:tcBorders>
              <w:top w:val="nil"/>
            </w:tcBorders>
          </w:tcPr>
          <w:p w14:paraId="0EA59450">
            <w:pPr>
              <w:rPr>
                <w:sz w:val="21"/>
                <w:szCs w:val="21"/>
                <w:highlight w:val="none"/>
              </w:rPr>
            </w:pPr>
          </w:p>
        </w:tc>
        <w:tc>
          <w:tcPr>
            <w:tcW w:w="1845" w:type="dxa"/>
          </w:tcPr>
          <w:p w14:paraId="58B62514">
            <w:pPr>
              <w:pStyle w:val="71"/>
              <w:spacing w:before="89" w:line="242" w:lineRule="auto"/>
              <w:ind w:left="561" w:right="191" w:hanging="360"/>
              <w:rPr>
                <w:sz w:val="21"/>
                <w:szCs w:val="21"/>
                <w:highlight w:val="none"/>
              </w:rPr>
            </w:pPr>
            <w:r>
              <w:rPr>
                <w:rFonts w:hint="eastAsia"/>
                <w:sz w:val="21"/>
                <w:szCs w:val="21"/>
                <w:highlight w:val="none"/>
              </w:rPr>
              <w:t>设备和专业技术能力</w:t>
            </w:r>
          </w:p>
        </w:tc>
        <w:tc>
          <w:tcPr>
            <w:tcW w:w="6451" w:type="dxa"/>
          </w:tcPr>
          <w:p w14:paraId="1A4DBC72">
            <w:pPr>
              <w:pStyle w:val="71"/>
              <w:spacing w:before="3" w:line="398" w:lineRule="exact"/>
              <w:ind w:left="108" w:right="95"/>
              <w:rPr>
                <w:sz w:val="21"/>
                <w:szCs w:val="21"/>
                <w:highlight w:val="none"/>
              </w:rPr>
            </w:pPr>
            <w:r>
              <w:rPr>
                <w:rFonts w:hint="eastAsia"/>
                <w:sz w:val="21"/>
                <w:szCs w:val="21"/>
                <w:highlight w:val="none"/>
              </w:rPr>
              <w:t>提供具有履行本合同所必需的设备和专业技术能力的说明及承诺；</w:t>
            </w:r>
          </w:p>
        </w:tc>
      </w:tr>
      <w:tr w14:paraId="38D6C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67" w:type="dxa"/>
            <w:vMerge w:val="continue"/>
            <w:tcBorders>
              <w:top w:val="nil"/>
            </w:tcBorders>
          </w:tcPr>
          <w:p w14:paraId="287C1D90">
            <w:pPr>
              <w:rPr>
                <w:sz w:val="21"/>
                <w:szCs w:val="21"/>
                <w:highlight w:val="none"/>
              </w:rPr>
            </w:pPr>
          </w:p>
        </w:tc>
        <w:tc>
          <w:tcPr>
            <w:tcW w:w="1035" w:type="dxa"/>
            <w:vMerge w:val="continue"/>
            <w:tcBorders>
              <w:top w:val="nil"/>
            </w:tcBorders>
          </w:tcPr>
          <w:p w14:paraId="627B55C2">
            <w:pPr>
              <w:rPr>
                <w:sz w:val="21"/>
                <w:szCs w:val="21"/>
                <w:highlight w:val="none"/>
              </w:rPr>
            </w:pPr>
          </w:p>
        </w:tc>
        <w:tc>
          <w:tcPr>
            <w:tcW w:w="1845" w:type="dxa"/>
          </w:tcPr>
          <w:p w14:paraId="3C6AF399">
            <w:pPr>
              <w:pStyle w:val="71"/>
              <w:spacing w:before="90" w:line="242" w:lineRule="auto"/>
              <w:ind w:left="321" w:right="191" w:hanging="120"/>
              <w:rPr>
                <w:sz w:val="21"/>
                <w:szCs w:val="21"/>
                <w:highlight w:val="none"/>
              </w:rPr>
            </w:pPr>
            <w:r>
              <w:rPr>
                <w:rFonts w:hint="eastAsia"/>
                <w:sz w:val="21"/>
                <w:szCs w:val="21"/>
                <w:highlight w:val="none"/>
              </w:rPr>
              <w:t>无重大违法记录书面声明</w:t>
            </w:r>
          </w:p>
        </w:tc>
        <w:tc>
          <w:tcPr>
            <w:tcW w:w="6451" w:type="dxa"/>
          </w:tcPr>
          <w:p w14:paraId="261DE506">
            <w:pPr>
              <w:pStyle w:val="71"/>
              <w:spacing w:before="1" w:line="400" w:lineRule="exact"/>
              <w:ind w:left="108" w:right="95"/>
              <w:rPr>
                <w:sz w:val="21"/>
                <w:szCs w:val="21"/>
                <w:highlight w:val="none"/>
              </w:rPr>
            </w:pPr>
            <w:r>
              <w:rPr>
                <w:rFonts w:hint="eastAsia"/>
                <w:sz w:val="21"/>
                <w:szCs w:val="21"/>
                <w:highlight w:val="none"/>
              </w:rPr>
              <w:t>提供参加政府采购活动前三年内在经营活动中没有重大违法记录的书面声明；</w:t>
            </w:r>
          </w:p>
        </w:tc>
      </w:tr>
      <w:tr w14:paraId="3DD42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67" w:type="dxa"/>
            <w:vMerge w:val="continue"/>
            <w:tcBorders>
              <w:top w:val="nil"/>
            </w:tcBorders>
          </w:tcPr>
          <w:p w14:paraId="59C64BD2">
            <w:pPr>
              <w:rPr>
                <w:sz w:val="21"/>
                <w:szCs w:val="21"/>
                <w:highlight w:val="none"/>
              </w:rPr>
            </w:pPr>
          </w:p>
        </w:tc>
        <w:tc>
          <w:tcPr>
            <w:tcW w:w="1035" w:type="dxa"/>
            <w:vMerge w:val="continue"/>
            <w:tcBorders>
              <w:top w:val="nil"/>
            </w:tcBorders>
          </w:tcPr>
          <w:p w14:paraId="691F8FAD">
            <w:pPr>
              <w:rPr>
                <w:sz w:val="21"/>
                <w:szCs w:val="21"/>
                <w:highlight w:val="none"/>
              </w:rPr>
            </w:pPr>
          </w:p>
        </w:tc>
        <w:tc>
          <w:tcPr>
            <w:tcW w:w="1845" w:type="dxa"/>
          </w:tcPr>
          <w:p w14:paraId="05C4DDF0">
            <w:pPr>
              <w:pStyle w:val="71"/>
              <w:spacing w:before="1" w:line="400" w:lineRule="exact"/>
              <w:ind w:left="108" w:right="95"/>
              <w:rPr>
                <w:sz w:val="21"/>
                <w:szCs w:val="21"/>
                <w:highlight w:val="none"/>
              </w:rPr>
            </w:pPr>
            <w:r>
              <w:rPr>
                <w:rFonts w:hint="eastAsia"/>
                <w:sz w:val="21"/>
                <w:szCs w:val="21"/>
                <w:highlight w:val="none"/>
              </w:rPr>
              <w:t>中小企业声明函</w:t>
            </w:r>
          </w:p>
        </w:tc>
        <w:tc>
          <w:tcPr>
            <w:tcW w:w="6451" w:type="dxa"/>
          </w:tcPr>
          <w:p w14:paraId="6CE325EF">
            <w:pPr>
              <w:pStyle w:val="71"/>
              <w:spacing w:before="1" w:line="400" w:lineRule="exact"/>
              <w:ind w:left="108" w:right="95"/>
              <w:rPr>
                <w:sz w:val="21"/>
                <w:szCs w:val="21"/>
                <w:highlight w:val="none"/>
              </w:rPr>
            </w:pPr>
            <w:r>
              <w:rPr>
                <w:rFonts w:hint="eastAsia"/>
                <w:sz w:val="21"/>
                <w:szCs w:val="21"/>
                <w:highlight w:val="none"/>
              </w:rPr>
              <w:t>本项目属于专门面向中小企业采购的项目,</w:t>
            </w:r>
            <w:r>
              <w:rPr>
                <w:rFonts w:hint="eastAsia"/>
                <w:sz w:val="21"/>
                <w:szCs w:val="21"/>
                <w:highlight w:val="none"/>
                <w:lang w:eastAsia="zh-CN"/>
              </w:rPr>
              <w:t>投标人</w:t>
            </w:r>
            <w:r>
              <w:rPr>
                <w:rFonts w:hint="eastAsia"/>
                <w:sz w:val="21"/>
                <w:szCs w:val="21"/>
                <w:highlight w:val="none"/>
              </w:rPr>
              <w:t>应为中小微企业、监狱企业、残疾人福利性单位)；</w:t>
            </w:r>
          </w:p>
        </w:tc>
      </w:tr>
      <w:tr w14:paraId="58C1B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767" w:type="dxa"/>
            <w:vMerge w:val="continue"/>
            <w:tcBorders>
              <w:top w:val="nil"/>
            </w:tcBorders>
          </w:tcPr>
          <w:p w14:paraId="7AA61464">
            <w:pPr>
              <w:rPr>
                <w:sz w:val="21"/>
                <w:szCs w:val="21"/>
                <w:highlight w:val="none"/>
              </w:rPr>
            </w:pPr>
          </w:p>
        </w:tc>
        <w:tc>
          <w:tcPr>
            <w:tcW w:w="1035" w:type="dxa"/>
            <w:vMerge w:val="continue"/>
            <w:tcBorders>
              <w:top w:val="nil"/>
            </w:tcBorders>
          </w:tcPr>
          <w:p w14:paraId="0636005B">
            <w:pPr>
              <w:rPr>
                <w:sz w:val="21"/>
                <w:szCs w:val="21"/>
                <w:highlight w:val="none"/>
              </w:rPr>
            </w:pPr>
          </w:p>
        </w:tc>
        <w:tc>
          <w:tcPr>
            <w:tcW w:w="1845" w:type="dxa"/>
          </w:tcPr>
          <w:p w14:paraId="3564A134">
            <w:pPr>
              <w:pStyle w:val="71"/>
              <w:spacing w:before="10"/>
              <w:rPr>
                <w:b/>
                <w:sz w:val="21"/>
                <w:szCs w:val="21"/>
                <w:highlight w:val="none"/>
              </w:rPr>
            </w:pPr>
          </w:p>
          <w:p w14:paraId="6318C2BD">
            <w:pPr>
              <w:pStyle w:val="71"/>
              <w:ind w:left="181" w:right="174"/>
              <w:jc w:val="center"/>
              <w:rPr>
                <w:sz w:val="21"/>
                <w:szCs w:val="21"/>
                <w:highlight w:val="none"/>
              </w:rPr>
            </w:pPr>
            <w:r>
              <w:rPr>
                <w:rFonts w:hint="eastAsia"/>
                <w:sz w:val="21"/>
                <w:szCs w:val="21"/>
                <w:highlight w:val="none"/>
              </w:rPr>
              <w:t>企业资质</w:t>
            </w:r>
          </w:p>
        </w:tc>
        <w:tc>
          <w:tcPr>
            <w:tcW w:w="6451" w:type="dxa"/>
          </w:tcPr>
          <w:p w14:paraId="1FFEACE9">
            <w:pPr>
              <w:pStyle w:val="71"/>
              <w:spacing w:line="400" w:lineRule="atLeast"/>
              <w:ind w:left="108" w:right="54"/>
              <w:rPr>
                <w:sz w:val="21"/>
                <w:szCs w:val="21"/>
                <w:highlight w:val="none"/>
              </w:rPr>
            </w:pPr>
            <w:r>
              <w:rPr>
                <w:rFonts w:hint="eastAsia"/>
                <w:sz w:val="21"/>
                <w:szCs w:val="21"/>
                <w:highlight w:val="none"/>
              </w:rPr>
              <w:t>具有建筑</w:t>
            </w:r>
            <w:r>
              <w:rPr>
                <w:rFonts w:hint="eastAsia"/>
                <w:sz w:val="21"/>
                <w:szCs w:val="21"/>
                <w:highlight w:val="none"/>
                <w:lang w:val="en-US" w:eastAsia="zh-CN"/>
              </w:rPr>
              <w:t>工程</w:t>
            </w:r>
            <w:r>
              <w:rPr>
                <w:rFonts w:hint="eastAsia"/>
                <w:sz w:val="21"/>
                <w:szCs w:val="21"/>
                <w:highlight w:val="none"/>
              </w:rPr>
              <w:t>施工总承包三级以上</w:t>
            </w:r>
            <w:r>
              <w:rPr>
                <w:rFonts w:hint="eastAsia"/>
                <w:sz w:val="21"/>
                <w:szCs w:val="21"/>
                <w:highlight w:val="none"/>
                <w:lang w:eastAsia="zh-CN"/>
              </w:rPr>
              <w:t>（</w:t>
            </w:r>
            <w:r>
              <w:rPr>
                <w:rFonts w:hint="eastAsia"/>
                <w:sz w:val="21"/>
                <w:szCs w:val="21"/>
                <w:highlight w:val="none"/>
                <w:lang w:val="en-US" w:eastAsia="zh-CN"/>
              </w:rPr>
              <w:t>含三级</w:t>
            </w:r>
            <w:r>
              <w:rPr>
                <w:rFonts w:hint="eastAsia"/>
                <w:sz w:val="21"/>
                <w:szCs w:val="21"/>
                <w:highlight w:val="none"/>
                <w:lang w:eastAsia="zh-CN"/>
              </w:rPr>
              <w:t>）</w:t>
            </w:r>
            <w:r>
              <w:rPr>
                <w:rFonts w:hint="eastAsia"/>
                <w:sz w:val="21"/>
                <w:szCs w:val="21"/>
                <w:highlight w:val="none"/>
              </w:rPr>
              <w:t>资质；具备有效的安全生产许可证；</w:t>
            </w:r>
          </w:p>
        </w:tc>
      </w:tr>
      <w:tr w14:paraId="76478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767" w:type="dxa"/>
            <w:vMerge w:val="continue"/>
            <w:tcBorders>
              <w:top w:val="nil"/>
            </w:tcBorders>
          </w:tcPr>
          <w:p w14:paraId="7A8955C3">
            <w:pPr>
              <w:rPr>
                <w:sz w:val="21"/>
                <w:szCs w:val="21"/>
                <w:highlight w:val="none"/>
              </w:rPr>
            </w:pPr>
          </w:p>
        </w:tc>
        <w:tc>
          <w:tcPr>
            <w:tcW w:w="1035" w:type="dxa"/>
            <w:vMerge w:val="continue"/>
            <w:tcBorders>
              <w:top w:val="nil"/>
            </w:tcBorders>
          </w:tcPr>
          <w:p w14:paraId="113C2C35">
            <w:pPr>
              <w:rPr>
                <w:sz w:val="21"/>
                <w:szCs w:val="21"/>
                <w:highlight w:val="none"/>
              </w:rPr>
            </w:pPr>
          </w:p>
        </w:tc>
        <w:tc>
          <w:tcPr>
            <w:tcW w:w="1845" w:type="dxa"/>
          </w:tcPr>
          <w:p w14:paraId="732C3300">
            <w:pPr>
              <w:pStyle w:val="71"/>
              <w:rPr>
                <w:b/>
                <w:sz w:val="21"/>
                <w:szCs w:val="21"/>
                <w:highlight w:val="none"/>
              </w:rPr>
            </w:pPr>
          </w:p>
          <w:p w14:paraId="4658300E">
            <w:pPr>
              <w:pStyle w:val="71"/>
              <w:spacing w:before="3"/>
              <w:rPr>
                <w:b/>
                <w:sz w:val="21"/>
                <w:szCs w:val="21"/>
                <w:highlight w:val="none"/>
              </w:rPr>
            </w:pPr>
          </w:p>
          <w:p w14:paraId="6A78553E">
            <w:pPr>
              <w:pStyle w:val="71"/>
              <w:spacing w:before="1"/>
              <w:ind w:left="181" w:right="174"/>
              <w:jc w:val="center"/>
              <w:rPr>
                <w:sz w:val="21"/>
                <w:szCs w:val="21"/>
                <w:highlight w:val="none"/>
              </w:rPr>
            </w:pPr>
            <w:r>
              <w:rPr>
                <w:rFonts w:hint="eastAsia"/>
                <w:sz w:val="21"/>
                <w:szCs w:val="21"/>
                <w:highlight w:val="none"/>
              </w:rPr>
              <w:t>项目经理</w:t>
            </w:r>
          </w:p>
        </w:tc>
        <w:tc>
          <w:tcPr>
            <w:tcW w:w="6451" w:type="dxa"/>
          </w:tcPr>
          <w:p w14:paraId="39582251">
            <w:pPr>
              <w:pStyle w:val="71"/>
              <w:spacing w:before="80" w:line="312" w:lineRule="auto"/>
              <w:ind w:left="108" w:right="95"/>
              <w:jc w:val="both"/>
              <w:rPr>
                <w:sz w:val="21"/>
                <w:szCs w:val="21"/>
                <w:highlight w:val="none"/>
              </w:rPr>
            </w:pPr>
            <w:r>
              <w:rPr>
                <w:rFonts w:hint="eastAsia"/>
                <w:sz w:val="21"/>
                <w:szCs w:val="21"/>
                <w:highlight w:val="none"/>
                <w:shd w:val="clear" w:color="auto" w:fill="FFFFFF"/>
                <w:lang w:val="en-US" w:bidi="ar"/>
              </w:rPr>
              <w:t>投标人拟派建筑工程专业二级以上（含二级）注册建造师证书和有效的安全生产考核合格证书（B证）且无在建工程（无在建工程提供承诺书）；</w:t>
            </w:r>
          </w:p>
        </w:tc>
      </w:tr>
      <w:tr w14:paraId="69806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67" w:type="dxa"/>
            <w:vMerge w:val="continue"/>
            <w:tcBorders>
              <w:top w:val="nil"/>
            </w:tcBorders>
          </w:tcPr>
          <w:p w14:paraId="1F6153B1">
            <w:pPr>
              <w:rPr>
                <w:sz w:val="21"/>
                <w:szCs w:val="21"/>
                <w:highlight w:val="none"/>
              </w:rPr>
            </w:pPr>
          </w:p>
        </w:tc>
        <w:tc>
          <w:tcPr>
            <w:tcW w:w="1035" w:type="dxa"/>
            <w:vMerge w:val="continue"/>
            <w:tcBorders>
              <w:top w:val="nil"/>
            </w:tcBorders>
          </w:tcPr>
          <w:p w14:paraId="658D0D1B">
            <w:pPr>
              <w:rPr>
                <w:sz w:val="21"/>
                <w:szCs w:val="21"/>
                <w:highlight w:val="none"/>
              </w:rPr>
            </w:pPr>
          </w:p>
        </w:tc>
        <w:tc>
          <w:tcPr>
            <w:tcW w:w="1845" w:type="dxa"/>
          </w:tcPr>
          <w:p w14:paraId="6AC6A50C">
            <w:pPr>
              <w:pStyle w:val="71"/>
              <w:spacing w:before="1" w:line="400" w:lineRule="exact"/>
              <w:ind w:left="107" w:right="95"/>
              <w:rPr>
                <w:sz w:val="21"/>
                <w:szCs w:val="21"/>
                <w:highlight w:val="none"/>
              </w:rPr>
            </w:pPr>
            <w:r>
              <w:rPr>
                <w:rFonts w:hint="eastAsia"/>
                <w:sz w:val="21"/>
                <w:szCs w:val="21"/>
                <w:highlight w:val="none"/>
              </w:rPr>
              <w:t>投标人及项目经理查询信息</w:t>
            </w:r>
          </w:p>
        </w:tc>
        <w:tc>
          <w:tcPr>
            <w:tcW w:w="6451" w:type="dxa"/>
          </w:tcPr>
          <w:p w14:paraId="6A5AC15B">
            <w:pPr>
              <w:pStyle w:val="71"/>
              <w:spacing w:before="1" w:line="400" w:lineRule="exact"/>
              <w:ind w:left="108" w:right="90"/>
              <w:rPr>
                <w:sz w:val="21"/>
                <w:szCs w:val="21"/>
                <w:highlight w:val="none"/>
              </w:rPr>
            </w:pPr>
            <w:r>
              <w:rPr>
                <w:rFonts w:hint="eastAsia"/>
                <w:sz w:val="21"/>
                <w:szCs w:val="21"/>
                <w:highlight w:val="none"/>
              </w:rPr>
              <w:t>投标人及项目经理须在“陕西省建筑市场监管与诚信信息发布</w:t>
            </w:r>
            <w:r>
              <w:rPr>
                <w:rFonts w:hint="eastAsia"/>
                <w:sz w:val="21"/>
                <w:szCs w:val="21"/>
                <w:highlight w:val="none"/>
                <w:lang w:val="en-US" w:eastAsia="zh-CN"/>
              </w:rPr>
              <w:t>平</w:t>
            </w:r>
            <w:r>
              <w:rPr>
                <w:rFonts w:hint="eastAsia"/>
                <w:sz w:val="21"/>
                <w:szCs w:val="21"/>
                <w:highlight w:val="none"/>
              </w:rPr>
              <w:t>台”可查询且无不良记录；（文件内附网站查询截图）</w:t>
            </w:r>
          </w:p>
        </w:tc>
      </w:tr>
      <w:tr w14:paraId="6687C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67" w:type="dxa"/>
            <w:vMerge w:val="continue"/>
            <w:tcBorders>
              <w:top w:val="nil"/>
            </w:tcBorders>
          </w:tcPr>
          <w:p w14:paraId="419EFFAE">
            <w:pPr>
              <w:rPr>
                <w:sz w:val="21"/>
                <w:szCs w:val="21"/>
                <w:highlight w:val="none"/>
              </w:rPr>
            </w:pPr>
          </w:p>
        </w:tc>
        <w:tc>
          <w:tcPr>
            <w:tcW w:w="1035" w:type="dxa"/>
            <w:vMerge w:val="continue"/>
            <w:tcBorders>
              <w:top w:val="nil"/>
            </w:tcBorders>
          </w:tcPr>
          <w:p w14:paraId="0D138C9B">
            <w:pPr>
              <w:rPr>
                <w:sz w:val="21"/>
                <w:szCs w:val="21"/>
                <w:highlight w:val="none"/>
              </w:rPr>
            </w:pPr>
          </w:p>
        </w:tc>
        <w:tc>
          <w:tcPr>
            <w:tcW w:w="1845" w:type="dxa"/>
          </w:tcPr>
          <w:p w14:paraId="0BECCD71">
            <w:pPr>
              <w:pStyle w:val="71"/>
              <w:spacing w:before="2" w:line="398" w:lineRule="exact"/>
              <w:ind w:left="681" w:right="191" w:hanging="480"/>
              <w:rPr>
                <w:sz w:val="21"/>
                <w:szCs w:val="21"/>
                <w:highlight w:val="none"/>
              </w:rPr>
            </w:pPr>
            <w:r>
              <w:rPr>
                <w:rFonts w:hint="eastAsia"/>
                <w:sz w:val="21"/>
                <w:szCs w:val="21"/>
                <w:highlight w:val="none"/>
              </w:rPr>
              <w:t>法定代表人授权书</w:t>
            </w:r>
          </w:p>
        </w:tc>
        <w:tc>
          <w:tcPr>
            <w:tcW w:w="6451" w:type="dxa"/>
          </w:tcPr>
          <w:p w14:paraId="64949C2E">
            <w:pPr>
              <w:pStyle w:val="71"/>
              <w:spacing w:before="81"/>
              <w:ind w:left="108" w:right="-29"/>
              <w:rPr>
                <w:sz w:val="21"/>
                <w:szCs w:val="21"/>
                <w:highlight w:val="none"/>
              </w:rPr>
            </w:pPr>
            <w:r>
              <w:rPr>
                <w:rFonts w:hint="eastAsia"/>
                <w:spacing w:val="-8"/>
                <w:sz w:val="21"/>
                <w:szCs w:val="21"/>
                <w:highlight w:val="none"/>
              </w:rPr>
              <w:t>法定代表人授权书</w:t>
            </w:r>
            <w:r>
              <w:rPr>
                <w:rFonts w:hint="eastAsia"/>
                <w:sz w:val="21"/>
                <w:szCs w:val="21"/>
                <w:highlight w:val="none"/>
              </w:rPr>
              <w:t>（</w:t>
            </w:r>
            <w:r>
              <w:rPr>
                <w:rFonts w:hint="eastAsia"/>
                <w:spacing w:val="-8"/>
                <w:sz w:val="21"/>
                <w:szCs w:val="21"/>
                <w:highlight w:val="none"/>
              </w:rPr>
              <w:t>附法定代表人</w:t>
            </w:r>
            <w:r>
              <w:rPr>
                <w:rFonts w:hint="eastAsia"/>
                <w:spacing w:val="-8"/>
                <w:sz w:val="21"/>
                <w:szCs w:val="21"/>
                <w:highlight w:val="none"/>
                <w:lang w:val="en-US" w:eastAsia="zh-CN"/>
              </w:rPr>
              <w:t>及</w:t>
            </w:r>
            <w:r>
              <w:rPr>
                <w:rFonts w:hint="eastAsia"/>
                <w:spacing w:val="-8"/>
                <w:sz w:val="21"/>
                <w:szCs w:val="21"/>
                <w:highlight w:val="none"/>
              </w:rPr>
              <w:t>被授权人身份证复印件</w:t>
            </w:r>
            <w:r>
              <w:rPr>
                <w:rFonts w:hint="eastAsia"/>
                <w:spacing w:val="-12"/>
                <w:sz w:val="21"/>
                <w:szCs w:val="21"/>
                <w:highlight w:val="none"/>
              </w:rPr>
              <w:t>）</w:t>
            </w:r>
            <w:r>
              <w:rPr>
                <w:rFonts w:hint="eastAsia"/>
                <w:sz w:val="21"/>
                <w:szCs w:val="21"/>
                <w:highlight w:val="none"/>
              </w:rPr>
              <w:t>（</w:t>
            </w:r>
            <w:r>
              <w:rPr>
                <w:rFonts w:hint="eastAsia"/>
                <w:spacing w:val="-1"/>
                <w:sz w:val="21"/>
                <w:szCs w:val="21"/>
                <w:highlight w:val="none"/>
              </w:rPr>
              <w:t>法定代表人直接参加投标，须提供法定代表人身份证明及</w:t>
            </w:r>
            <w:r>
              <w:rPr>
                <w:rFonts w:hint="eastAsia"/>
                <w:sz w:val="21"/>
                <w:szCs w:val="21"/>
                <w:highlight w:val="none"/>
              </w:rPr>
              <w:t>身份证复印件）；</w:t>
            </w:r>
          </w:p>
        </w:tc>
      </w:tr>
    </w:tbl>
    <w:p w14:paraId="48C32E2D">
      <w:pPr>
        <w:spacing w:line="298" w:lineRule="exact"/>
        <w:rPr>
          <w:sz w:val="21"/>
          <w:szCs w:val="21"/>
          <w:highlight w:val="none"/>
        </w:rPr>
        <w:sectPr>
          <w:pgSz w:w="11910" w:h="16840"/>
          <w:pgMar w:top="1580" w:right="180" w:bottom="1100" w:left="800" w:header="0" w:footer="909" w:gutter="0"/>
          <w:cols w:space="720" w:num="1"/>
        </w:sectPr>
      </w:pPr>
    </w:p>
    <w:tbl>
      <w:tblPr>
        <w:tblStyle w:val="41"/>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7"/>
        <w:gridCol w:w="1035"/>
        <w:gridCol w:w="1845"/>
        <w:gridCol w:w="6451"/>
      </w:tblGrid>
      <w:tr w14:paraId="4AE98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trPr>
        <w:tc>
          <w:tcPr>
            <w:tcW w:w="767" w:type="dxa"/>
            <w:vMerge w:val="restart"/>
            <w:tcBorders>
              <w:top w:val="nil"/>
            </w:tcBorders>
          </w:tcPr>
          <w:p w14:paraId="47BE6AD2">
            <w:pPr>
              <w:rPr>
                <w:sz w:val="21"/>
                <w:szCs w:val="21"/>
                <w:highlight w:val="none"/>
              </w:rPr>
            </w:pPr>
          </w:p>
        </w:tc>
        <w:tc>
          <w:tcPr>
            <w:tcW w:w="1035" w:type="dxa"/>
            <w:vMerge w:val="restart"/>
            <w:tcBorders>
              <w:top w:val="nil"/>
            </w:tcBorders>
          </w:tcPr>
          <w:p w14:paraId="44E28BC0">
            <w:pPr>
              <w:rPr>
                <w:sz w:val="21"/>
                <w:szCs w:val="21"/>
                <w:highlight w:val="none"/>
              </w:rPr>
            </w:pPr>
          </w:p>
        </w:tc>
        <w:tc>
          <w:tcPr>
            <w:tcW w:w="1845" w:type="dxa"/>
          </w:tcPr>
          <w:p w14:paraId="0D30FCF7">
            <w:pPr>
              <w:pStyle w:val="71"/>
              <w:rPr>
                <w:b/>
                <w:sz w:val="21"/>
                <w:szCs w:val="21"/>
                <w:highlight w:val="none"/>
              </w:rPr>
            </w:pPr>
          </w:p>
          <w:p w14:paraId="7804A357">
            <w:pPr>
              <w:pStyle w:val="71"/>
              <w:rPr>
                <w:b/>
                <w:sz w:val="21"/>
                <w:szCs w:val="21"/>
                <w:highlight w:val="none"/>
              </w:rPr>
            </w:pPr>
          </w:p>
          <w:p w14:paraId="2CC48EC8">
            <w:pPr>
              <w:pStyle w:val="71"/>
              <w:spacing w:before="10"/>
              <w:rPr>
                <w:b/>
                <w:sz w:val="21"/>
                <w:szCs w:val="21"/>
                <w:highlight w:val="none"/>
              </w:rPr>
            </w:pPr>
          </w:p>
          <w:p w14:paraId="4FB38144">
            <w:pPr>
              <w:pStyle w:val="71"/>
              <w:ind w:left="181" w:right="174"/>
              <w:jc w:val="center"/>
              <w:rPr>
                <w:sz w:val="21"/>
                <w:szCs w:val="21"/>
                <w:highlight w:val="none"/>
              </w:rPr>
            </w:pPr>
            <w:r>
              <w:rPr>
                <w:rFonts w:hint="eastAsia"/>
                <w:sz w:val="21"/>
                <w:szCs w:val="21"/>
                <w:highlight w:val="none"/>
              </w:rPr>
              <w:t>信誉</w:t>
            </w:r>
          </w:p>
        </w:tc>
        <w:tc>
          <w:tcPr>
            <w:tcW w:w="6451" w:type="dxa"/>
          </w:tcPr>
          <w:p w14:paraId="02EC26B6">
            <w:pPr>
              <w:pStyle w:val="71"/>
              <w:spacing w:before="80" w:line="312" w:lineRule="auto"/>
              <w:ind w:left="108" w:right="-29"/>
              <w:rPr>
                <w:sz w:val="21"/>
                <w:szCs w:val="21"/>
                <w:highlight w:val="none"/>
              </w:rPr>
            </w:pPr>
            <w:r>
              <w:rPr>
                <w:rFonts w:hint="eastAsia"/>
                <w:spacing w:val="-13"/>
                <w:sz w:val="21"/>
                <w:szCs w:val="21"/>
                <w:highlight w:val="none"/>
                <w:lang w:eastAsia="zh-CN"/>
              </w:rPr>
              <w:t>投标人不得被“信用中国”（www.creditchina.gov.cn）列入重大税收违法失信主体；不得被“中国执行信息公开网”（www.zxgk.court.gov.cn）列入失信被执行人名单；不得被“中国政府采购网”（www.ccgp.gov.cn）列入政府采购严重违法失信行为记录名单；</w:t>
            </w:r>
          </w:p>
        </w:tc>
      </w:tr>
      <w:tr w14:paraId="19A07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67" w:type="dxa"/>
            <w:vMerge w:val="continue"/>
            <w:tcBorders>
              <w:top w:val="nil"/>
            </w:tcBorders>
          </w:tcPr>
          <w:p w14:paraId="581507AC">
            <w:pPr>
              <w:rPr>
                <w:sz w:val="21"/>
                <w:szCs w:val="21"/>
                <w:highlight w:val="none"/>
              </w:rPr>
            </w:pPr>
          </w:p>
        </w:tc>
        <w:tc>
          <w:tcPr>
            <w:tcW w:w="1035" w:type="dxa"/>
            <w:vMerge w:val="continue"/>
            <w:tcBorders>
              <w:top w:val="nil"/>
            </w:tcBorders>
          </w:tcPr>
          <w:p w14:paraId="21D93CD1">
            <w:pPr>
              <w:rPr>
                <w:sz w:val="21"/>
                <w:szCs w:val="21"/>
                <w:highlight w:val="none"/>
              </w:rPr>
            </w:pPr>
          </w:p>
        </w:tc>
        <w:tc>
          <w:tcPr>
            <w:tcW w:w="1845" w:type="dxa"/>
          </w:tcPr>
          <w:p w14:paraId="5102E029">
            <w:pPr>
              <w:pStyle w:val="71"/>
              <w:spacing w:before="10"/>
              <w:rPr>
                <w:b/>
                <w:sz w:val="21"/>
                <w:szCs w:val="21"/>
                <w:highlight w:val="none"/>
              </w:rPr>
            </w:pPr>
          </w:p>
          <w:p w14:paraId="5501123B">
            <w:pPr>
              <w:pStyle w:val="71"/>
              <w:ind w:left="181" w:right="174"/>
              <w:jc w:val="center"/>
              <w:rPr>
                <w:sz w:val="21"/>
                <w:szCs w:val="21"/>
                <w:highlight w:val="none"/>
              </w:rPr>
            </w:pPr>
            <w:r>
              <w:rPr>
                <w:rFonts w:hint="eastAsia"/>
                <w:sz w:val="21"/>
                <w:szCs w:val="21"/>
                <w:highlight w:val="none"/>
              </w:rPr>
              <w:t>控股管理关系</w:t>
            </w:r>
          </w:p>
        </w:tc>
        <w:tc>
          <w:tcPr>
            <w:tcW w:w="6451" w:type="dxa"/>
          </w:tcPr>
          <w:p w14:paraId="2DB2A243">
            <w:pPr>
              <w:pStyle w:val="71"/>
              <w:spacing w:before="81" w:line="360" w:lineRule="auto"/>
              <w:ind w:left="108"/>
              <w:rPr>
                <w:sz w:val="21"/>
                <w:szCs w:val="21"/>
                <w:highlight w:val="none"/>
              </w:rPr>
            </w:pPr>
            <w:r>
              <w:rPr>
                <w:rFonts w:hint="eastAsia"/>
                <w:spacing w:val="-13"/>
                <w:sz w:val="21"/>
                <w:szCs w:val="21"/>
                <w:highlight w:val="none"/>
                <w:lang w:eastAsia="zh-CN"/>
              </w:rPr>
              <w:t>单位负责人为同一人或者存在直接控股、管理关系的不同投标人，不得参加本项目同一合同下的政府采购活动。（文件内附承诺书）</w:t>
            </w:r>
          </w:p>
        </w:tc>
      </w:tr>
      <w:tr w14:paraId="14924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67" w:type="dxa"/>
            <w:vMerge w:val="continue"/>
            <w:tcBorders>
              <w:top w:val="nil"/>
            </w:tcBorders>
          </w:tcPr>
          <w:p w14:paraId="1EBD9F30">
            <w:pPr>
              <w:rPr>
                <w:sz w:val="21"/>
                <w:szCs w:val="21"/>
                <w:highlight w:val="none"/>
              </w:rPr>
            </w:pPr>
          </w:p>
        </w:tc>
        <w:tc>
          <w:tcPr>
            <w:tcW w:w="1035" w:type="dxa"/>
            <w:vMerge w:val="continue"/>
            <w:tcBorders>
              <w:top w:val="nil"/>
            </w:tcBorders>
          </w:tcPr>
          <w:p w14:paraId="4AA39444">
            <w:pPr>
              <w:rPr>
                <w:sz w:val="21"/>
                <w:szCs w:val="21"/>
                <w:highlight w:val="none"/>
              </w:rPr>
            </w:pPr>
          </w:p>
        </w:tc>
        <w:tc>
          <w:tcPr>
            <w:tcW w:w="8296" w:type="dxa"/>
            <w:gridSpan w:val="2"/>
          </w:tcPr>
          <w:p w14:paraId="471DE557">
            <w:pPr>
              <w:pStyle w:val="71"/>
              <w:spacing w:before="81"/>
              <w:ind w:left="107"/>
              <w:rPr>
                <w:sz w:val="21"/>
                <w:szCs w:val="21"/>
                <w:highlight w:val="none"/>
              </w:rPr>
            </w:pPr>
            <w:r>
              <w:rPr>
                <w:rFonts w:hint="eastAsia"/>
                <w:sz w:val="21"/>
                <w:szCs w:val="21"/>
                <w:highlight w:val="none"/>
              </w:rPr>
              <w:t>注：以上为必备资质，缺一项或某项达不到要求，按无效投标处理。</w:t>
            </w:r>
          </w:p>
          <w:p w14:paraId="75307C23">
            <w:pPr>
              <w:pStyle w:val="71"/>
              <w:spacing w:before="81"/>
              <w:ind w:left="107"/>
              <w:rPr>
                <w:rFonts w:hint="eastAsia"/>
                <w:sz w:val="21"/>
                <w:szCs w:val="21"/>
                <w:highlight w:val="none"/>
              </w:rPr>
            </w:pPr>
            <w:r>
              <w:rPr>
                <w:rFonts w:hint="eastAsia"/>
                <w:sz w:val="21"/>
                <w:szCs w:val="21"/>
                <w:highlight w:val="none"/>
              </w:rPr>
              <w:t>资格审查时以投标文件中所附证明材料（信用中国</w:t>
            </w:r>
            <w:r>
              <w:rPr>
                <w:rFonts w:hint="eastAsia"/>
                <w:sz w:val="21"/>
                <w:szCs w:val="21"/>
                <w:highlight w:val="none"/>
                <w:lang w:eastAsia="zh-CN"/>
              </w:rPr>
              <w:t>、</w:t>
            </w:r>
            <w:r>
              <w:rPr>
                <w:rFonts w:hint="eastAsia"/>
                <w:spacing w:val="-13"/>
                <w:sz w:val="21"/>
                <w:szCs w:val="21"/>
                <w:highlight w:val="none"/>
                <w:lang w:eastAsia="zh-CN"/>
              </w:rPr>
              <w:t>中国执行信息公开网</w:t>
            </w:r>
            <w:r>
              <w:rPr>
                <w:rFonts w:hint="eastAsia"/>
                <w:sz w:val="21"/>
                <w:szCs w:val="21"/>
                <w:highlight w:val="none"/>
              </w:rPr>
              <w:t>和中国政府采购网信用记录若未提供，由代理机构查询并留存）为准。</w:t>
            </w:r>
          </w:p>
          <w:p w14:paraId="15B5AF8A">
            <w:pPr>
              <w:pStyle w:val="71"/>
              <w:spacing w:before="81"/>
              <w:ind w:left="107"/>
              <w:rPr>
                <w:sz w:val="21"/>
                <w:szCs w:val="21"/>
                <w:highlight w:val="none"/>
              </w:rPr>
            </w:pPr>
            <w:r>
              <w:rPr>
                <w:rFonts w:hint="eastAsia"/>
                <w:sz w:val="21"/>
                <w:szCs w:val="21"/>
                <w:highlight w:val="none"/>
                <w:lang w:val="en-US" w:eastAsia="zh-CN"/>
              </w:rPr>
              <w:t>（1）审查投标人提供的《中小企业声明函》或者《残疾人福利性单位声明函》或者《监狱企业证明》原件。（2）投标人提供的《中小企业声明函》或者《残疾人福利性单位声明函》存在明显错误的，资格审查小组可以按照要求投标人作出澄清；澄清后，符合中小企业条件的，予以通过资格审查；否则，资格不予审查通过，其投标无效。</w:t>
            </w:r>
          </w:p>
        </w:tc>
      </w:tr>
      <w:tr w14:paraId="79E50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767" w:type="dxa"/>
            <w:vMerge w:val="restart"/>
          </w:tcPr>
          <w:p w14:paraId="7394F6A1">
            <w:pPr>
              <w:pStyle w:val="71"/>
              <w:rPr>
                <w:b/>
                <w:sz w:val="21"/>
                <w:szCs w:val="21"/>
                <w:highlight w:val="none"/>
              </w:rPr>
            </w:pPr>
          </w:p>
          <w:p w14:paraId="13C2BDDB">
            <w:pPr>
              <w:pStyle w:val="71"/>
              <w:rPr>
                <w:b/>
                <w:sz w:val="21"/>
                <w:szCs w:val="21"/>
                <w:highlight w:val="none"/>
              </w:rPr>
            </w:pPr>
          </w:p>
          <w:p w14:paraId="783EA760">
            <w:pPr>
              <w:pStyle w:val="71"/>
              <w:spacing w:before="10"/>
              <w:rPr>
                <w:b/>
                <w:sz w:val="21"/>
                <w:szCs w:val="21"/>
                <w:highlight w:val="none"/>
              </w:rPr>
            </w:pPr>
          </w:p>
          <w:p w14:paraId="1671FCCF">
            <w:pPr>
              <w:pStyle w:val="71"/>
              <w:ind w:left="203"/>
              <w:rPr>
                <w:sz w:val="21"/>
                <w:szCs w:val="21"/>
                <w:highlight w:val="none"/>
              </w:rPr>
            </w:pPr>
            <w:r>
              <w:rPr>
                <w:rFonts w:hint="eastAsia"/>
                <w:sz w:val="21"/>
                <w:szCs w:val="21"/>
                <w:highlight w:val="none"/>
              </w:rPr>
              <w:t>2.2</w:t>
            </w:r>
          </w:p>
        </w:tc>
        <w:tc>
          <w:tcPr>
            <w:tcW w:w="1035" w:type="dxa"/>
            <w:vMerge w:val="restart"/>
          </w:tcPr>
          <w:p w14:paraId="5B846EEF">
            <w:pPr>
              <w:pStyle w:val="71"/>
              <w:rPr>
                <w:b/>
                <w:sz w:val="21"/>
                <w:szCs w:val="21"/>
                <w:highlight w:val="none"/>
              </w:rPr>
            </w:pPr>
          </w:p>
          <w:p w14:paraId="73F6DA51">
            <w:pPr>
              <w:pStyle w:val="71"/>
              <w:spacing w:before="3"/>
              <w:rPr>
                <w:b/>
                <w:sz w:val="21"/>
                <w:szCs w:val="21"/>
                <w:highlight w:val="none"/>
              </w:rPr>
            </w:pPr>
          </w:p>
          <w:p w14:paraId="05869369">
            <w:pPr>
              <w:pStyle w:val="71"/>
              <w:spacing w:before="1" w:line="364" w:lineRule="auto"/>
              <w:ind w:left="156" w:right="146"/>
              <w:jc w:val="center"/>
              <w:rPr>
                <w:sz w:val="21"/>
                <w:szCs w:val="21"/>
                <w:highlight w:val="none"/>
              </w:rPr>
            </w:pPr>
            <w:r>
              <w:rPr>
                <w:rFonts w:hint="eastAsia"/>
                <w:sz w:val="21"/>
                <w:szCs w:val="21"/>
                <w:highlight w:val="none"/>
              </w:rPr>
              <w:t xml:space="preserve">形式 </w:t>
            </w:r>
            <w:r>
              <w:rPr>
                <w:rFonts w:hint="eastAsia"/>
                <w:spacing w:val="-6"/>
                <w:sz w:val="21"/>
                <w:szCs w:val="21"/>
                <w:highlight w:val="none"/>
              </w:rPr>
              <w:t>评审标</w:t>
            </w:r>
            <w:r>
              <w:rPr>
                <w:rFonts w:hint="eastAsia"/>
                <w:sz w:val="21"/>
                <w:szCs w:val="21"/>
                <w:highlight w:val="none"/>
              </w:rPr>
              <w:t>准</w:t>
            </w:r>
          </w:p>
        </w:tc>
        <w:tc>
          <w:tcPr>
            <w:tcW w:w="1845" w:type="dxa"/>
          </w:tcPr>
          <w:p w14:paraId="7B59CEB4">
            <w:pPr>
              <w:pStyle w:val="71"/>
              <w:spacing w:before="152"/>
              <w:ind w:left="181" w:right="174"/>
              <w:jc w:val="center"/>
              <w:rPr>
                <w:sz w:val="21"/>
                <w:szCs w:val="21"/>
                <w:highlight w:val="none"/>
              </w:rPr>
            </w:pPr>
            <w:r>
              <w:rPr>
                <w:rFonts w:hint="eastAsia"/>
                <w:sz w:val="21"/>
                <w:szCs w:val="21"/>
                <w:highlight w:val="none"/>
              </w:rPr>
              <w:t>投标人名称</w:t>
            </w:r>
          </w:p>
        </w:tc>
        <w:tc>
          <w:tcPr>
            <w:tcW w:w="6451" w:type="dxa"/>
          </w:tcPr>
          <w:p w14:paraId="08C6E62C">
            <w:pPr>
              <w:pStyle w:val="71"/>
              <w:spacing w:before="152"/>
              <w:ind w:left="108"/>
              <w:rPr>
                <w:sz w:val="21"/>
                <w:szCs w:val="21"/>
                <w:highlight w:val="none"/>
              </w:rPr>
            </w:pPr>
            <w:r>
              <w:rPr>
                <w:rFonts w:hint="eastAsia"/>
                <w:sz w:val="21"/>
                <w:szCs w:val="21"/>
                <w:highlight w:val="none"/>
              </w:rPr>
              <w:t>与营业执照、资质证书、安全生产许可证一致</w:t>
            </w:r>
          </w:p>
        </w:tc>
      </w:tr>
      <w:tr w14:paraId="0F619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767" w:type="dxa"/>
            <w:vMerge w:val="continue"/>
            <w:tcBorders>
              <w:top w:val="nil"/>
            </w:tcBorders>
          </w:tcPr>
          <w:p w14:paraId="4EBC4A48">
            <w:pPr>
              <w:rPr>
                <w:sz w:val="21"/>
                <w:szCs w:val="21"/>
                <w:highlight w:val="none"/>
              </w:rPr>
            </w:pPr>
          </w:p>
        </w:tc>
        <w:tc>
          <w:tcPr>
            <w:tcW w:w="1035" w:type="dxa"/>
            <w:vMerge w:val="continue"/>
            <w:tcBorders>
              <w:top w:val="nil"/>
            </w:tcBorders>
          </w:tcPr>
          <w:p w14:paraId="7C3A3F4F">
            <w:pPr>
              <w:rPr>
                <w:sz w:val="21"/>
                <w:szCs w:val="21"/>
                <w:highlight w:val="none"/>
              </w:rPr>
            </w:pPr>
          </w:p>
        </w:tc>
        <w:tc>
          <w:tcPr>
            <w:tcW w:w="1845" w:type="dxa"/>
          </w:tcPr>
          <w:p w14:paraId="2AF1A9F5">
            <w:pPr>
              <w:pStyle w:val="71"/>
              <w:spacing w:before="1" w:line="440" w:lineRule="exact"/>
              <w:ind w:left="681" w:right="311" w:hanging="360"/>
              <w:rPr>
                <w:sz w:val="21"/>
                <w:szCs w:val="21"/>
                <w:highlight w:val="none"/>
              </w:rPr>
            </w:pPr>
            <w:r>
              <w:rPr>
                <w:rFonts w:hint="eastAsia"/>
                <w:sz w:val="21"/>
                <w:szCs w:val="21"/>
                <w:highlight w:val="none"/>
              </w:rPr>
              <w:t>投标函签字盖章</w:t>
            </w:r>
          </w:p>
        </w:tc>
        <w:tc>
          <w:tcPr>
            <w:tcW w:w="6451" w:type="dxa"/>
          </w:tcPr>
          <w:p w14:paraId="352467DD">
            <w:pPr>
              <w:pStyle w:val="71"/>
              <w:spacing w:before="1"/>
              <w:rPr>
                <w:b/>
                <w:sz w:val="21"/>
                <w:szCs w:val="21"/>
                <w:highlight w:val="none"/>
              </w:rPr>
            </w:pPr>
          </w:p>
          <w:p w14:paraId="6E5FACEE">
            <w:pPr>
              <w:pStyle w:val="71"/>
              <w:ind w:left="108"/>
              <w:rPr>
                <w:sz w:val="21"/>
                <w:szCs w:val="21"/>
                <w:highlight w:val="none"/>
              </w:rPr>
            </w:pPr>
            <w:r>
              <w:rPr>
                <w:rFonts w:hint="eastAsia"/>
                <w:sz w:val="21"/>
                <w:szCs w:val="21"/>
                <w:highlight w:val="none"/>
              </w:rPr>
              <w:t>符合第八章“投标文件格式”的要求</w:t>
            </w:r>
          </w:p>
        </w:tc>
      </w:tr>
      <w:tr w14:paraId="5AE7E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67" w:type="dxa"/>
            <w:vMerge w:val="continue"/>
            <w:tcBorders>
              <w:top w:val="nil"/>
            </w:tcBorders>
          </w:tcPr>
          <w:p w14:paraId="755459A6">
            <w:pPr>
              <w:rPr>
                <w:sz w:val="21"/>
                <w:szCs w:val="21"/>
                <w:highlight w:val="none"/>
              </w:rPr>
            </w:pPr>
          </w:p>
        </w:tc>
        <w:tc>
          <w:tcPr>
            <w:tcW w:w="1035" w:type="dxa"/>
            <w:vMerge w:val="continue"/>
            <w:tcBorders>
              <w:top w:val="nil"/>
            </w:tcBorders>
          </w:tcPr>
          <w:p w14:paraId="56781B1A">
            <w:pPr>
              <w:rPr>
                <w:sz w:val="21"/>
                <w:szCs w:val="21"/>
                <w:highlight w:val="none"/>
              </w:rPr>
            </w:pPr>
          </w:p>
        </w:tc>
        <w:tc>
          <w:tcPr>
            <w:tcW w:w="1845" w:type="dxa"/>
          </w:tcPr>
          <w:p w14:paraId="09952EF4">
            <w:pPr>
              <w:pStyle w:val="71"/>
              <w:spacing w:before="182"/>
              <w:ind w:left="181" w:right="174"/>
              <w:jc w:val="center"/>
              <w:rPr>
                <w:sz w:val="21"/>
                <w:szCs w:val="21"/>
                <w:highlight w:val="none"/>
              </w:rPr>
            </w:pPr>
            <w:r>
              <w:rPr>
                <w:rFonts w:hint="eastAsia"/>
                <w:sz w:val="21"/>
                <w:szCs w:val="21"/>
                <w:highlight w:val="none"/>
              </w:rPr>
              <w:t>投标文件格式</w:t>
            </w:r>
          </w:p>
        </w:tc>
        <w:tc>
          <w:tcPr>
            <w:tcW w:w="6451" w:type="dxa"/>
          </w:tcPr>
          <w:p w14:paraId="5580D50E">
            <w:pPr>
              <w:pStyle w:val="71"/>
              <w:spacing w:before="182"/>
              <w:ind w:left="108"/>
              <w:rPr>
                <w:sz w:val="21"/>
                <w:szCs w:val="21"/>
                <w:highlight w:val="none"/>
              </w:rPr>
            </w:pPr>
            <w:r>
              <w:rPr>
                <w:rFonts w:hint="eastAsia"/>
                <w:sz w:val="21"/>
                <w:szCs w:val="21"/>
                <w:highlight w:val="none"/>
              </w:rPr>
              <w:t>符合第八章“投标文件格式”的要求</w:t>
            </w:r>
          </w:p>
        </w:tc>
      </w:tr>
      <w:tr w14:paraId="173E6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67" w:type="dxa"/>
            <w:vMerge w:val="continue"/>
            <w:tcBorders>
              <w:top w:val="nil"/>
            </w:tcBorders>
          </w:tcPr>
          <w:p w14:paraId="5FC4B059">
            <w:pPr>
              <w:rPr>
                <w:sz w:val="21"/>
                <w:szCs w:val="21"/>
                <w:highlight w:val="none"/>
              </w:rPr>
            </w:pPr>
          </w:p>
        </w:tc>
        <w:tc>
          <w:tcPr>
            <w:tcW w:w="1035" w:type="dxa"/>
            <w:vMerge w:val="continue"/>
            <w:tcBorders>
              <w:top w:val="nil"/>
            </w:tcBorders>
          </w:tcPr>
          <w:p w14:paraId="084976EA">
            <w:pPr>
              <w:rPr>
                <w:sz w:val="21"/>
                <w:szCs w:val="21"/>
                <w:highlight w:val="none"/>
              </w:rPr>
            </w:pPr>
          </w:p>
        </w:tc>
        <w:tc>
          <w:tcPr>
            <w:tcW w:w="1845" w:type="dxa"/>
          </w:tcPr>
          <w:p w14:paraId="59699CEE">
            <w:pPr>
              <w:pStyle w:val="71"/>
              <w:spacing w:before="192"/>
              <w:ind w:left="181" w:right="174"/>
              <w:jc w:val="center"/>
              <w:rPr>
                <w:sz w:val="21"/>
                <w:szCs w:val="21"/>
                <w:highlight w:val="none"/>
              </w:rPr>
            </w:pPr>
            <w:r>
              <w:rPr>
                <w:rFonts w:hint="eastAsia"/>
                <w:sz w:val="21"/>
                <w:szCs w:val="21"/>
                <w:highlight w:val="none"/>
              </w:rPr>
              <w:t>报价唯一</w:t>
            </w:r>
          </w:p>
        </w:tc>
        <w:tc>
          <w:tcPr>
            <w:tcW w:w="6451" w:type="dxa"/>
          </w:tcPr>
          <w:p w14:paraId="0FF2713B">
            <w:pPr>
              <w:pStyle w:val="71"/>
              <w:spacing w:before="192"/>
              <w:ind w:left="108"/>
              <w:rPr>
                <w:sz w:val="21"/>
                <w:szCs w:val="21"/>
                <w:highlight w:val="none"/>
              </w:rPr>
            </w:pPr>
            <w:r>
              <w:rPr>
                <w:rFonts w:hint="eastAsia"/>
                <w:sz w:val="21"/>
                <w:szCs w:val="21"/>
                <w:highlight w:val="none"/>
              </w:rPr>
              <w:t>只能有一个有效报价</w:t>
            </w:r>
          </w:p>
        </w:tc>
      </w:tr>
      <w:tr w14:paraId="3330B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67" w:type="dxa"/>
            <w:vMerge w:val="restart"/>
          </w:tcPr>
          <w:p w14:paraId="734DEE7C">
            <w:pPr>
              <w:pStyle w:val="71"/>
              <w:rPr>
                <w:b/>
                <w:sz w:val="21"/>
                <w:szCs w:val="21"/>
                <w:highlight w:val="none"/>
              </w:rPr>
            </w:pPr>
          </w:p>
          <w:p w14:paraId="3A230435">
            <w:pPr>
              <w:pStyle w:val="71"/>
              <w:rPr>
                <w:b/>
                <w:sz w:val="21"/>
                <w:szCs w:val="21"/>
                <w:highlight w:val="none"/>
              </w:rPr>
            </w:pPr>
          </w:p>
          <w:p w14:paraId="59B967A8">
            <w:pPr>
              <w:pStyle w:val="71"/>
              <w:rPr>
                <w:b/>
                <w:sz w:val="21"/>
                <w:szCs w:val="21"/>
                <w:highlight w:val="none"/>
              </w:rPr>
            </w:pPr>
          </w:p>
          <w:p w14:paraId="4BDE74DE">
            <w:pPr>
              <w:pStyle w:val="71"/>
              <w:rPr>
                <w:b/>
                <w:sz w:val="21"/>
                <w:szCs w:val="21"/>
                <w:highlight w:val="none"/>
              </w:rPr>
            </w:pPr>
          </w:p>
          <w:p w14:paraId="7C9DA400">
            <w:pPr>
              <w:pStyle w:val="71"/>
              <w:rPr>
                <w:b/>
                <w:sz w:val="21"/>
                <w:szCs w:val="21"/>
                <w:highlight w:val="none"/>
              </w:rPr>
            </w:pPr>
          </w:p>
          <w:p w14:paraId="7A0DCE91">
            <w:pPr>
              <w:pStyle w:val="71"/>
              <w:spacing w:before="10"/>
              <w:rPr>
                <w:b/>
                <w:sz w:val="21"/>
                <w:szCs w:val="21"/>
                <w:highlight w:val="none"/>
              </w:rPr>
            </w:pPr>
          </w:p>
          <w:p w14:paraId="65E32E86">
            <w:pPr>
              <w:pStyle w:val="71"/>
              <w:ind w:left="203"/>
              <w:rPr>
                <w:sz w:val="21"/>
                <w:szCs w:val="21"/>
                <w:highlight w:val="none"/>
              </w:rPr>
            </w:pPr>
            <w:r>
              <w:rPr>
                <w:rFonts w:hint="eastAsia"/>
                <w:sz w:val="21"/>
                <w:szCs w:val="21"/>
                <w:highlight w:val="none"/>
              </w:rPr>
              <w:t>2.3</w:t>
            </w:r>
          </w:p>
        </w:tc>
        <w:tc>
          <w:tcPr>
            <w:tcW w:w="1035" w:type="dxa"/>
            <w:vMerge w:val="restart"/>
          </w:tcPr>
          <w:p w14:paraId="5768F0D3">
            <w:pPr>
              <w:pStyle w:val="71"/>
              <w:rPr>
                <w:b/>
                <w:sz w:val="21"/>
                <w:szCs w:val="21"/>
                <w:highlight w:val="none"/>
              </w:rPr>
            </w:pPr>
          </w:p>
          <w:p w14:paraId="577F0555">
            <w:pPr>
              <w:pStyle w:val="71"/>
              <w:rPr>
                <w:b/>
                <w:sz w:val="21"/>
                <w:szCs w:val="21"/>
                <w:highlight w:val="none"/>
              </w:rPr>
            </w:pPr>
          </w:p>
          <w:p w14:paraId="2B341B13">
            <w:pPr>
              <w:pStyle w:val="71"/>
              <w:rPr>
                <w:b/>
                <w:sz w:val="21"/>
                <w:szCs w:val="21"/>
                <w:highlight w:val="none"/>
              </w:rPr>
            </w:pPr>
          </w:p>
          <w:p w14:paraId="500A1B9B">
            <w:pPr>
              <w:pStyle w:val="71"/>
              <w:rPr>
                <w:b/>
                <w:sz w:val="21"/>
                <w:szCs w:val="21"/>
                <w:highlight w:val="none"/>
              </w:rPr>
            </w:pPr>
          </w:p>
          <w:p w14:paraId="23C03C79">
            <w:pPr>
              <w:pStyle w:val="71"/>
              <w:spacing w:before="159" w:line="364" w:lineRule="auto"/>
              <w:ind w:left="156" w:right="146"/>
              <w:jc w:val="center"/>
              <w:rPr>
                <w:sz w:val="21"/>
                <w:szCs w:val="21"/>
                <w:highlight w:val="none"/>
              </w:rPr>
            </w:pPr>
            <w:r>
              <w:rPr>
                <w:rFonts w:hint="eastAsia"/>
                <w:sz w:val="21"/>
                <w:szCs w:val="21"/>
                <w:highlight w:val="none"/>
              </w:rPr>
              <w:t>响应性评审标准</w:t>
            </w:r>
          </w:p>
        </w:tc>
        <w:tc>
          <w:tcPr>
            <w:tcW w:w="1845" w:type="dxa"/>
          </w:tcPr>
          <w:p w14:paraId="6970FD50">
            <w:pPr>
              <w:pStyle w:val="71"/>
              <w:spacing w:before="206"/>
              <w:ind w:left="181" w:right="174"/>
              <w:jc w:val="center"/>
              <w:rPr>
                <w:sz w:val="21"/>
                <w:szCs w:val="21"/>
                <w:highlight w:val="none"/>
              </w:rPr>
            </w:pPr>
            <w:r>
              <w:rPr>
                <w:rFonts w:hint="eastAsia"/>
                <w:sz w:val="21"/>
                <w:szCs w:val="21"/>
                <w:highlight w:val="none"/>
              </w:rPr>
              <w:t>工期</w:t>
            </w:r>
          </w:p>
        </w:tc>
        <w:tc>
          <w:tcPr>
            <w:tcW w:w="6451" w:type="dxa"/>
          </w:tcPr>
          <w:p w14:paraId="6971007A">
            <w:pPr>
              <w:pStyle w:val="71"/>
              <w:spacing w:before="206"/>
              <w:ind w:left="108"/>
              <w:rPr>
                <w:sz w:val="21"/>
                <w:szCs w:val="21"/>
                <w:highlight w:val="none"/>
              </w:rPr>
            </w:pPr>
            <w:r>
              <w:rPr>
                <w:rFonts w:hint="eastAsia"/>
                <w:sz w:val="21"/>
                <w:szCs w:val="21"/>
                <w:highlight w:val="none"/>
              </w:rPr>
              <w:t>符合第二章“投标人须知前附表”第 1.3.2 项规定</w:t>
            </w:r>
          </w:p>
        </w:tc>
      </w:tr>
      <w:tr w14:paraId="61C4E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767" w:type="dxa"/>
            <w:vMerge w:val="continue"/>
          </w:tcPr>
          <w:p w14:paraId="52EF2FD4">
            <w:pPr>
              <w:rPr>
                <w:sz w:val="21"/>
                <w:szCs w:val="21"/>
                <w:highlight w:val="none"/>
              </w:rPr>
            </w:pPr>
          </w:p>
        </w:tc>
        <w:tc>
          <w:tcPr>
            <w:tcW w:w="1035" w:type="dxa"/>
            <w:vMerge w:val="continue"/>
          </w:tcPr>
          <w:p w14:paraId="1125D432">
            <w:pPr>
              <w:rPr>
                <w:sz w:val="21"/>
                <w:szCs w:val="21"/>
                <w:highlight w:val="none"/>
              </w:rPr>
            </w:pPr>
          </w:p>
        </w:tc>
        <w:tc>
          <w:tcPr>
            <w:tcW w:w="1845" w:type="dxa"/>
          </w:tcPr>
          <w:p w14:paraId="19AD1FB1">
            <w:pPr>
              <w:pStyle w:val="71"/>
              <w:spacing w:before="208"/>
              <w:ind w:left="181" w:right="174"/>
              <w:jc w:val="center"/>
              <w:rPr>
                <w:sz w:val="21"/>
                <w:szCs w:val="21"/>
                <w:highlight w:val="none"/>
              </w:rPr>
            </w:pPr>
            <w:r>
              <w:rPr>
                <w:rFonts w:hint="eastAsia"/>
                <w:sz w:val="21"/>
                <w:szCs w:val="21"/>
                <w:highlight w:val="none"/>
              </w:rPr>
              <w:t>工程质量</w:t>
            </w:r>
          </w:p>
        </w:tc>
        <w:tc>
          <w:tcPr>
            <w:tcW w:w="6451" w:type="dxa"/>
          </w:tcPr>
          <w:p w14:paraId="4615BC9A">
            <w:pPr>
              <w:pStyle w:val="71"/>
              <w:spacing w:before="208"/>
              <w:ind w:left="108"/>
              <w:rPr>
                <w:sz w:val="21"/>
                <w:szCs w:val="21"/>
                <w:highlight w:val="none"/>
              </w:rPr>
            </w:pPr>
            <w:r>
              <w:rPr>
                <w:rFonts w:hint="eastAsia"/>
                <w:sz w:val="21"/>
                <w:szCs w:val="21"/>
                <w:highlight w:val="none"/>
              </w:rPr>
              <w:t>符合第二章“投标人须知前附表”第 1.3.3 项规定</w:t>
            </w:r>
          </w:p>
        </w:tc>
      </w:tr>
      <w:tr w14:paraId="33334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767" w:type="dxa"/>
            <w:vMerge w:val="continue"/>
          </w:tcPr>
          <w:p w14:paraId="625DC943">
            <w:pPr>
              <w:rPr>
                <w:sz w:val="21"/>
                <w:szCs w:val="21"/>
                <w:highlight w:val="none"/>
              </w:rPr>
            </w:pPr>
          </w:p>
        </w:tc>
        <w:tc>
          <w:tcPr>
            <w:tcW w:w="1035" w:type="dxa"/>
            <w:vMerge w:val="continue"/>
          </w:tcPr>
          <w:p w14:paraId="54904529">
            <w:pPr>
              <w:rPr>
                <w:sz w:val="21"/>
                <w:szCs w:val="21"/>
                <w:highlight w:val="none"/>
              </w:rPr>
            </w:pPr>
          </w:p>
        </w:tc>
        <w:tc>
          <w:tcPr>
            <w:tcW w:w="1845" w:type="dxa"/>
          </w:tcPr>
          <w:p w14:paraId="384D3F9A">
            <w:pPr>
              <w:pStyle w:val="71"/>
              <w:spacing w:before="9"/>
              <w:rPr>
                <w:b/>
                <w:sz w:val="21"/>
                <w:szCs w:val="21"/>
                <w:highlight w:val="none"/>
              </w:rPr>
            </w:pPr>
          </w:p>
          <w:p w14:paraId="762A7A82">
            <w:pPr>
              <w:pStyle w:val="71"/>
              <w:spacing w:before="1"/>
              <w:ind w:left="181" w:right="174"/>
              <w:jc w:val="center"/>
              <w:rPr>
                <w:sz w:val="21"/>
                <w:szCs w:val="21"/>
                <w:highlight w:val="none"/>
              </w:rPr>
            </w:pPr>
            <w:r>
              <w:rPr>
                <w:rFonts w:hint="eastAsia"/>
                <w:sz w:val="21"/>
                <w:szCs w:val="21"/>
                <w:highlight w:val="none"/>
              </w:rPr>
              <w:t>投标有效期</w:t>
            </w:r>
          </w:p>
        </w:tc>
        <w:tc>
          <w:tcPr>
            <w:tcW w:w="6451" w:type="dxa"/>
          </w:tcPr>
          <w:p w14:paraId="35F742F7">
            <w:pPr>
              <w:pStyle w:val="71"/>
              <w:spacing w:before="9"/>
              <w:rPr>
                <w:b/>
                <w:sz w:val="21"/>
                <w:szCs w:val="21"/>
                <w:highlight w:val="none"/>
              </w:rPr>
            </w:pPr>
          </w:p>
          <w:p w14:paraId="0F07FBE9">
            <w:pPr>
              <w:pStyle w:val="71"/>
              <w:spacing w:before="1"/>
              <w:ind w:left="108"/>
              <w:rPr>
                <w:sz w:val="21"/>
                <w:szCs w:val="21"/>
                <w:highlight w:val="none"/>
              </w:rPr>
            </w:pPr>
            <w:r>
              <w:rPr>
                <w:rFonts w:hint="eastAsia"/>
                <w:sz w:val="21"/>
                <w:szCs w:val="21"/>
                <w:highlight w:val="none"/>
              </w:rPr>
              <w:t>符合第二章“投标人须知前附表”第 3.3.1 项规定</w:t>
            </w:r>
          </w:p>
        </w:tc>
      </w:tr>
      <w:tr w14:paraId="3E27F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67" w:type="dxa"/>
            <w:vMerge w:val="continue"/>
          </w:tcPr>
          <w:p w14:paraId="3FF210B1">
            <w:pPr>
              <w:rPr>
                <w:sz w:val="21"/>
                <w:szCs w:val="21"/>
                <w:highlight w:val="none"/>
              </w:rPr>
            </w:pPr>
          </w:p>
        </w:tc>
        <w:tc>
          <w:tcPr>
            <w:tcW w:w="1035" w:type="dxa"/>
            <w:vMerge w:val="continue"/>
          </w:tcPr>
          <w:p w14:paraId="6045EAB9">
            <w:pPr>
              <w:rPr>
                <w:sz w:val="21"/>
                <w:szCs w:val="21"/>
                <w:highlight w:val="none"/>
              </w:rPr>
            </w:pPr>
          </w:p>
        </w:tc>
        <w:tc>
          <w:tcPr>
            <w:tcW w:w="1845" w:type="dxa"/>
          </w:tcPr>
          <w:p w14:paraId="0CDC453B">
            <w:pPr>
              <w:pStyle w:val="71"/>
              <w:spacing w:before="211"/>
              <w:ind w:left="181" w:right="174"/>
              <w:jc w:val="center"/>
              <w:rPr>
                <w:sz w:val="21"/>
                <w:szCs w:val="21"/>
                <w:highlight w:val="none"/>
              </w:rPr>
            </w:pPr>
            <w:r>
              <w:rPr>
                <w:rFonts w:hint="eastAsia"/>
                <w:sz w:val="21"/>
                <w:szCs w:val="21"/>
                <w:highlight w:val="none"/>
              </w:rPr>
              <w:t>权利义务</w:t>
            </w:r>
          </w:p>
        </w:tc>
        <w:tc>
          <w:tcPr>
            <w:tcW w:w="6451" w:type="dxa"/>
          </w:tcPr>
          <w:p w14:paraId="7124BB6E">
            <w:pPr>
              <w:pStyle w:val="71"/>
              <w:spacing w:before="211"/>
              <w:ind w:left="108"/>
              <w:rPr>
                <w:sz w:val="21"/>
                <w:szCs w:val="21"/>
                <w:highlight w:val="none"/>
              </w:rPr>
            </w:pPr>
            <w:r>
              <w:rPr>
                <w:rFonts w:hint="eastAsia"/>
                <w:sz w:val="21"/>
                <w:szCs w:val="21"/>
                <w:highlight w:val="none"/>
              </w:rPr>
              <w:t>投标函附录中的响应表符合或优于招标文件的相关规定</w:t>
            </w:r>
          </w:p>
        </w:tc>
      </w:tr>
      <w:tr w14:paraId="16208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67" w:type="dxa"/>
            <w:vMerge w:val="continue"/>
          </w:tcPr>
          <w:p w14:paraId="46BA7C4A">
            <w:pPr>
              <w:rPr>
                <w:sz w:val="21"/>
                <w:szCs w:val="21"/>
                <w:highlight w:val="none"/>
              </w:rPr>
            </w:pPr>
          </w:p>
        </w:tc>
        <w:tc>
          <w:tcPr>
            <w:tcW w:w="1035" w:type="dxa"/>
            <w:vMerge w:val="continue"/>
          </w:tcPr>
          <w:p w14:paraId="42FD9A1E">
            <w:pPr>
              <w:rPr>
                <w:sz w:val="21"/>
                <w:szCs w:val="21"/>
                <w:highlight w:val="none"/>
              </w:rPr>
            </w:pPr>
          </w:p>
        </w:tc>
        <w:tc>
          <w:tcPr>
            <w:tcW w:w="1845" w:type="dxa"/>
          </w:tcPr>
          <w:p w14:paraId="0B237B63">
            <w:pPr>
              <w:pStyle w:val="71"/>
              <w:rPr>
                <w:b/>
                <w:sz w:val="21"/>
                <w:szCs w:val="21"/>
                <w:highlight w:val="none"/>
              </w:rPr>
            </w:pPr>
          </w:p>
          <w:p w14:paraId="5E2CA222">
            <w:pPr>
              <w:pStyle w:val="71"/>
              <w:ind w:left="181" w:right="174"/>
              <w:jc w:val="center"/>
              <w:rPr>
                <w:sz w:val="21"/>
                <w:szCs w:val="21"/>
                <w:highlight w:val="none"/>
              </w:rPr>
            </w:pPr>
            <w:r>
              <w:rPr>
                <w:rFonts w:hint="eastAsia"/>
                <w:sz w:val="21"/>
                <w:szCs w:val="21"/>
                <w:highlight w:val="none"/>
              </w:rPr>
              <w:t>有效投标价格</w:t>
            </w:r>
          </w:p>
        </w:tc>
        <w:tc>
          <w:tcPr>
            <w:tcW w:w="6451" w:type="dxa"/>
          </w:tcPr>
          <w:p w14:paraId="6788B5DA">
            <w:pPr>
              <w:pStyle w:val="71"/>
              <w:rPr>
                <w:b/>
                <w:sz w:val="21"/>
                <w:szCs w:val="21"/>
                <w:highlight w:val="none"/>
              </w:rPr>
            </w:pPr>
          </w:p>
          <w:p w14:paraId="0C07C91C">
            <w:pPr>
              <w:pStyle w:val="71"/>
              <w:ind w:left="108"/>
              <w:rPr>
                <w:sz w:val="21"/>
                <w:szCs w:val="21"/>
                <w:highlight w:val="none"/>
              </w:rPr>
            </w:pPr>
            <w:r>
              <w:rPr>
                <w:rFonts w:hint="eastAsia"/>
                <w:sz w:val="21"/>
                <w:szCs w:val="21"/>
                <w:highlight w:val="none"/>
                <w:lang w:val="en-US" w:eastAsia="zh-CN"/>
              </w:rPr>
              <w:t>不高于</w:t>
            </w:r>
            <w:r>
              <w:rPr>
                <w:rFonts w:hint="eastAsia"/>
                <w:sz w:val="21"/>
                <w:szCs w:val="21"/>
                <w:highlight w:val="none"/>
              </w:rPr>
              <w:t>本工程的最高投标限价。</w:t>
            </w:r>
          </w:p>
        </w:tc>
      </w:tr>
      <w:tr w14:paraId="0F33C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67" w:type="dxa"/>
            <w:vMerge w:val="continue"/>
          </w:tcPr>
          <w:p w14:paraId="247BE78E">
            <w:pPr>
              <w:rPr>
                <w:sz w:val="21"/>
                <w:szCs w:val="21"/>
                <w:highlight w:val="none"/>
              </w:rPr>
            </w:pPr>
          </w:p>
        </w:tc>
        <w:tc>
          <w:tcPr>
            <w:tcW w:w="1035" w:type="dxa"/>
            <w:vMerge w:val="continue"/>
          </w:tcPr>
          <w:p w14:paraId="4ED86F64">
            <w:pPr>
              <w:rPr>
                <w:sz w:val="21"/>
                <w:szCs w:val="21"/>
                <w:highlight w:val="none"/>
              </w:rPr>
            </w:pPr>
          </w:p>
        </w:tc>
        <w:tc>
          <w:tcPr>
            <w:tcW w:w="1845" w:type="dxa"/>
          </w:tcPr>
          <w:p w14:paraId="4261B6AC">
            <w:pPr>
              <w:pStyle w:val="71"/>
              <w:ind w:left="181" w:right="174"/>
              <w:jc w:val="center"/>
              <w:rPr>
                <w:rFonts w:hint="eastAsia"/>
                <w:sz w:val="21"/>
                <w:szCs w:val="21"/>
                <w:highlight w:val="none"/>
                <w:lang w:val="en-US" w:eastAsia="zh-CN"/>
              </w:rPr>
            </w:pPr>
          </w:p>
          <w:p w14:paraId="642B06F8">
            <w:pPr>
              <w:pStyle w:val="71"/>
              <w:ind w:left="181" w:right="174"/>
              <w:jc w:val="center"/>
              <w:rPr>
                <w:rFonts w:hint="default" w:eastAsia="宋体"/>
                <w:sz w:val="21"/>
                <w:szCs w:val="21"/>
                <w:highlight w:val="none"/>
                <w:lang w:val="en-US" w:eastAsia="zh-CN"/>
              </w:rPr>
            </w:pPr>
            <w:r>
              <w:rPr>
                <w:rFonts w:hint="eastAsia"/>
                <w:sz w:val="21"/>
                <w:szCs w:val="21"/>
                <w:highlight w:val="none"/>
                <w:lang w:val="en-US" w:eastAsia="zh-CN"/>
              </w:rPr>
              <w:t>已标价工程量清单</w:t>
            </w:r>
          </w:p>
        </w:tc>
        <w:tc>
          <w:tcPr>
            <w:tcW w:w="6451" w:type="dxa"/>
          </w:tcPr>
          <w:p w14:paraId="03C0FC02">
            <w:pPr>
              <w:pStyle w:val="71"/>
              <w:ind w:left="108"/>
              <w:rPr>
                <w:rFonts w:hint="eastAsia"/>
                <w:sz w:val="21"/>
                <w:szCs w:val="21"/>
                <w:highlight w:val="none"/>
                <w:lang w:val="en-US" w:eastAsia="zh-CN"/>
              </w:rPr>
            </w:pPr>
          </w:p>
          <w:p w14:paraId="422F2C74">
            <w:pPr>
              <w:pStyle w:val="71"/>
              <w:ind w:left="108"/>
              <w:rPr>
                <w:rFonts w:hint="eastAsia"/>
                <w:sz w:val="21"/>
                <w:szCs w:val="21"/>
                <w:highlight w:val="none"/>
              </w:rPr>
            </w:pPr>
            <w:r>
              <w:rPr>
                <w:rFonts w:hint="eastAsia"/>
                <w:sz w:val="21"/>
                <w:szCs w:val="21"/>
                <w:highlight w:val="none"/>
                <w:lang w:val="en-US" w:eastAsia="zh-CN"/>
              </w:rPr>
              <w:t>符合招标文件要求</w:t>
            </w:r>
          </w:p>
        </w:tc>
      </w:tr>
      <w:tr w14:paraId="5CD28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67" w:type="dxa"/>
            <w:vMerge w:val="continue"/>
          </w:tcPr>
          <w:p w14:paraId="7D99EE28">
            <w:pPr>
              <w:rPr>
                <w:sz w:val="21"/>
                <w:szCs w:val="21"/>
                <w:highlight w:val="none"/>
              </w:rPr>
            </w:pPr>
          </w:p>
        </w:tc>
        <w:tc>
          <w:tcPr>
            <w:tcW w:w="1035" w:type="dxa"/>
            <w:vMerge w:val="continue"/>
          </w:tcPr>
          <w:p w14:paraId="1A088BB6">
            <w:pPr>
              <w:rPr>
                <w:sz w:val="21"/>
                <w:szCs w:val="21"/>
                <w:highlight w:val="none"/>
              </w:rPr>
            </w:pPr>
          </w:p>
        </w:tc>
        <w:tc>
          <w:tcPr>
            <w:tcW w:w="1845" w:type="dxa"/>
          </w:tcPr>
          <w:p w14:paraId="06549951">
            <w:pPr>
              <w:pStyle w:val="71"/>
              <w:ind w:left="181" w:right="174"/>
              <w:jc w:val="center"/>
              <w:rPr>
                <w:rFonts w:hint="eastAsia"/>
                <w:sz w:val="21"/>
                <w:szCs w:val="21"/>
                <w:highlight w:val="none"/>
                <w:lang w:val="en-US" w:eastAsia="zh-CN"/>
              </w:rPr>
            </w:pPr>
          </w:p>
          <w:p w14:paraId="2B89AF29">
            <w:pPr>
              <w:pStyle w:val="71"/>
              <w:ind w:left="181" w:right="174"/>
              <w:jc w:val="center"/>
              <w:rPr>
                <w:rFonts w:hint="default" w:eastAsia="宋体"/>
                <w:sz w:val="21"/>
                <w:szCs w:val="21"/>
                <w:highlight w:val="none"/>
                <w:lang w:val="en-US" w:eastAsia="zh-CN"/>
              </w:rPr>
            </w:pPr>
            <w:r>
              <w:rPr>
                <w:rFonts w:hint="eastAsia"/>
                <w:sz w:val="21"/>
                <w:szCs w:val="21"/>
                <w:highlight w:val="none"/>
                <w:lang w:val="en-US" w:eastAsia="zh-CN"/>
              </w:rPr>
              <w:t>技术标准及要求的响应</w:t>
            </w:r>
          </w:p>
        </w:tc>
        <w:tc>
          <w:tcPr>
            <w:tcW w:w="6451" w:type="dxa"/>
          </w:tcPr>
          <w:p w14:paraId="300168AA">
            <w:pPr>
              <w:pStyle w:val="71"/>
              <w:ind w:left="108"/>
              <w:rPr>
                <w:rFonts w:hint="eastAsia"/>
                <w:sz w:val="21"/>
                <w:szCs w:val="21"/>
                <w:highlight w:val="none"/>
                <w:lang w:val="en-US" w:eastAsia="zh-CN"/>
              </w:rPr>
            </w:pPr>
          </w:p>
          <w:p w14:paraId="4B20D6D6">
            <w:pPr>
              <w:pStyle w:val="71"/>
              <w:ind w:left="108"/>
              <w:rPr>
                <w:rFonts w:hint="eastAsia"/>
                <w:sz w:val="21"/>
                <w:szCs w:val="21"/>
                <w:highlight w:val="none"/>
              </w:rPr>
            </w:pPr>
            <w:r>
              <w:rPr>
                <w:rFonts w:hint="eastAsia"/>
                <w:sz w:val="21"/>
                <w:szCs w:val="21"/>
                <w:highlight w:val="none"/>
                <w:lang w:val="en-US" w:eastAsia="zh-CN"/>
              </w:rPr>
              <w:t>符合招标文件要求</w:t>
            </w:r>
          </w:p>
        </w:tc>
      </w:tr>
    </w:tbl>
    <w:p w14:paraId="2BF85D88">
      <w:pPr>
        <w:rPr>
          <w:sz w:val="21"/>
          <w:szCs w:val="21"/>
          <w:highlight w:val="none"/>
        </w:rPr>
        <w:sectPr>
          <w:pgSz w:w="11910" w:h="16840"/>
          <w:pgMar w:top="1400" w:right="180" w:bottom="1100" w:left="800" w:header="0" w:footer="909" w:gutter="0"/>
          <w:cols w:space="720" w:num="1"/>
        </w:sectPr>
      </w:pPr>
    </w:p>
    <w:p w14:paraId="30130828">
      <w:pPr>
        <w:keepNext/>
        <w:spacing w:before="120" w:beforeLines="50" w:after="120" w:afterLines="50"/>
        <w:jc w:val="center"/>
        <w:outlineLvl w:val="3"/>
        <w:rPr>
          <w:rFonts w:ascii="黑体" w:hAnsi="黑体" w:eastAsia="黑体" w:cstheme="minorHAnsi"/>
          <w:sz w:val="32"/>
          <w:szCs w:val="32"/>
          <w:highlight w:val="none"/>
        </w:rPr>
      </w:pPr>
      <w:r>
        <w:rPr>
          <w:rFonts w:ascii="黑体" w:hAnsi="黑体" w:eastAsia="黑体" w:cstheme="minorHAnsi"/>
          <w:sz w:val="32"/>
          <w:szCs w:val="32"/>
          <w:highlight w:val="none"/>
        </w:rPr>
        <w:t>〖</w:t>
      </w:r>
      <w:r>
        <w:rPr>
          <w:rFonts w:hint="eastAsia" w:ascii="黑体" w:hAnsi="黑体" w:eastAsia="黑体" w:cstheme="minorHAnsi"/>
          <w:sz w:val="32"/>
          <w:szCs w:val="32"/>
          <w:highlight w:val="none"/>
          <w:lang w:val="en-US"/>
        </w:rPr>
        <w:t>商务部分和技术部分</w:t>
      </w:r>
      <w:r>
        <w:rPr>
          <w:rFonts w:ascii="黑体" w:hAnsi="黑体" w:eastAsia="黑体" w:cstheme="minorHAnsi"/>
          <w:sz w:val="32"/>
          <w:szCs w:val="32"/>
          <w:highlight w:val="none"/>
        </w:rPr>
        <w:t>分值一览表〗</w:t>
      </w:r>
    </w:p>
    <w:tbl>
      <w:tblPr>
        <w:tblStyle w:val="41"/>
        <w:tblpPr w:leftFromText="180" w:rightFromText="180" w:vertAnchor="text" w:horzAnchor="page" w:tblpX="1841" w:tblpY="19"/>
        <w:tblOverlap w:val="never"/>
        <w:tblW w:w="895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26"/>
        <w:gridCol w:w="622"/>
        <w:gridCol w:w="949"/>
        <w:gridCol w:w="5673"/>
        <w:gridCol w:w="1080"/>
      </w:tblGrid>
      <w:tr w14:paraId="0530BB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626" w:type="dxa"/>
            <w:tcBorders>
              <w:top w:val="single" w:color="auto" w:sz="2" w:space="0"/>
            </w:tcBorders>
            <w:shd w:val="clear" w:color="auto" w:fill="auto"/>
            <w:vAlign w:val="center"/>
          </w:tcPr>
          <w:p w14:paraId="55480A4A">
            <w:pPr>
              <w:spacing w:line="320" w:lineRule="exact"/>
              <w:jc w:val="center"/>
              <w:rPr>
                <w:rFonts w:ascii="Calibri"/>
                <w:b/>
                <w:sz w:val="21"/>
                <w:highlight w:val="none"/>
                <w:lang w:val="en-US"/>
              </w:rPr>
            </w:pPr>
            <w:r>
              <w:rPr>
                <w:rFonts w:hint="eastAsia" w:ascii="Calibri"/>
                <w:b/>
                <w:sz w:val="21"/>
                <w:highlight w:val="none"/>
                <w:lang w:val="en-US"/>
              </w:rPr>
              <w:t>项目</w:t>
            </w:r>
          </w:p>
        </w:tc>
        <w:tc>
          <w:tcPr>
            <w:tcW w:w="622" w:type="dxa"/>
            <w:tcBorders>
              <w:top w:val="single" w:color="auto" w:sz="2" w:space="0"/>
              <w:right w:val="single" w:color="auto" w:sz="4" w:space="0"/>
            </w:tcBorders>
            <w:shd w:val="clear" w:color="auto" w:fill="auto"/>
            <w:vAlign w:val="center"/>
          </w:tcPr>
          <w:p w14:paraId="5BD35158">
            <w:pPr>
              <w:spacing w:line="320" w:lineRule="exact"/>
              <w:jc w:val="center"/>
              <w:rPr>
                <w:rFonts w:ascii="Calibri"/>
                <w:b/>
                <w:sz w:val="21"/>
                <w:highlight w:val="none"/>
                <w:lang w:val="en-US"/>
              </w:rPr>
            </w:pPr>
            <w:r>
              <w:rPr>
                <w:rFonts w:hint="eastAsia" w:ascii="Calibri"/>
                <w:b/>
                <w:sz w:val="21"/>
                <w:highlight w:val="none"/>
                <w:lang w:val="en-US"/>
              </w:rPr>
              <w:t>分值</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F63E230">
            <w:pPr>
              <w:spacing w:line="320" w:lineRule="exact"/>
              <w:jc w:val="center"/>
              <w:rPr>
                <w:rFonts w:ascii="Calibri"/>
                <w:b/>
                <w:sz w:val="21"/>
                <w:highlight w:val="none"/>
                <w:lang w:val="en-US"/>
              </w:rPr>
            </w:pPr>
            <w:r>
              <w:rPr>
                <w:rFonts w:hint="eastAsia" w:ascii="Calibri"/>
                <w:b/>
                <w:sz w:val="21"/>
                <w:highlight w:val="none"/>
                <w:lang w:val="en-US"/>
              </w:rPr>
              <w:t>分项</w:t>
            </w:r>
          </w:p>
        </w:tc>
        <w:tc>
          <w:tcPr>
            <w:tcW w:w="5673" w:type="dxa"/>
            <w:tcBorders>
              <w:top w:val="single" w:color="auto" w:sz="2" w:space="0"/>
              <w:left w:val="single" w:color="auto" w:sz="4" w:space="0"/>
            </w:tcBorders>
            <w:shd w:val="clear" w:color="auto" w:fill="auto"/>
            <w:vAlign w:val="center"/>
          </w:tcPr>
          <w:p w14:paraId="2669779A">
            <w:pPr>
              <w:jc w:val="both"/>
              <w:rPr>
                <w:rFonts w:ascii="Calibri" w:cstheme="minorHAnsi"/>
                <w:b/>
                <w:sz w:val="21"/>
                <w:szCs w:val="21"/>
                <w:highlight w:val="none"/>
                <w:lang w:val="en-US"/>
              </w:rPr>
            </w:pPr>
            <w:r>
              <w:rPr>
                <w:rFonts w:hint="eastAsia" w:ascii="Calibri" w:cstheme="minorHAnsi"/>
                <w:b/>
                <w:sz w:val="21"/>
                <w:szCs w:val="21"/>
                <w:highlight w:val="none"/>
                <w:lang w:val="en-US"/>
              </w:rPr>
              <w:t>评审要素</w:t>
            </w:r>
          </w:p>
        </w:tc>
        <w:tc>
          <w:tcPr>
            <w:tcW w:w="1080" w:type="dxa"/>
            <w:tcBorders>
              <w:top w:val="single" w:color="auto" w:sz="2" w:space="0"/>
            </w:tcBorders>
            <w:shd w:val="clear" w:color="auto" w:fill="auto"/>
            <w:vAlign w:val="center"/>
          </w:tcPr>
          <w:p w14:paraId="3419FD0E">
            <w:pPr>
              <w:spacing w:line="320" w:lineRule="exact"/>
              <w:jc w:val="both"/>
              <w:rPr>
                <w:rFonts w:ascii="Calibri"/>
                <w:b/>
                <w:sz w:val="21"/>
                <w:highlight w:val="none"/>
                <w:lang w:val="en-US"/>
              </w:rPr>
            </w:pPr>
            <w:r>
              <w:rPr>
                <w:rFonts w:hint="eastAsia" w:ascii="Calibri"/>
                <w:b/>
                <w:sz w:val="21"/>
                <w:highlight w:val="none"/>
                <w:lang w:val="en-US"/>
              </w:rPr>
              <w:t>备注</w:t>
            </w:r>
          </w:p>
        </w:tc>
      </w:tr>
      <w:tr w14:paraId="5171F9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626" w:type="dxa"/>
            <w:tcBorders>
              <w:top w:val="single" w:color="auto" w:sz="2" w:space="0"/>
            </w:tcBorders>
            <w:shd w:val="clear" w:color="auto" w:fill="auto"/>
            <w:vAlign w:val="center"/>
          </w:tcPr>
          <w:p w14:paraId="28BCF3C4">
            <w:pPr>
              <w:spacing w:line="320" w:lineRule="exact"/>
              <w:jc w:val="center"/>
              <w:rPr>
                <w:rFonts w:hint="default" w:ascii="Calibri" w:eastAsia="宋体"/>
                <w:bCs/>
                <w:sz w:val="21"/>
                <w:highlight w:val="none"/>
                <w:lang w:val="en-US" w:eastAsia="zh-CN"/>
              </w:rPr>
            </w:pPr>
            <w:r>
              <w:rPr>
                <w:rFonts w:hint="eastAsia" w:ascii="Calibri"/>
                <w:bCs/>
                <w:sz w:val="21"/>
                <w:highlight w:val="none"/>
                <w:lang w:val="en-US" w:eastAsia="zh-CN"/>
              </w:rPr>
              <w:t>投标报价</w:t>
            </w:r>
          </w:p>
        </w:tc>
        <w:tc>
          <w:tcPr>
            <w:tcW w:w="622" w:type="dxa"/>
            <w:tcBorders>
              <w:top w:val="single" w:color="auto" w:sz="2" w:space="0"/>
              <w:right w:val="single" w:color="auto" w:sz="4" w:space="0"/>
            </w:tcBorders>
            <w:shd w:val="clear" w:color="auto" w:fill="auto"/>
            <w:vAlign w:val="center"/>
          </w:tcPr>
          <w:p w14:paraId="08B25BC9">
            <w:pPr>
              <w:spacing w:line="320" w:lineRule="exact"/>
              <w:jc w:val="center"/>
              <w:rPr>
                <w:rFonts w:ascii="Calibri"/>
                <w:bCs/>
                <w:sz w:val="21"/>
                <w:highlight w:val="none"/>
              </w:rPr>
            </w:pPr>
            <w:r>
              <w:rPr>
                <w:rFonts w:hint="eastAsia" w:ascii="Calibri"/>
                <w:bCs/>
                <w:sz w:val="21"/>
                <w:highlight w:val="none"/>
              </w:rPr>
              <w:t>3</w:t>
            </w:r>
            <w:r>
              <w:rPr>
                <w:rFonts w:ascii="Calibri"/>
                <w:bCs/>
                <w:sz w:val="21"/>
                <w:highlight w:val="none"/>
              </w:rPr>
              <w:t>0</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3252B7C">
            <w:pPr>
              <w:spacing w:line="320" w:lineRule="exact"/>
              <w:jc w:val="center"/>
              <w:rPr>
                <w:rFonts w:ascii="Calibri"/>
                <w:bCs/>
                <w:sz w:val="21"/>
                <w:highlight w:val="none"/>
              </w:rPr>
            </w:pPr>
            <w:r>
              <w:rPr>
                <w:rFonts w:hint="eastAsia" w:ascii="Calibri"/>
                <w:bCs/>
                <w:sz w:val="21"/>
                <w:highlight w:val="none"/>
              </w:rPr>
              <w:t>投标报价（</w:t>
            </w:r>
            <w:r>
              <w:rPr>
                <w:rFonts w:hint="eastAsia" w:ascii="Calibri"/>
                <w:bCs/>
                <w:sz w:val="21"/>
                <w:highlight w:val="none"/>
                <w:lang w:val="en-US" w:eastAsia="zh-CN"/>
              </w:rPr>
              <w:t>30</w:t>
            </w:r>
            <w:r>
              <w:rPr>
                <w:rFonts w:hint="eastAsia" w:ascii="Calibri"/>
                <w:bCs/>
                <w:sz w:val="21"/>
                <w:highlight w:val="none"/>
              </w:rPr>
              <w:t>）</w:t>
            </w:r>
          </w:p>
        </w:tc>
        <w:tc>
          <w:tcPr>
            <w:tcW w:w="5673" w:type="dxa"/>
            <w:tcBorders>
              <w:top w:val="single" w:color="auto" w:sz="2" w:space="0"/>
              <w:left w:val="single" w:color="auto" w:sz="4" w:space="0"/>
            </w:tcBorders>
            <w:shd w:val="clear" w:color="auto" w:fill="auto"/>
            <w:vAlign w:val="center"/>
          </w:tcPr>
          <w:p w14:paraId="3CF511E5">
            <w:pPr>
              <w:jc w:val="both"/>
              <w:rPr>
                <w:rFonts w:ascii="Calibri" w:cstheme="minorHAnsi"/>
                <w:sz w:val="21"/>
                <w:szCs w:val="21"/>
                <w:highlight w:val="none"/>
              </w:rPr>
            </w:pPr>
            <w:r>
              <w:rPr>
                <w:rFonts w:hint="eastAsia" w:ascii="Calibri" w:cstheme="minorHAnsi"/>
                <w:sz w:val="21"/>
                <w:szCs w:val="21"/>
                <w:highlight w:val="none"/>
              </w:rPr>
              <w:t>投标报价评标基准价=有效投标报价的算术平均值</w:t>
            </w:r>
          </w:p>
          <w:p w14:paraId="12123695">
            <w:pPr>
              <w:jc w:val="both"/>
              <w:rPr>
                <w:highlight w:val="none"/>
              </w:rPr>
            </w:pPr>
            <w:r>
              <w:rPr>
                <w:rFonts w:hint="eastAsia" w:ascii="Calibri" w:cstheme="minorHAnsi"/>
                <w:sz w:val="21"/>
                <w:szCs w:val="21"/>
                <w:highlight w:val="none"/>
              </w:rPr>
              <w:t>偏差率=100%×（投标人报价－评标基准价）/评标基准价投标人的有效报价等于评标基准价时得满分；每偏差+1%扣0.2分，每偏差-1%扣0.1分，正负不足1%时，按内插法计算，扣完为止。</w:t>
            </w:r>
          </w:p>
        </w:tc>
        <w:tc>
          <w:tcPr>
            <w:tcW w:w="1080" w:type="dxa"/>
            <w:tcBorders>
              <w:top w:val="single" w:color="auto" w:sz="2" w:space="0"/>
            </w:tcBorders>
            <w:shd w:val="clear" w:color="auto" w:fill="auto"/>
            <w:vAlign w:val="center"/>
          </w:tcPr>
          <w:p w14:paraId="3A1C95D6">
            <w:pPr>
              <w:spacing w:line="320" w:lineRule="exact"/>
              <w:jc w:val="both"/>
              <w:rPr>
                <w:rFonts w:ascii="Calibri"/>
                <w:bCs/>
                <w:sz w:val="21"/>
                <w:highlight w:val="none"/>
              </w:rPr>
            </w:pPr>
          </w:p>
        </w:tc>
      </w:tr>
      <w:tr w14:paraId="388573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26" w:type="dxa"/>
            <w:vMerge w:val="restart"/>
            <w:shd w:val="clear" w:color="auto" w:fill="auto"/>
            <w:vAlign w:val="center"/>
          </w:tcPr>
          <w:p w14:paraId="4F98ACF2">
            <w:pPr>
              <w:spacing w:line="320" w:lineRule="exact"/>
              <w:jc w:val="center"/>
              <w:rPr>
                <w:rFonts w:ascii="Calibri"/>
                <w:sz w:val="21"/>
                <w:highlight w:val="none"/>
              </w:rPr>
            </w:pPr>
            <w:r>
              <w:rPr>
                <w:rFonts w:ascii="Calibri"/>
                <w:sz w:val="21"/>
                <w:highlight w:val="none"/>
              </w:rPr>
              <w:t>技</w:t>
            </w:r>
          </w:p>
          <w:p w14:paraId="2A47F3E4">
            <w:pPr>
              <w:spacing w:line="320" w:lineRule="exact"/>
              <w:jc w:val="center"/>
              <w:rPr>
                <w:rFonts w:ascii="Calibri"/>
                <w:sz w:val="21"/>
                <w:highlight w:val="none"/>
              </w:rPr>
            </w:pPr>
            <w:r>
              <w:rPr>
                <w:rFonts w:ascii="Calibri"/>
                <w:sz w:val="21"/>
                <w:highlight w:val="none"/>
              </w:rPr>
              <w:t>术</w:t>
            </w:r>
          </w:p>
          <w:p w14:paraId="1B9CE1CE">
            <w:pPr>
              <w:spacing w:line="320" w:lineRule="exact"/>
              <w:jc w:val="center"/>
              <w:rPr>
                <w:rFonts w:ascii="Calibri"/>
                <w:sz w:val="21"/>
                <w:highlight w:val="none"/>
              </w:rPr>
            </w:pPr>
            <w:r>
              <w:rPr>
                <w:rFonts w:hint="eastAsia" w:ascii="Calibri"/>
                <w:sz w:val="21"/>
                <w:highlight w:val="none"/>
              </w:rPr>
              <w:t>部</w:t>
            </w:r>
          </w:p>
          <w:p w14:paraId="4B70804A">
            <w:pPr>
              <w:spacing w:line="320" w:lineRule="exact"/>
              <w:jc w:val="center"/>
              <w:rPr>
                <w:rFonts w:ascii="Calibri"/>
                <w:bCs/>
                <w:sz w:val="21"/>
                <w:highlight w:val="none"/>
              </w:rPr>
            </w:pPr>
            <w:r>
              <w:rPr>
                <w:rFonts w:hint="eastAsia" w:ascii="Calibri"/>
                <w:sz w:val="21"/>
                <w:highlight w:val="none"/>
              </w:rPr>
              <w:t>分</w:t>
            </w:r>
          </w:p>
        </w:tc>
        <w:tc>
          <w:tcPr>
            <w:tcW w:w="622" w:type="dxa"/>
            <w:vMerge w:val="restart"/>
            <w:shd w:val="clear" w:color="auto" w:fill="auto"/>
            <w:vAlign w:val="center"/>
          </w:tcPr>
          <w:p w14:paraId="5C751E77">
            <w:pPr>
              <w:spacing w:line="320" w:lineRule="exact"/>
              <w:jc w:val="center"/>
              <w:rPr>
                <w:rFonts w:hint="default" w:ascii="Calibri" w:eastAsia="宋体"/>
                <w:bCs/>
                <w:sz w:val="21"/>
                <w:highlight w:val="none"/>
                <w:lang w:val="en-US" w:eastAsia="zh-CN"/>
              </w:rPr>
            </w:pPr>
            <w:r>
              <w:rPr>
                <w:rFonts w:hint="eastAsia" w:ascii="Calibri"/>
                <w:bCs/>
                <w:sz w:val="21"/>
                <w:highlight w:val="none"/>
                <w:lang w:val="en-US" w:eastAsia="zh-CN"/>
              </w:rPr>
              <w:t>40</w:t>
            </w:r>
          </w:p>
        </w:tc>
        <w:tc>
          <w:tcPr>
            <w:tcW w:w="6622" w:type="dxa"/>
            <w:gridSpan w:val="2"/>
            <w:shd w:val="clear" w:color="auto" w:fill="auto"/>
            <w:vAlign w:val="center"/>
          </w:tcPr>
          <w:p w14:paraId="3D1D05DF">
            <w:pPr>
              <w:spacing w:line="320" w:lineRule="exact"/>
              <w:jc w:val="both"/>
              <w:rPr>
                <w:rFonts w:ascii="Calibri" w:cstheme="minorHAnsi"/>
                <w:bCs/>
                <w:sz w:val="21"/>
                <w:szCs w:val="21"/>
                <w:highlight w:val="none"/>
              </w:rPr>
            </w:pPr>
            <w:r>
              <w:rPr>
                <w:rFonts w:hint="eastAsia" w:ascii="Calibri" w:cstheme="minorHAnsi"/>
                <w:bCs/>
                <w:sz w:val="21"/>
                <w:szCs w:val="21"/>
                <w:highlight w:val="none"/>
              </w:rPr>
              <w:t>工程质量的技术措施（</w:t>
            </w:r>
            <w:r>
              <w:rPr>
                <w:rFonts w:hint="eastAsia" w:ascii="Calibri" w:cstheme="minorHAnsi"/>
                <w:bCs/>
                <w:sz w:val="21"/>
                <w:szCs w:val="21"/>
                <w:highlight w:val="none"/>
                <w:lang w:val="en-US" w:eastAsia="zh-CN"/>
              </w:rPr>
              <w:t>2</w:t>
            </w:r>
            <w:r>
              <w:rPr>
                <w:rFonts w:hint="eastAsia" w:ascii="Calibri" w:cstheme="minorHAnsi"/>
                <w:bCs/>
                <w:sz w:val="21"/>
                <w:szCs w:val="21"/>
                <w:highlight w:val="none"/>
              </w:rPr>
              <w:t>-</w:t>
            </w:r>
            <w:r>
              <w:rPr>
                <w:rFonts w:hint="eastAsia" w:ascii="Calibri" w:cstheme="minorHAnsi"/>
                <w:bCs/>
                <w:sz w:val="21"/>
                <w:szCs w:val="21"/>
                <w:highlight w:val="none"/>
                <w:lang w:val="en-US" w:eastAsia="zh-CN"/>
              </w:rPr>
              <w:t>4</w:t>
            </w:r>
            <w:r>
              <w:rPr>
                <w:rFonts w:hint="eastAsia" w:ascii="Calibri" w:cstheme="minorHAnsi"/>
                <w:bCs/>
                <w:sz w:val="21"/>
                <w:szCs w:val="21"/>
                <w:highlight w:val="none"/>
              </w:rPr>
              <w:t>分）</w:t>
            </w:r>
          </w:p>
        </w:tc>
        <w:tc>
          <w:tcPr>
            <w:tcW w:w="1080" w:type="dxa"/>
            <w:vMerge w:val="restart"/>
            <w:shd w:val="clear" w:color="auto" w:fill="auto"/>
            <w:vAlign w:val="center"/>
          </w:tcPr>
          <w:p w14:paraId="0C3E921F">
            <w:pPr>
              <w:spacing w:line="320" w:lineRule="exact"/>
              <w:jc w:val="both"/>
              <w:rPr>
                <w:rFonts w:ascii="Calibri"/>
                <w:bCs/>
                <w:sz w:val="21"/>
                <w:highlight w:val="none"/>
              </w:rPr>
            </w:pPr>
          </w:p>
          <w:p w14:paraId="28C095F0">
            <w:pPr>
              <w:spacing w:line="320" w:lineRule="exact"/>
              <w:jc w:val="both"/>
              <w:rPr>
                <w:rFonts w:ascii="Calibri"/>
                <w:bCs/>
                <w:sz w:val="21"/>
                <w:highlight w:val="none"/>
              </w:rPr>
            </w:pPr>
          </w:p>
          <w:p w14:paraId="09C9F5E2">
            <w:pPr>
              <w:spacing w:line="320" w:lineRule="exact"/>
              <w:jc w:val="both"/>
              <w:rPr>
                <w:rFonts w:ascii="Calibri"/>
                <w:bCs/>
                <w:sz w:val="21"/>
                <w:highlight w:val="none"/>
              </w:rPr>
            </w:pPr>
          </w:p>
          <w:p w14:paraId="7B40C882">
            <w:pPr>
              <w:spacing w:line="320" w:lineRule="exact"/>
              <w:jc w:val="both"/>
              <w:rPr>
                <w:rFonts w:ascii="Calibri"/>
                <w:bCs/>
                <w:sz w:val="21"/>
                <w:highlight w:val="none"/>
              </w:rPr>
            </w:pPr>
            <w:r>
              <w:rPr>
                <w:rFonts w:hint="eastAsia" w:ascii="Calibri"/>
                <w:bCs/>
                <w:sz w:val="21"/>
                <w:highlight w:val="none"/>
              </w:rPr>
              <w:t>注：若出现缺项或只有标题无内容或内容有严重错误者，该项得0分。主要考虑合理性、科学性、可行性。</w:t>
            </w:r>
          </w:p>
        </w:tc>
      </w:tr>
      <w:tr w14:paraId="2EBF3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26" w:type="dxa"/>
            <w:vMerge w:val="continue"/>
            <w:shd w:val="clear" w:color="auto" w:fill="auto"/>
            <w:vAlign w:val="center"/>
          </w:tcPr>
          <w:p w14:paraId="2312A624">
            <w:pPr>
              <w:spacing w:line="320" w:lineRule="exact"/>
              <w:jc w:val="center"/>
              <w:rPr>
                <w:rFonts w:ascii="Calibri"/>
                <w:bCs/>
                <w:sz w:val="21"/>
                <w:highlight w:val="none"/>
              </w:rPr>
            </w:pPr>
          </w:p>
        </w:tc>
        <w:tc>
          <w:tcPr>
            <w:tcW w:w="622" w:type="dxa"/>
            <w:vMerge w:val="continue"/>
            <w:shd w:val="clear" w:color="auto" w:fill="auto"/>
            <w:vAlign w:val="center"/>
          </w:tcPr>
          <w:p w14:paraId="1DFFA61E">
            <w:pPr>
              <w:spacing w:line="320" w:lineRule="exact"/>
              <w:jc w:val="center"/>
              <w:rPr>
                <w:rFonts w:ascii="Calibri"/>
                <w:bCs/>
                <w:sz w:val="21"/>
                <w:highlight w:val="none"/>
              </w:rPr>
            </w:pPr>
          </w:p>
        </w:tc>
        <w:tc>
          <w:tcPr>
            <w:tcW w:w="6622" w:type="dxa"/>
            <w:gridSpan w:val="2"/>
            <w:shd w:val="clear" w:color="auto" w:fill="auto"/>
            <w:vAlign w:val="center"/>
          </w:tcPr>
          <w:p w14:paraId="70D980A3">
            <w:pPr>
              <w:spacing w:line="320" w:lineRule="exact"/>
              <w:jc w:val="both"/>
              <w:rPr>
                <w:rFonts w:ascii="Calibri" w:cstheme="minorHAnsi"/>
                <w:bCs/>
                <w:sz w:val="21"/>
                <w:szCs w:val="21"/>
                <w:highlight w:val="none"/>
              </w:rPr>
            </w:pPr>
            <w:r>
              <w:rPr>
                <w:rFonts w:hint="eastAsia" w:ascii="Calibri" w:cstheme="minorHAnsi"/>
                <w:bCs/>
                <w:sz w:val="21"/>
                <w:szCs w:val="21"/>
                <w:highlight w:val="none"/>
              </w:rPr>
              <w:t>工期的技术组织措施（</w:t>
            </w:r>
            <w:r>
              <w:rPr>
                <w:rFonts w:hint="eastAsia" w:ascii="Calibri" w:cstheme="minorHAnsi"/>
                <w:bCs/>
                <w:sz w:val="21"/>
                <w:szCs w:val="21"/>
                <w:highlight w:val="none"/>
                <w:lang w:val="en-US" w:eastAsia="zh-CN"/>
              </w:rPr>
              <w:t>2</w:t>
            </w:r>
            <w:r>
              <w:rPr>
                <w:rFonts w:hint="eastAsia" w:ascii="Calibri" w:cstheme="minorHAnsi"/>
                <w:bCs/>
                <w:sz w:val="21"/>
                <w:szCs w:val="21"/>
                <w:highlight w:val="none"/>
              </w:rPr>
              <w:t>-</w:t>
            </w:r>
            <w:r>
              <w:rPr>
                <w:rFonts w:hint="eastAsia" w:ascii="Calibri" w:cstheme="minorHAnsi"/>
                <w:bCs/>
                <w:sz w:val="21"/>
                <w:szCs w:val="21"/>
                <w:highlight w:val="none"/>
                <w:lang w:val="en-US" w:eastAsia="zh-CN"/>
              </w:rPr>
              <w:t>4</w:t>
            </w:r>
            <w:r>
              <w:rPr>
                <w:rFonts w:hint="eastAsia" w:ascii="Calibri" w:cstheme="minorHAnsi"/>
                <w:bCs/>
                <w:sz w:val="21"/>
                <w:szCs w:val="21"/>
                <w:highlight w:val="none"/>
              </w:rPr>
              <w:t>分）</w:t>
            </w:r>
          </w:p>
        </w:tc>
        <w:tc>
          <w:tcPr>
            <w:tcW w:w="1080" w:type="dxa"/>
            <w:vMerge w:val="continue"/>
            <w:shd w:val="clear" w:color="auto" w:fill="auto"/>
            <w:vAlign w:val="center"/>
          </w:tcPr>
          <w:p w14:paraId="4D6E29A0">
            <w:pPr>
              <w:spacing w:line="320" w:lineRule="exact"/>
              <w:jc w:val="both"/>
              <w:rPr>
                <w:rFonts w:ascii="Calibri"/>
                <w:bCs/>
                <w:sz w:val="21"/>
                <w:highlight w:val="none"/>
              </w:rPr>
            </w:pPr>
          </w:p>
        </w:tc>
      </w:tr>
      <w:tr w14:paraId="5F9B56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26" w:type="dxa"/>
            <w:vMerge w:val="continue"/>
            <w:shd w:val="clear" w:color="auto" w:fill="auto"/>
            <w:vAlign w:val="center"/>
          </w:tcPr>
          <w:p w14:paraId="61F7911B">
            <w:pPr>
              <w:spacing w:line="320" w:lineRule="exact"/>
              <w:jc w:val="center"/>
              <w:rPr>
                <w:rFonts w:ascii="Calibri"/>
                <w:bCs/>
                <w:sz w:val="21"/>
                <w:highlight w:val="none"/>
              </w:rPr>
            </w:pPr>
          </w:p>
        </w:tc>
        <w:tc>
          <w:tcPr>
            <w:tcW w:w="622" w:type="dxa"/>
            <w:vMerge w:val="continue"/>
            <w:shd w:val="clear" w:color="auto" w:fill="auto"/>
            <w:vAlign w:val="center"/>
          </w:tcPr>
          <w:p w14:paraId="6218BA9F">
            <w:pPr>
              <w:spacing w:line="320" w:lineRule="exact"/>
              <w:jc w:val="center"/>
              <w:rPr>
                <w:rFonts w:ascii="Calibri"/>
                <w:bCs/>
                <w:sz w:val="21"/>
                <w:highlight w:val="none"/>
              </w:rPr>
            </w:pPr>
          </w:p>
        </w:tc>
        <w:tc>
          <w:tcPr>
            <w:tcW w:w="6622" w:type="dxa"/>
            <w:gridSpan w:val="2"/>
            <w:shd w:val="clear" w:color="auto" w:fill="auto"/>
            <w:vAlign w:val="center"/>
          </w:tcPr>
          <w:p w14:paraId="444DBD93">
            <w:pPr>
              <w:spacing w:line="320" w:lineRule="exact"/>
              <w:jc w:val="both"/>
              <w:rPr>
                <w:rFonts w:ascii="Calibri" w:cstheme="minorHAnsi"/>
                <w:bCs/>
                <w:sz w:val="21"/>
                <w:szCs w:val="21"/>
                <w:highlight w:val="none"/>
              </w:rPr>
            </w:pPr>
            <w:r>
              <w:rPr>
                <w:rFonts w:hint="eastAsia" w:ascii="Calibri" w:cstheme="minorHAnsi"/>
                <w:bCs/>
                <w:sz w:val="21"/>
                <w:szCs w:val="21"/>
                <w:highlight w:val="none"/>
              </w:rPr>
              <w:t>安全生产技术措施（</w:t>
            </w:r>
            <w:r>
              <w:rPr>
                <w:rFonts w:hint="eastAsia" w:ascii="Calibri" w:cstheme="minorHAnsi"/>
                <w:bCs/>
                <w:sz w:val="21"/>
                <w:szCs w:val="21"/>
                <w:highlight w:val="none"/>
                <w:lang w:val="en-US" w:eastAsia="zh-CN"/>
              </w:rPr>
              <w:t>2</w:t>
            </w:r>
            <w:r>
              <w:rPr>
                <w:rFonts w:hint="eastAsia" w:ascii="Calibri" w:cstheme="minorHAnsi"/>
                <w:bCs/>
                <w:sz w:val="21"/>
                <w:szCs w:val="21"/>
                <w:highlight w:val="none"/>
              </w:rPr>
              <w:t>-</w:t>
            </w:r>
            <w:r>
              <w:rPr>
                <w:rFonts w:hint="eastAsia" w:ascii="Calibri" w:cstheme="minorHAnsi"/>
                <w:bCs/>
                <w:sz w:val="21"/>
                <w:szCs w:val="21"/>
                <w:highlight w:val="none"/>
                <w:lang w:val="en-US" w:eastAsia="zh-CN"/>
              </w:rPr>
              <w:t>4</w:t>
            </w:r>
            <w:r>
              <w:rPr>
                <w:rFonts w:hint="eastAsia" w:ascii="Calibri" w:cstheme="minorHAnsi"/>
                <w:bCs/>
                <w:sz w:val="21"/>
                <w:szCs w:val="21"/>
                <w:highlight w:val="none"/>
              </w:rPr>
              <w:t>分）</w:t>
            </w:r>
          </w:p>
        </w:tc>
        <w:tc>
          <w:tcPr>
            <w:tcW w:w="1080" w:type="dxa"/>
            <w:vMerge w:val="continue"/>
            <w:shd w:val="clear" w:color="auto" w:fill="auto"/>
            <w:vAlign w:val="center"/>
          </w:tcPr>
          <w:p w14:paraId="1B5E7FCE">
            <w:pPr>
              <w:spacing w:line="320" w:lineRule="exact"/>
              <w:jc w:val="both"/>
              <w:rPr>
                <w:rFonts w:ascii="Calibri"/>
                <w:bCs/>
                <w:sz w:val="21"/>
                <w:highlight w:val="none"/>
              </w:rPr>
            </w:pPr>
          </w:p>
        </w:tc>
      </w:tr>
      <w:tr w14:paraId="3DC734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26" w:type="dxa"/>
            <w:vMerge w:val="continue"/>
            <w:shd w:val="clear" w:color="auto" w:fill="auto"/>
            <w:vAlign w:val="center"/>
          </w:tcPr>
          <w:p w14:paraId="008C4383">
            <w:pPr>
              <w:spacing w:line="320" w:lineRule="exact"/>
              <w:jc w:val="center"/>
              <w:rPr>
                <w:rFonts w:ascii="Calibri"/>
                <w:bCs/>
                <w:sz w:val="21"/>
                <w:highlight w:val="none"/>
              </w:rPr>
            </w:pPr>
          </w:p>
        </w:tc>
        <w:tc>
          <w:tcPr>
            <w:tcW w:w="622" w:type="dxa"/>
            <w:vMerge w:val="continue"/>
            <w:shd w:val="clear" w:color="auto" w:fill="auto"/>
            <w:vAlign w:val="center"/>
          </w:tcPr>
          <w:p w14:paraId="10761C55">
            <w:pPr>
              <w:spacing w:line="320" w:lineRule="exact"/>
              <w:jc w:val="center"/>
              <w:rPr>
                <w:rFonts w:ascii="Calibri"/>
                <w:bCs/>
                <w:sz w:val="21"/>
                <w:highlight w:val="none"/>
              </w:rPr>
            </w:pPr>
          </w:p>
        </w:tc>
        <w:tc>
          <w:tcPr>
            <w:tcW w:w="6622" w:type="dxa"/>
            <w:gridSpan w:val="2"/>
            <w:shd w:val="clear" w:color="auto" w:fill="auto"/>
            <w:vAlign w:val="center"/>
          </w:tcPr>
          <w:p w14:paraId="0CAC1413">
            <w:pPr>
              <w:spacing w:line="320" w:lineRule="exact"/>
              <w:jc w:val="both"/>
              <w:rPr>
                <w:rFonts w:ascii="Calibri" w:cstheme="minorHAnsi"/>
                <w:bCs/>
                <w:sz w:val="21"/>
                <w:szCs w:val="21"/>
                <w:highlight w:val="none"/>
              </w:rPr>
            </w:pPr>
            <w:r>
              <w:rPr>
                <w:rFonts w:hint="eastAsia" w:ascii="Calibri" w:cstheme="minorHAnsi"/>
                <w:bCs/>
                <w:sz w:val="21"/>
                <w:szCs w:val="21"/>
                <w:highlight w:val="none"/>
              </w:rPr>
              <w:t>文明施工、环境保护措施、“治污减霾”（</w:t>
            </w:r>
            <w:r>
              <w:rPr>
                <w:rFonts w:hint="eastAsia" w:ascii="Calibri" w:cstheme="minorHAnsi"/>
                <w:bCs/>
                <w:sz w:val="21"/>
                <w:szCs w:val="21"/>
                <w:highlight w:val="none"/>
                <w:lang w:val="en-US" w:eastAsia="zh-CN"/>
              </w:rPr>
              <w:t>2</w:t>
            </w:r>
            <w:r>
              <w:rPr>
                <w:rFonts w:hint="eastAsia" w:ascii="Calibri" w:cstheme="minorHAnsi"/>
                <w:bCs/>
                <w:sz w:val="21"/>
                <w:szCs w:val="21"/>
                <w:highlight w:val="none"/>
              </w:rPr>
              <w:t>-</w:t>
            </w:r>
            <w:r>
              <w:rPr>
                <w:rFonts w:hint="eastAsia" w:ascii="Calibri" w:cstheme="minorHAnsi"/>
                <w:bCs/>
                <w:sz w:val="21"/>
                <w:szCs w:val="21"/>
                <w:highlight w:val="none"/>
                <w:lang w:val="en-US" w:eastAsia="zh-CN"/>
              </w:rPr>
              <w:t>4</w:t>
            </w:r>
            <w:r>
              <w:rPr>
                <w:rFonts w:hint="eastAsia" w:ascii="Calibri" w:cstheme="minorHAnsi"/>
                <w:bCs/>
                <w:sz w:val="21"/>
                <w:szCs w:val="21"/>
                <w:highlight w:val="none"/>
              </w:rPr>
              <w:t>分）</w:t>
            </w:r>
          </w:p>
        </w:tc>
        <w:tc>
          <w:tcPr>
            <w:tcW w:w="1080" w:type="dxa"/>
            <w:vMerge w:val="continue"/>
            <w:shd w:val="clear" w:color="auto" w:fill="auto"/>
            <w:vAlign w:val="center"/>
          </w:tcPr>
          <w:p w14:paraId="7A0DAECC">
            <w:pPr>
              <w:spacing w:line="320" w:lineRule="exact"/>
              <w:jc w:val="both"/>
              <w:rPr>
                <w:rFonts w:ascii="Calibri"/>
                <w:bCs/>
                <w:sz w:val="21"/>
                <w:highlight w:val="none"/>
              </w:rPr>
            </w:pPr>
          </w:p>
        </w:tc>
      </w:tr>
      <w:tr w14:paraId="1FE11F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26" w:type="dxa"/>
            <w:vMerge w:val="continue"/>
            <w:shd w:val="clear" w:color="auto" w:fill="auto"/>
            <w:vAlign w:val="center"/>
          </w:tcPr>
          <w:p w14:paraId="4A5DA8E0">
            <w:pPr>
              <w:spacing w:line="320" w:lineRule="exact"/>
              <w:jc w:val="center"/>
              <w:rPr>
                <w:rFonts w:ascii="Calibri"/>
                <w:bCs/>
                <w:sz w:val="21"/>
                <w:highlight w:val="none"/>
              </w:rPr>
            </w:pPr>
          </w:p>
        </w:tc>
        <w:tc>
          <w:tcPr>
            <w:tcW w:w="622" w:type="dxa"/>
            <w:vMerge w:val="continue"/>
            <w:shd w:val="clear" w:color="auto" w:fill="auto"/>
            <w:vAlign w:val="center"/>
          </w:tcPr>
          <w:p w14:paraId="3C47A1EE">
            <w:pPr>
              <w:spacing w:line="320" w:lineRule="exact"/>
              <w:jc w:val="center"/>
              <w:rPr>
                <w:rFonts w:ascii="Calibri"/>
                <w:bCs/>
                <w:sz w:val="21"/>
                <w:highlight w:val="none"/>
              </w:rPr>
            </w:pPr>
          </w:p>
        </w:tc>
        <w:tc>
          <w:tcPr>
            <w:tcW w:w="6622" w:type="dxa"/>
            <w:gridSpan w:val="2"/>
            <w:shd w:val="clear" w:color="auto" w:fill="auto"/>
            <w:vAlign w:val="center"/>
          </w:tcPr>
          <w:p w14:paraId="2EE8133C">
            <w:pPr>
              <w:spacing w:line="320" w:lineRule="exact"/>
              <w:jc w:val="both"/>
              <w:rPr>
                <w:rFonts w:ascii="Calibri" w:cstheme="minorHAnsi"/>
                <w:bCs/>
                <w:sz w:val="21"/>
                <w:szCs w:val="21"/>
                <w:highlight w:val="none"/>
              </w:rPr>
            </w:pPr>
            <w:r>
              <w:rPr>
                <w:rFonts w:hint="eastAsia" w:ascii="Calibri" w:cstheme="minorHAnsi"/>
                <w:bCs/>
                <w:sz w:val="21"/>
                <w:szCs w:val="21"/>
                <w:highlight w:val="none"/>
              </w:rPr>
              <w:t>施工方案和项目经理部组成人员（</w:t>
            </w:r>
            <w:r>
              <w:rPr>
                <w:rFonts w:hint="eastAsia" w:ascii="Calibri" w:cstheme="minorHAnsi"/>
                <w:bCs/>
                <w:sz w:val="21"/>
                <w:szCs w:val="21"/>
                <w:highlight w:val="none"/>
                <w:lang w:val="en-US" w:eastAsia="zh-CN"/>
              </w:rPr>
              <w:t>2</w:t>
            </w:r>
            <w:r>
              <w:rPr>
                <w:rFonts w:hint="eastAsia" w:ascii="Calibri" w:cstheme="minorHAnsi"/>
                <w:bCs/>
                <w:sz w:val="21"/>
                <w:szCs w:val="21"/>
                <w:highlight w:val="none"/>
              </w:rPr>
              <w:t>-</w:t>
            </w:r>
            <w:r>
              <w:rPr>
                <w:rFonts w:hint="eastAsia" w:ascii="Calibri" w:cstheme="minorHAnsi"/>
                <w:bCs/>
                <w:sz w:val="21"/>
                <w:szCs w:val="21"/>
                <w:highlight w:val="none"/>
                <w:lang w:val="en-US" w:eastAsia="zh-CN"/>
              </w:rPr>
              <w:t>4</w:t>
            </w:r>
            <w:r>
              <w:rPr>
                <w:rFonts w:hint="eastAsia" w:ascii="Calibri" w:cstheme="minorHAnsi"/>
                <w:bCs/>
                <w:sz w:val="21"/>
                <w:szCs w:val="21"/>
                <w:highlight w:val="none"/>
              </w:rPr>
              <w:t>分）</w:t>
            </w:r>
          </w:p>
        </w:tc>
        <w:tc>
          <w:tcPr>
            <w:tcW w:w="1080" w:type="dxa"/>
            <w:vMerge w:val="continue"/>
            <w:shd w:val="clear" w:color="auto" w:fill="auto"/>
            <w:vAlign w:val="center"/>
          </w:tcPr>
          <w:p w14:paraId="35498B72">
            <w:pPr>
              <w:spacing w:line="320" w:lineRule="exact"/>
              <w:jc w:val="both"/>
              <w:rPr>
                <w:rFonts w:ascii="Calibri"/>
                <w:bCs/>
                <w:sz w:val="21"/>
                <w:highlight w:val="none"/>
              </w:rPr>
            </w:pPr>
          </w:p>
        </w:tc>
      </w:tr>
      <w:tr w14:paraId="192842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26" w:type="dxa"/>
            <w:vMerge w:val="continue"/>
            <w:shd w:val="clear" w:color="auto" w:fill="auto"/>
            <w:vAlign w:val="center"/>
          </w:tcPr>
          <w:p w14:paraId="11DE9201">
            <w:pPr>
              <w:spacing w:line="320" w:lineRule="exact"/>
              <w:jc w:val="center"/>
              <w:rPr>
                <w:rFonts w:ascii="Calibri"/>
                <w:bCs/>
                <w:sz w:val="21"/>
                <w:highlight w:val="none"/>
              </w:rPr>
            </w:pPr>
          </w:p>
        </w:tc>
        <w:tc>
          <w:tcPr>
            <w:tcW w:w="622" w:type="dxa"/>
            <w:vMerge w:val="continue"/>
            <w:shd w:val="clear" w:color="auto" w:fill="auto"/>
            <w:vAlign w:val="center"/>
          </w:tcPr>
          <w:p w14:paraId="5927AE00">
            <w:pPr>
              <w:spacing w:line="320" w:lineRule="exact"/>
              <w:jc w:val="center"/>
              <w:rPr>
                <w:rFonts w:ascii="Calibri"/>
                <w:bCs/>
                <w:sz w:val="21"/>
                <w:highlight w:val="none"/>
              </w:rPr>
            </w:pPr>
          </w:p>
        </w:tc>
        <w:tc>
          <w:tcPr>
            <w:tcW w:w="6622" w:type="dxa"/>
            <w:gridSpan w:val="2"/>
            <w:shd w:val="clear" w:color="auto" w:fill="auto"/>
            <w:vAlign w:val="center"/>
          </w:tcPr>
          <w:p w14:paraId="09189374">
            <w:pPr>
              <w:spacing w:line="320" w:lineRule="exact"/>
              <w:jc w:val="both"/>
              <w:rPr>
                <w:rFonts w:ascii="Calibri" w:cstheme="minorHAnsi"/>
                <w:bCs/>
                <w:sz w:val="21"/>
                <w:szCs w:val="21"/>
                <w:highlight w:val="none"/>
              </w:rPr>
            </w:pPr>
            <w:r>
              <w:rPr>
                <w:rFonts w:hint="eastAsia" w:ascii="Calibri" w:cstheme="minorHAnsi"/>
                <w:bCs/>
                <w:sz w:val="21"/>
                <w:szCs w:val="21"/>
                <w:highlight w:val="none"/>
              </w:rPr>
              <w:t>施工机械设备及配备情况计划（</w:t>
            </w:r>
            <w:r>
              <w:rPr>
                <w:rFonts w:hint="eastAsia" w:ascii="Calibri" w:cstheme="minorHAnsi"/>
                <w:bCs/>
                <w:sz w:val="21"/>
                <w:szCs w:val="21"/>
                <w:highlight w:val="none"/>
                <w:lang w:val="en-US" w:eastAsia="zh-CN"/>
              </w:rPr>
              <w:t>2</w:t>
            </w:r>
            <w:r>
              <w:rPr>
                <w:rFonts w:hint="eastAsia" w:ascii="Calibri" w:cstheme="minorHAnsi"/>
                <w:bCs/>
                <w:sz w:val="21"/>
                <w:szCs w:val="21"/>
                <w:highlight w:val="none"/>
              </w:rPr>
              <w:t>-</w:t>
            </w:r>
            <w:r>
              <w:rPr>
                <w:rFonts w:hint="eastAsia" w:ascii="Calibri" w:cstheme="minorHAnsi"/>
                <w:bCs/>
                <w:sz w:val="21"/>
                <w:szCs w:val="21"/>
                <w:highlight w:val="none"/>
                <w:lang w:val="en-US" w:eastAsia="zh-CN"/>
              </w:rPr>
              <w:t>4</w:t>
            </w:r>
            <w:r>
              <w:rPr>
                <w:rFonts w:hint="eastAsia" w:ascii="Calibri" w:cstheme="minorHAnsi"/>
                <w:bCs/>
                <w:sz w:val="21"/>
                <w:szCs w:val="21"/>
                <w:highlight w:val="none"/>
              </w:rPr>
              <w:t>分）</w:t>
            </w:r>
          </w:p>
        </w:tc>
        <w:tc>
          <w:tcPr>
            <w:tcW w:w="1080" w:type="dxa"/>
            <w:vMerge w:val="continue"/>
            <w:shd w:val="clear" w:color="auto" w:fill="auto"/>
            <w:vAlign w:val="center"/>
          </w:tcPr>
          <w:p w14:paraId="4C6C51DD">
            <w:pPr>
              <w:spacing w:line="320" w:lineRule="exact"/>
              <w:jc w:val="both"/>
              <w:rPr>
                <w:rFonts w:ascii="Calibri"/>
                <w:bCs/>
                <w:sz w:val="21"/>
                <w:highlight w:val="none"/>
              </w:rPr>
            </w:pPr>
          </w:p>
        </w:tc>
      </w:tr>
      <w:tr w14:paraId="066E83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26" w:type="dxa"/>
            <w:vMerge w:val="continue"/>
            <w:shd w:val="clear" w:color="auto" w:fill="auto"/>
            <w:vAlign w:val="center"/>
          </w:tcPr>
          <w:p w14:paraId="7832DBD6">
            <w:pPr>
              <w:spacing w:line="320" w:lineRule="exact"/>
              <w:jc w:val="center"/>
              <w:rPr>
                <w:rFonts w:ascii="Calibri"/>
                <w:bCs/>
                <w:sz w:val="21"/>
                <w:highlight w:val="none"/>
              </w:rPr>
            </w:pPr>
          </w:p>
        </w:tc>
        <w:tc>
          <w:tcPr>
            <w:tcW w:w="622" w:type="dxa"/>
            <w:vMerge w:val="continue"/>
            <w:shd w:val="clear" w:color="auto" w:fill="auto"/>
            <w:vAlign w:val="center"/>
          </w:tcPr>
          <w:p w14:paraId="016BAD59">
            <w:pPr>
              <w:spacing w:line="320" w:lineRule="exact"/>
              <w:jc w:val="center"/>
              <w:rPr>
                <w:rFonts w:ascii="Calibri"/>
                <w:bCs/>
                <w:sz w:val="21"/>
                <w:highlight w:val="none"/>
              </w:rPr>
            </w:pPr>
          </w:p>
        </w:tc>
        <w:tc>
          <w:tcPr>
            <w:tcW w:w="6622" w:type="dxa"/>
            <w:gridSpan w:val="2"/>
            <w:shd w:val="clear" w:color="auto" w:fill="auto"/>
            <w:vAlign w:val="center"/>
          </w:tcPr>
          <w:p w14:paraId="0B334FB7">
            <w:pPr>
              <w:spacing w:line="320" w:lineRule="exact"/>
              <w:jc w:val="both"/>
              <w:rPr>
                <w:rFonts w:ascii="Calibri" w:cstheme="minorHAnsi"/>
                <w:bCs/>
                <w:sz w:val="21"/>
                <w:szCs w:val="21"/>
                <w:highlight w:val="none"/>
              </w:rPr>
            </w:pPr>
            <w:r>
              <w:rPr>
                <w:rFonts w:hint="eastAsia" w:ascii="Calibri" w:cstheme="minorHAnsi"/>
                <w:bCs/>
                <w:sz w:val="21"/>
                <w:szCs w:val="21"/>
                <w:highlight w:val="none"/>
              </w:rPr>
              <w:t>施工进度表或施工网络图（</w:t>
            </w:r>
            <w:r>
              <w:rPr>
                <w:rFonts w:hint="eastAsia" w:ascii="Calibri" w:cstheme="minorHAnsi"/>
                <w:bCs/>
                <w:sz w:val="21"/>
                <w:szCs w:val="21"/>
                <w:highlight w:val="none"/>
                <w:lang w:val="en-US" w:eastAsia="zh-CN"/>
              </w:rPr>
              <w:t>2</w:t>
            </w:r>
            <w:r>
              <w:rPr>
                <w:rFonts w:hint="eastAsia" w:ascii="Calibri" w:cstheme="minorHAnsi"/>
                <w:bCs/>
                <w:sz w:val="21"/>
                <w:szCs w:val="21"/>
                <w:highlight w:val="none"/>
              </w:rPr>
              <w:t>-</w:t>
            </w:r>
            <w:r>
              <w:rPr>
                <w:rFonts w:hint="eastAsia" w:ascii="Calibri" w:cstheme="minorHAnsi"/>
                <w:bCs/>
                <w:sz w:val="21"/>
                <w:szCs w:val="21"/>
                <w:highlight w:val="none"/>
                <w:lang w:val="en-US" w:eastAsia="zh-CN"/>
              </w:rPr>
              <w:t>4</w:t>
            </w:r>
            <w:r>
              <w:rPr>
                <w:rFonts w:hint="eastAsia" w:ascii="Calibri" w:cstheme="minorHAnsi"/>
                <w:bCs/>
                <w:sz w:val="21"/>
                <w:szCs w:val="21"/>
                <w:highlight w:val="none"/>
              </w:rPr>
              <w:t>分）</w:t>
            </w:r>
          </w:p>
        </w:tc>
        <w:tc>
          <w:tcPr>
            <w:tcW w:w="1080" w:type="dxa"/>
            <w:vMerge w:val="continue"/>
            <w:shd w:val="clear" w:color="auto" w:fill="auto"/>
            <w:vAlign w:val="center"/>
          </w:tcPr>
          <w:p w14:paraId="47E266CA">
            <w:pPr>
              <w:spacing w:line="320" w:lineRule="exact"/>
              <w:jc w:val="both"/>
              <w:rPr>
                <w:rFonts w:ascii="Calibri"/>
                <w:bCs/>
                <w:sz w:val="21"/>
                <w:highlight w:val="none"/>
              </w:rPr>
            </w:pPr>
          </w:p>
        </w:tc>
      </w:tr>
      <w:tr w14:paraId="2071F8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26" w:type="dxa"/>
            <w:vMerge w:val="continue"/>
            <w:shd w:val="clear" w:color="auto" w:fill="auto"/>
            <w:vAlign w:val="center"/>
          </w:tcPr>
          <w:p w14:paraId="57A89B48">
            <w:pPr>
              <w:spacing w:line="320" w:lineRule="exact"/>
              <w:jc w:val="center"/>
              <w:rPr>
                <w:rFonts w:ascii="Calibri"/>
                <w:bCs/>
                <w:sz w:val="21"/>
                <w:highlight w:val="none"/>
              </w:rPr>
            </w:pPr>
          </w:p>
        </w:tc>
        <w:tc>
          <w:tcPr>
            <w:tcW w:w="622" w:type="dxa"/>
            <w:vMerge w:val="continue"/>
            <w:shd w:val="clear" w:color="auto" w:fill="auto"/>
            <w:vAlign w:val="center"/>
          </w:tcPr>
          <w:p w14:paraId="426D6C2D">
            <w:pPr>
              <w:spacing w:line="320" w:lineRule="exact"/>
              <w:jc w:val="center"/>
              <w:rPr>
                <w:rFonts w:ascii="Calibri"/>
                <w:bCs/>
                <w:sz w:val="21"/>
                <w:highlight w:val="none"/>
              </w:rPr>
            </w:pPr>
          </w:p>
        </w:tc>
        <w:tc>
          <w:tcPr>
            <w:tcW w:w="6622" w:type="dxa"/>
            <w:gridSpan w:val="2"/>
            <w:shd w:val="clear" w:color="auto" w:fill="auto"/>
            <w:vAlign w:val="center"/>
          </w:tcPr>
          <w:p w14:paraId="4C7497CC">
            <w:pPr>
              <w:spacing w:line="320" w:lineRule="exact"/>
              <w:jc w:val="both"/>
              <w:rPr>
                <w:rFonts w:ascii="Calibri" w:cstheme="minorHAnsi"/>
                <w:bCs/>
                <w:sz w:val="21"/>
                <w:szCs w:val="21"/>
                <w:highlight w:val="none"/>
              </w:rPr>
            </w:pPr>
            <w:r>
              <w:rPr>
                <w:rFonts w:hint="eastAsia" w:ascii="Calibri" w:cstheme="minorHAnsi"/>
                <w:bCs/>
                <w:sz w:val="21"/>
                <w:szCs w:val="21"/>
                <w:highlight w:val="none"/>
              </w:rPr>
              <w:t>劳动力及劳务分包情况表（</w:t>
            </w:r>
            <w:r>
              <w:rPr>
                <w:rFonts w:hint="eastAsia" w:ascii="Calibri" w:cstheme="minorHAnsi"/>
                <w:bCs/>
                <w:sz w:val="21"/>
                <w:szCs w:val="21"/>
                <w:highlight w:val="none"/>
                <w:lang w:val="en-US" w:eastAsia="zh-CN"/>
              </w:rPr>
              <w:t>2</w:t>
            </w:r>
            <w:r>
              <w:rPr>
                <w:rFonts w:hint="eastAsia" w:ascii="Calibri" w:cstheme="minorHAnsi"/>
                <w:bCs/>
                <w:sz w:val="21"/>
                <w:szCs w:val="21"/>
                <w:highlight w:val="none"/>
              </w:rPr>
              <w:t>-</w:t>
            </w:r>
            <w:r>
              <w:rPr>
                <w:rFonts w:hint="eastAsia" w:ascii="Calibri" w:cstheme="minorHAnsi"/>
                <w:bCs/>
                <w:sz w:val="21"/>
                <w:szCs w:val="21"/>
                <w:highlight w:val="none"/>
                <w:lang w:val="en-US" w:eastAsia="zh-CN"/>
              </w:rPr>
              <w:t>4</w:t>
            </w:r>
            <w:r>
              <w:rPr>
                <w:rFonts w:hint="eastAsia" w:ascii="Calibri" w:cstheme="minorHAnsi"/>
                <w:bCs/>
                <w:sz w:val="21"/>
                <w:szCs w:val="21"/>
                <w:highlight w:val="none"/>
              </w:rPr>
              <w:t>分）</w:t>
            </w:r>
          </w:p>
        </w:tc>
        <w:tc>
          <w:tcPr>
            <w:tcW w:w="1080" w:type="dxa"/>
            <w:vMerge w:val="continue"/>
            <w:shd w:val="clear" w:color="auto" w:fill="auto"/>
            <w:vAlign w:val="center"/>
          </w:tcPr>
          <w:p w14:paraId="3E0AA3AE">
            <w:pPr>
              <w:spacing w:line="320" w:lineRule="exact"/>
              <w:jc w:val="both"/>
              <w:rPr>
                <w:rFonts w:ascii="Calibri"/>
                <w:bCs/>
                <w:sz w:val="21"/>
                <w:highlight w:val="none"/>
              </w:rPr>
            </w:pPr>
          </w:p>
        </w:tc>
      </w:tr>
      <w:tr w14:paraId="2E045E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26" w:type="dxa"/>
            <w:vMerge w:val="continue"/>
            <w:shd w:val="clear" w:color="auto" w:fill="auto"/>
            <w:vAlign w:val="center"/>
          </w:tcPr>
          <w:p w14:paraId="0D916AA9">
            <w:pPr>
              <w:spacing w:line="320" w:lineRule="exact"/>
              <w:jc w:val="center"/>
              <w:rPr>
                <w:rFonts w:ascii="Calibri"/>
                <w:bCs/>
                <w:sz w:val="21"/>
                <w:highlight w:val="none"/>
              </w:rPr>
            </w:pPr>
          </w:p>
        </w:tc>
        <w:tc>
          <w:tcPr>
            <w:tcW w:w="622" w:type="dxa"/>
            <w:vMerge w:val="continue"/>
            <w:shd w:val="clear" w:color="auto" w:fill="auto"/>
            <w:vAlign w:val="center"/>
          </w:tcPr>
          <w:p w14:paraId="714C91C1">
            <w:pPr>
              <w:spacing w:line="320" w:lineRule="exact"/>
              <w:jc w:val="center"/>
              <w:rPr>
                <w:rFonts w:ascii="Calibri"/>
                <w:bCs/>
                <w:sz w:val="21"/>
                <w:highlight w:val="none"/>
              </w:rPr>
            </w:pPr>
          </w:p>
        </w:tc>
        <w:tc>
          <w:tcPr>
            <w:tcW w:w="6622" w:type="dxa"/>
            <w:gridSpan w:val="2"/>
            <w:shd w:val="clear" w:color="auto" w:fill="auto"/>
            <w:vAlign w:val="center"/>
          </w:tcPr>
          <w:p w14:paraId="75A1C36B">
            <w:pPr>
              <w:spacing w:line="320" w:lineRule="exact"/>
              <w:jc w:val="both"/>
              <w:rPr>
                <w:rFonts w:ascii="Calibri" w:cstheme="minorHAnsi"/>
                <w:bCs/>
                <w:sz w:val="21"/>
                <w:szCs w:val="21"/>
                <w:highlight w:val="none"/>
              </w:rPr>
            </w:pPr>
            <w:r>
              <w:rPr>
                <w:rFonts w:hint="eastAsia" w:ascii="Calibri" w:cstheme="minorHAnsi"/>
                <w:bCs/>
                <w:sz w:val="21"/>
                <w:szCs w:val="21"/>
                <w:highlight w:val="none"/>
              </w:rPr>
              <w:t>施工部署及总平面布置（</w:t>
            </w:r>
            <w:r>
              <w:rPr>
                <w:rFonts w:hint="eastAsia" w:ascii="Calibri" w:cstheme="minorHAnsi"/>
                <w:bCs/>
                <w:sz w:val="21"/>
                <w:szCs w:val="21"/>
                <w:highlight w:val="none"/>
                <w:lang w:val="en-US" w:eastAsia="zh-CN"/>
              </w:rPr>
              <w:t>2</w:t>
            </w:r>
            <w:r>
              <w:rPr>
                <w:rFonts w:hint="eastAsia" w:ascii="Calibri" w:cstheme="minorHAnsi"/>
                <w:bCs/>
                <w:sz w:val="21"/>
                <w:szCs w:val="21"/>
                <w:highlight w:val="none"/>
              </w:rPr>
              <w:t>-</w:t>
            </w:r>
            <w:r>
              <w:rPr>
                <w:rFonts w:hint="eastAsia" w:ascii="Calibri" w:cstheme="minorHAnsi"/>
                <w:bCs/>
                <w:sz w:val="21"/>
                <w:szCs w:val="21"/>
                <w:highlight w:val="none"/>
                <w:lang w:val="en-US" w:eastAsia="zh-CN"/>
              </w:rPr>
              <w:t>4</w:t>
            </w:r>
            <w:r>
              <w:rPr>
                <w:rFonts w:hint="eastAsia" w:ascii="Calibri" w:cstheme="minorHAnsi"/>
                <w:bCs/>
                <w:sz w:val="21"/>
                <w:szCs w:val="21"/>
                <w:highlight w:val="none"/>
              </w:rPr>
              <w:t>分）</w:t>
            </w:r>
          </w:p>
        </w:tc>
        <w:tc>
          <w:tcPr>
            <w:tcW w:w="1080" w:type="dxa"/>
            <w:vMerge w:val="continue"/>
            <w:shd w:val="clear" w:color="auto" w:fill="auto"/>
            <w:vAlign w:val="center"/>
          </w:tcPr>
          <w:p w14:paraId="5E396D3B">
            <w:pPr>
              <w:spacing w:line="320" w:lineRule="exact"/>
              <w:jc w:val="both"/>
              <w:rPr>
                <w:rFonts w:ascii="Calibri"/>
                <w:bCs/>
                <w:sz w:val="21"/>
                <w:highlight w:val="none"/>
              </w:rPr>
            </w:pPr>
          </w:p>
        </w:tc>
      </w:tr>
      <w:tr w14:paraId="1B2D0D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26" w:type="dxa"/>
            <w:vMerge w:val="continue"/>
            <w:shd w:val="clear" w:color="auto" w:fill="auto"/>
            <w:vAlign w:val="center"/>
          </w:tcPr>
          <w:p w14:paraId="315A94E9">
            <w:pPr>
              <w:spacing w:line="320" w:lineRule="exact"/>
              <w:jc w:val="center"/>
              <w:rPr>
                <w:rFonts w:ascii="Calibri"/>
                <w:bCs/>
                <w:sz w:val="21"/>
                <w:highlight w:val="none"/>
              </w:rPr>
            </w:pPr>
          </w:p>
        </w:tc>
        <w:tc>
          <w:tcPr>
            <w:tcW w:w="622" w:type="dxa"/>
            <w:vMerge w:val="continue"/>
            <w:shd w:val="clear" w:color="auto" w:fill="auto"/>
            <w:vAlign w:val="center"/>
          </w:tcPr>
          <w:p w14:paraId="4B542E75">
            <w:pPr>
              <w:spacing w:line="320" w:lineRule="exact"/>
              <w:jc w:val="center"/>
              <w:rPr>
                <w:rFonts w:ascii="Calibri"/>
                <w:bCs/>
                <w:sz w:val="21"/>
                <w:highlight w:val="none"/>
              </w:rPr>
            </w:pPr>
          </w:p>
        </w:tc>
        <w:tc>
          <w:tcPr>
            <w:tcW w:w="6622" w:type="dxa"/>
            <w:gridSpan w:val="2"/>
            <w:shd w:val="clear" w:color="auto" w:fill="auto"/>
            <w:vAlign w:val="center"/>
          </w:tcPr>
          <w:p w14:paraId="5D8789C3">
            <w:pPr>
              <w:spacing w:line="320" w:lineRule="exact"/>
              <w:jc w:val="both"/>
              <w:rPr>
                <w:rFonts w:ascii="Calibri" w:cstheme="minorHAnsi"/>
                <w:bCs/>
                <w:sz w:val="21"/>
                <w:szCs w:val="21"/>
                <w:highlight w:val="none"/>
              </w:rPr>
            </w:pPr>
            <w:r>
              <w:rPr>
                <w:rFonts w:hint="eastAsia" w:ascii="Calibri" w:cstheme="minorHAnsi"/>
                <w:bCs/>
                <w:sz w:val="21"/>
                <w:szCs w:val="21"/>
                <w:highlight w:val="none"/>
              </w:rPr>
              <w:t>新技术、新产品、新工艺、新材料应用（</w:t>
            </w:r>
            <w:r>
              <w:rPr>
                <w:rFonts w:hint="eastAsia" w:ascii="Calibri" w:cstheme="minorHAnsi"/>
                <w:bCs/>
                <w:sz w:val="21"/>
                <w:szCs w:val="21"/>
                <w:highlight w:val="none"/>
                <w:lang w:val="en-US" w:eastAsia="zh-CN"/>
              </w:rPr>
              <w:t>2</w:t>
            </w:r>
            <w:r>
              <w:rPr>
                <w:rFonts w:hint="eastAsia" w:ascii="Calibri" w:cstheme="minorHAnsi"/>
                <w:bCs/>
                <w:sz w:val="21"/>
                <w:szCs w:val="21"/>
                <w:highlight w:val="none"/>
              </w:rPr>
              <w:t>-</w:t>
            </w:r>
            <w:r>
              <w:rPr>
                <w:rFonts w:hint="eastAsia" w:ascii="Calibri" w:cstheme="minorHAnsi"/>
                <w:bCs/>
                <w:sz w:val="21"/>
                <w:szCs w:val="21"/>
                <w:highlight w:val="none"/>
                <w:lang w:val="en-US" w:eastAsia="zh-CN"/>
              </w:rPr>
              <w:t>4</w:t>
            </w:r>
            <w:r>
              <w:rPr>
                <w:rFonts w:hint="eastAsia" w:ascii="Calibri" w:cstheme="minorHAnsi"/>
                <w:bCs/>
                <w:sz w:val="21"/>
                <w:szCs w:val="21"/>
                <w:highlight w:val="none"/>
              </w:rPr>
              <w:t>分）</w:t>
            </w:r>
          </w:p>
        </w:tc>
        <w:tc>
          <w:tcPr>
            <w:tcW w:w="1080" w:type="dxa"/>
            <w:vMerge w:val="continue"/>
            <w:shd w:val="clear" w:color="auto" w:fill="auto"/>
            <w:vAlign w:val="center"/>
          </w:tcPr>
          <w:p w14:paraId="6799773F">
            <w:pPr>
              <w:spacing w:line="320" w:lineRule="exact"/>
              <w:jc w:val="both"/>
              <w:rPr>
                <w:rFonts w:ascii="Calibri"/>
                <w:bCs/>
                <w:sz w:val="21"/>
                <w:highlight w:val="none"/>
              </w:rPr>
            </w:pPr>
          </w:p>
        </w:tc>
      </w:tr>
      <w:tr w14:paraId="386B35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9" w:hRule="atLeast"/>
        </w:trPr>
        <w:tc>
          <w:tcPr>
            <w:tcW w:w="626" w:type="dxa"/>
            <w:vMerge w:val="restart"/>
            <w:shd w:val="clear" w:color="auto" w:fill="auto"/>
            <w:vAlign w:val="center"/>
          </w:tcPr>
          <w:p w14:paraId="5A5F7F03">
            <w:pPr>
              <w:spacing w:line="320" w:lineRule="exact"/>
              <w:jc w:val="center"/>
              <w:rPr>
                <w:rFonts w:hint="default" w:ascii="Calibri" w:eastAsia="宋体"/>
                <w:bCs/>
                <w:sz w:val="21"/>
                <w:highlight w:val="none"/>
                <w:lang w:val="en-US" w:eastAsia="zh-CN"/>
              </w:rPr>
            </w:pPr>
            <w:r>
              <w:rPr>
                <w:rFonts w:hint="eastAsia" w:ascii="Calibri"/>
                <w:bCs/>
                <w:sz w:val="21"/>
                <w:highlight w:val="none"/>
                <w:lang w:val="en-US" w:eastAsia="zh-CN"/>
              </w:rPr>
              <w:t>商务部分</w:t>
            </w:r>
          </w:p>
        </w:tc>
        <w:tc>
          <w:tcPr>
            <w:tcW w:w="622" w:type="dxa"/>
            <w:vMerge w:val="restart"/>
            <w:shd w:val="clear" w:color="auto" w:fill="auto"/>
            <w:vAlign w:val="center"/>
          </w:tcPr>
          <w:p w14:paraId="0300D942">
            <w:pPr>
              <w:spacing w:line="320" w:lineRule="exact"/>
              <w:jc w:val="center"/>
              <w:rPr>
                <w:rFonts w:hint="default" w:ascii="Calibri" w:eastAsia="宋体"/>
                <w:bCs/>
                <w:sz w:val="21"/>
                <w:highlight w:val="none"/>
                <w:lang w:val="en-US" w:eastAsia="zh-CN"/>
              </w:rPr>
            </w:pPr>
            <w:r>
              <w:rPr>
                <w:rFonts w:hint="eastAsia" w:ascii="Calibri"/>
                <w:bCs/>
                <w:sz w:val="21"/>
                <w:highlight w:val="none"/>
                <w:lang w:val="en-US" w:eastAsia="zh-CN"/>
              </w:rPr>
              <w:t>30</w:t>
            </w:r>
          </w:p>
        </w:tc>
        <w:tc>
          <w:tcPr>
            <w:tcW w:w="6622" w:type="dxa"/>
            <w:gridSpan w:val="2"/>
            <w:shd w:val="clear" w:color="auto" w:fill="auto"/>
            <w:vAlign w:val="center"/>
          </w:tcPr>
          <w:p w14:paraId="505B79B4">
            <w:pPr>
              <w:spacing w:line="320" w:lineRule="exact"/>
              <w:jc w:val="both"/>
              <w:rPr>
                <w:rFonts w:ascii="Calibri" w:cstheme="minorHAnsi"/>
                <w:bCs/>
                <w:sz w:val="21"/>
                <w:szCs w:val="21"/>
                <w:highlight w:val="none"/>
              </w:rPr>
            </w:pPr>
            <w:r>
              <w:rPr>
                <w:rFonts w:hint="eastAsia" w:ascii="Calibri" w:cstheme="minorHAnsi"/>
                <w:bCs/>
                <w:sz w:val="21"/>
                <w:szCs w:val="21"/>
                <w:highlight w:val="none"/>
              </w:rPr>
              <w:t>20</w:t>
            </w:r>
            <w:r>
              <w:rPr>
                <w:rFonts w:hint="eastAsia" w:ascii="Calibri" w:cstheme="minorHAnsi"/>
                <w:bCs/>
                <w:sz w:val="21"/>
                <w:szCs w:val="21"/>
                <w:highlight w:val="none"/>
                <w:lang w:val="en-US" w:eastAsia="zh-CN"/>
              </w:rPr>
              <w:t>21</w:t>
            </w:r>
            <w:r>
              <w:rPr>
                <w:rFonts w:hint="eastAsia" w:ascii="Calibri" w:cstheme="minorHAnsi"/>
                <w:bCs/>
                <w:sz w:val="21"/>
                <w:szCs w:val="21"/>
                <w:highlight w:val="none"/>
              </w:rPr>
              <w:t>年1月以来承接过的类似项目业绩，每提供一个得</w:t>
            </w:r>
            <w:r>
              <w:rPr>
                <w:rFonts w:hint="eastAsia" w:ascii="Calibri" w:cstheme="minorHAnsi"/>
                <w:bCs/>
                <w:sz w:val="21"/>
                <w:szCs w:val="21"/>
                <w:highlight w:val="none"/>
                <w:lang w:val="en-US" w:eastAsia="zh-CN"/>
              </w:rPr>
              <w:t>5</w:t>
            </w:r>
            <w:r>
              <w:rPr>
                <w:rFonts w:hint="eastAsia" w:ascii="Calibri" w:cstheme="minorHAnsi"/>
                <w:bCs/>
                <w:sz w:val="21"/>
                <w:szCs w:val="21"/>
                <w:highlight w:val="none"/>
              </w:rPr>
              <w:t>分，满分</w:t>
            </w:r>
            <w:r>
              <w:rPr>
                <w:rFonts w:hint="eastAsia" w:ascii="Calibri" w:cstheme="minorHAnsi"/>
                <w:bCs/>
                <w:sz w:val="21"/>
                <w:szCs w:val="21"/>
                <w:highlight w:val="none"/>
                <w:lang w:val="en-US" w:eastAsia="zh-CN"/>
              </w:rPr>
              <w:t>15</w:t>
            </w:r>
            <w:r>
              <w:rPr>
                <w:rFonts w:hint="eastAsia" w:ascii="Calibri" w:cstheme="minorHAnsi"/>
                <w:bCs/>
                <w:sz w:val="21"/>
                <w:szCs w:val="21"/>
                <w:highlight w:val="none"/>
              </w:rPr>
              <w:t>分。（以加盖公章的合同复印件</w:t>
            </w:r>
            <w:r>
              <w:rPr>
                <w:rFonts w:hint="eastAsia" w:ascii="Calibri" w:cstheme="minorHAnsi"/>
                <w:bCs/>
                <w:sz w:val="21"/>
                <w:szCs w:val="21"/>
                <w:highlight w:val="none"/>
                <w:lang w:val="en-US" w:eastAsia="zh-CN"/>
              </w:rPr>
              <w:t>签订时间为准</w:t>
            </w:r>
            <w:r>
              <w:rPr>
                <w:rFonts w:hint="eastAsia" w:ascii="Calibri" w:cstheme="minorHAnsi"/>
                <w:bCs/>
                <w:sz w:val="21"/>
                <w:szCs w:val="21"/>
                <w:highlight w:val="none"/>
              </w:rPr>
              <w:t>）。</w:t>
            </w:r>
          </w:p>
        </w:tc>
        <w:tc>
          <w:tcPr>
            <w:tcW w:w="1080" w:type="dxa"/>
            <w:vMerge w:val="continue"/>
            <w:shd w:val="clear" w:color="auto" w:fill="auto"/>
            <w:vAlign w:val="center"/>
          </w:tcPr>
          <w:p w14:paraId="652BDD21">
            <w:pPr>
              <w:spacing w:line="320" w:lineRule="exact"/>
              <w:jc w:val="both"/>
              <w:rPr>
                <w:rFonts w:ascii="Calibri"/>
                <w:bCs/>
                <w:sz w:val="21"/>
                <w:highlight w:val="none"/>
              </w:rPr>
            </w:pPr>
          </w:p>
        </w:tc>
      </w:tr>
      <w:tr w14:paraId="395F19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626" w:type="dxa"/>
            <w:vMerge w:val="continue"/>
            <w:shd w:val="clear" w:color="auto" w:fill="auto"/>
            <w:vAlign w:val="center"/>
          </w:tcPr>
          <w:p w14:paraId="49FEB46E">
            <w:pPr>
              <w:spacing w:line="320" w:lineRule="exact"/>
              <w:jc w:val="center"/>
              <w:rPr>
                <w:rFonts w:ascii="Calibri"/>
                <w:bCs/>
                <w:sz w:val="21"/>
                <w:highlight w:val="none"/>
              </w:rPr>
            </w:pPr>
          </w:p>
        </w:tc>
        <w:tc>
          <w:tcPr>
            <w:tcW w:w="622" w:type="dxa"/>
            <w:vMerge w:val="continue"/>
            <w:shd w:val="clear" w:color="auto" w:fill="auto"/>
            <w:vAlign w:val="center"/>
          </w:tcPr>
          <w:p w14:paraId="5E3C3D0E">
            <w:pPr>
              <w:spacing w:line="320" w:lineRule="exact"/>
              <w:jc w:val="center"/>
              <w:rPr>
                <w:rFonts w:ascii="Calibri"/>
                <w:bCs/>
                <w:sz w:val="21"/>
                <w:highlight w:val="none"/>
              </w:rPr>
            </w:pPr>
          </w:p>
        </w:tc>
        <w:tc>
          <w:tcPr>
            <w:tcW w:w="6622" w:type="dxa"/>
            <w:gridSpan w:val="2"/>
            <w:shd w:val="clear" w:color="auto" w:fill="auto"/>
            <w:vAlign w:val="center"/>
          </w:tcPr>
          <w:p w14:paraId="4B73178F">
            <w:pPr>
              <w:spacing w:line="320" w:lineRule="exact"/>
              <w:jc w:val="both"/>
              <w:rPr>
                <w:rFonts w:ascii="Calibri" w:cstheme="minorHAnsi"/>
                <w:bCs/>
                <w:sz w:val="21"/>
                <w:szCs w:val="21"/>
                <w:highlight w:val="none"/>
              </w:rPr>
            </w:pPr>
            <w:r>
              <w:rPr>
                <w:rFonts w:hint="eastAsia" w:ascii="Calibri" w:cstheme="minorHAnsi"/>
                <w:bCs/>
                <w:sz w:val="21"/>
                <w:szCs w:val="21"/>
                <w:highlight w:val="none"/>
                <w:lang w:val="en-US" w:eastAsia="zh-CN"/>
              </w:rPr>
              <w:t>投标人根据项目情况提供针对本项目的</w:t>
            </w:r>
            <w:r>
              <w:rPr>
                <w:rFonts w:hint="eastAsia" w:ascii="Calibri" w:cstheme="minorHAnsi"/>
                <w:bCs/>
                <w:sz w:val="21"/>
                <w:szCs w:val="21"/>
                <w:highlight w:val="none"/>
              </w:rPr>
              <w:t>工程质量承诺</w:t>
            </w:r>
            <w:r>
              <w:rPr>
                <w:rFonts w:hint="eastAsia" w:ascii="Calibri" w:cstheme="minorHAnsi"/>
                <w:bCs/>
                <w:sz w:val="21"/>
                <w:szCs w:val="21"/>
                <w:highlight w:val="none"/>
                <w:lang w:eastAsia="zh-CN"/>
              </w:rPr>
              <w:t>，</w:t>
            </w:r>
            <w:r>
              <w:rPr>
                <w:rFonts w:hint="eastAsia" w:ascii="Calibri" w:cstheme="minorHAnsi"/>
                <w:bCs/>
                <w:sz w:val="21"/>
                <w:szCs w:val="21"/>
                <w:highlight w:val="none"/>
                <w:lang w:val="en-US" w:eastAsia="zh-CN"/>
              </w:rPr>
              <w:t>根据承诺内容的</w:t>
            </w:r>
            <w:r>
              <w:rPr>
                <w:rFonts w:hint="eastAsia" w:ascii="Calibri"/>
                <w:bCs/>
                <w:sz w:val="21"/>
                <w:highlight w:val="none"/>
              </w:rPr>
              <w:t>合理性、科学性、可行性</w:t>
            </w:r>
            <w:r>
              <w:rPr>
                <w:rFonts w:hint="eastAsia" w:ascii="Calibri"/>
                <w:bCs/>
                <w:sz w:val="21"/>
                <w:highlight w:val="none"/>
                <w:lang w:val="en-US" w:eastAsia="zh-CN"/>
              </w:rPr>
              <w:t>赋</w:t>
            </w:r>
            <w:r>
              <w:rPr>
                <w:rFonts w:hint="eastAsia" w:ascii="Calibri" w:cstheme="minorHAnsi"/>
                <w:bCs/>
                <w:sz w:val="21"/>
                <w:szCs w:val="21"/>
                <w:highlight w:val="none"/>
              </w:rPr>
              <w:t>（0-</w:t>
            </w:r>
            <w:r>
              <w:rPr>
                <w:rFonts w:hint="eastAsia" w:ascii="Calibri" w:cstheme="minorHAnsi"/>
                <w:bCs/>
                <w:sz w:val="21"/>
                <w:szCs w:val="21"/>
                <w:highlight w:val="none"/>
                <w:lang w:val="en-US" w:eastAsia="zh-CN"/>
              </w:rPr>
              <w:t>5</w:t>
            </w:r>
            <w:r>
              <w:rPr>
                <w:rFonts w:hint="eastAsia" w:ascii="Calibri" w:cstheme="minorHAnsi"/>
                <w:bCs/>
                <w:sz w:val="21"/>
                <w:szCs w:val="21"/>
                <w:highlight w:val="none"/>
              </w:rPr>
              <w:t>分）</w:t>
            </w:r>
          </w:p>
        </w:tc>
        <w:tc>
          <w:tcPr>
            <w:tcW w:w="1080" w:type="dxa"/>
            <w:vMerge w:val="continue"/>
            <w:shd w:val="clear" w:color="auto" w:fill="auto"/>
            <w:vAlign w:val="center"/>
          </w:tcPr>
          <w:p w14:paraId="1C23CB48">
            <w:pPr>
              <w:spacing w:line="320" w:lineRule="exact"/>
              <w:jc w:val="both"/>
              <w:rPr>
                <w:rFonts w:ascii="Calibri"/>
                <w:bCs/>
                <w:sz w:val="21"/>
                <w:highlight w:val="none"/>
              </w:rPr>
            </w:pPr>
          </w:p>
        </w:tc>
      </w:tr>
      <w:tr w14:paraId="0CAEEC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trPr>
        <w:tc>
          <w:tcPr>
            <w:tcW w:w="626" w:type="dxa"/>
            <w:vMerge w:val="continue"/>
            <w:shd w:val="clear" w:color="auto" w:fill="auto"/>
            <w:vAlign w:val="center"/>
          </w:tcPr>
          <w:p w14:paraId="3F0C1836">
            <w:pPr>
              <w:spacing w:line="320" w:lineRule="exact"/>
              <w:jc w:val="center"/>
              <w:rPr>
                <w:rFonts w:ascii="Calibri"/>
                <w:bCs/>
                <w:sz w:val="21"/>
                <w:highlight w:val="none"/>
              </w:rPr>
            </w:pPr>
          </w:p>
        </w:tc>
        <w:tc>
          <w:tcPr>
            <w:tcW w:w="622" w:type="dxa"/>
            <w:vMerge w:val="continue"/>
            <w:shd w:val="clear" w:color="auto" w:fill="auto"/>
            <w:vAlign w:val="center"/>
          </w:tcPr>
          <w:p w14:paraId="5417CCF3">
            <w:pPr>
              <w:spacing w:line="320" w:lineRule="exact"/>
              <w:jc w:val="center"/>
              <w:rPr>
                <w:rFonts w:ascii="Calibri"/>
                <w:bCs/>
                <w:sz w:val="21"/>
                <w:highlight w:val="none"/>
              </w:rPr>
            </w:pPr>
          </w:p>
        </w:tc>
        <w:tc>
          <w:tcPr>
            <w:tcW w:w="6622" w:type="dxa"/>
            <w:gridSpan w:val="2"/>
            <w:shd w:val="clear" w:color="auto" w:fill="auto"/>
            <w:vAlign w:val="center"/>
          </w:tcPr>
          <w:p w14:paraId="26DF586B">
            <w:pPr>
              <w:spacing w:line="320" w:lineRule="exact"/>
              <w:jc w:val="both"/>
              <w:rPr>
                <w:rFonts w:ascii="Calibri" w:cstheme="minorHAnsi"/>
                <w:bCs/>
                <w:sz w:val="21"/>
                <w:szCs w:val="21"/>
                <w:highlight w:val="none"/>
              </w:rPr>
            </w:pPr>
            <w:r>
              <w:rPr>
                <w:rFonts w:hint="eastAsia" w:ascii="Calibri" w:cstheme="minorHAnsi"/>
                <w:bCs/>
                <w:sz w:val="21"/>
                <w:szCs w:val="21"/>
                <w:highlight w:val="none"/>
                <w:lang w:val="en-US" w:eastAsia="zh-CN"/>
              </w:rPr>
              <w:t>投标人根据项目情况提供针对本项目的</w:t>
            </w:r>
            <w:r>
              <w:rPr>
                <w:rFonts w:hint="eastAsia" w:ascii="Calibri" w:cstheme="minorHAnsi"/>
                <w:bCs/>
                <w:sz w:val="21"/>
                <w:szCs w:val="21"/>
                <w:highlight w:val="none"/>
              </w:rPr>
              <w:t>后续服务措施承诺</w:t>
            </w:r>
            <w:r>
              <w:rPr>
                <w:rFonts w:hint="eastAsia" w:ascii="Calibri" w:cstheme="minorHAnsi"/>
                <w:bCs/>
                <w:sz w:val="21"/>
                <w:szCs w:val="21"/>
                <w:highlight w:val="none"/>
                <w:lang w:eastAsia="zh-CN"/>
              </w:rPr>
              <w:t>，</w:t>
            </w:r>
            <w:r>
              <w:rPr>
                <w:rFonts w:hint="eastAsia" w:ascii="Calibri" w:cstheme="minorHAnsi"/>
                <w:bCs/>
                <w:sz w:val="21"/>
                <w:szCs w:val="21"/>
                <w:highlight w:val="none"/>
                <w:lang w:val="en-US" w:eastAsia="zh-CN"/>
              </w:rPr>
              <w:t>根据承诺内容的</w:t>
            </w:r>
            <w:r>
              <w:rPr>
                <w:rFonts w:hint="eastAsia" w:ascii="Calibri"/>
                <w:bCs/>
                <w:sz w:val="21"/>
                <w:highlight w:val="none"/>
              </w:rPr>
              <w:t>合理性、科学性、可行性</w:t>
            </w:r>
            <w:r>
              <w:rPr>
                <w:rFonts w:hint="eastAsia" w:ascii="Calibri"/>
                <w:bCs/>
                <w:sz w:val="21"/>
                <w:highlight w:val="none"/>
                <w:lang w:val="en-US" w:eastAsia="zh-CN"/>
              </w:rPr>
              <w:t>赋</w:t>
            </w:r>
            <w:r>
              <w:rPr>
                <w:rFonts w:hint="eastAsia" w:ascii="Calibri" w:cstheme="minorHAnsi"/>
                <w:bCs/>
                <w:sz w:val="21"/>
                <w:szCs w:val="21"/>
                <w:highlight w:val="none"/>
              </w:rPr>
              <w:t>（0-</w:t>
            </w:r>
            <w:r>
              <w:rPr>
                <w:rFonts w:hint="eastAsia" w:ascii="Calibri" w:cstheme="minorHAnsi"/>
                <w:bCs/>
                <w:sz w:val="21"/>
                <w:szCs w:val="21"/>
                <w:highlight w:val="none"/>
                <w:lang w:val="en-US" w:eastAsia="zh-CN"/>
              </w:rPr>
              <w:t>5</w:t>
            </w:r>
            <w:r>
              <w:rPr>
                <w:rFonts w:hint="eastAsia" w:ascii="Calibri" w:cstheme="minorHAnsi"/>
                <w:bCs/>
                <w:sz w:val="21"/>
                <w:szCs w:val="21"/>
                <w:highlight w:val="none"/>
              </w:rPr>
              <w:t>分）</w:t>
            </w:r>
          </w:p>
        </w:tc>
        <w:tc>
          <w:tcPr>
            <w:tcW w:w="1080" w:type="dxa"/>
            <w:vMerge w:val="continue"/>
            <w:shd w:val="clear" w:color="auto" w:fill="auto"/>
            <w:vAlign w:val="center"/>
          </w:tcPr>
          <w:p w14:paraId="63BB6BA5">
            <w:pPr>
              <w:spacing w:line="320" w:lineRule="exact"/>
              <w:jc w:val="both"/>
              <w:rPr>
                <w:rFonts w:ascii="Calibri"/>
                <w:bCs/>
                <w:sz w:val="21"/>
                <w:highlight w:val="none"/>
              </w:rPr>
            </w:pPr>
          </w:p>
        </w:tc>
      </w:tr>
      <w:tr w14:paraId="1D93E6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trPr>
        <w:tc>
          <w:tcPr>
            <w:tcW w:w="626" w:type="dxa"/>
            <w:vMerge w:val="continue"/>
            <w:shd w:val="clear" w:color="auto" w:fill="auto"/>
            <w:vAlign w:val="center"/>
          </w:tcPr>
          <w:p w14:paraId="03B32727">
            <w:pPr>
              <w:spacing w:line="320" w:lineRule="exact"/>
              <w:jc w:val="center"/>
              <w:rPr>
                <w:rFonts w:ascii="Calibri"/>
                <w:bCs/>
                <w:sz w:val="21"/>
                <w:highlight w:val="none"/>
              </w:rPr>
            </w:pPr>
          </w:p>
        </w:tc>
        <w:tc>
          <w:tcPr>
            <w:tcW w:w="622" w:type="dxa"/>
            <w:vMerge w:val="continue"/>
            <w:shd w:val="clear" w:color="auto" w:fill="auto"/>
            <w:vAlign w:val="center"/>
          </w:tcPr>
          <w:p w14:paraId="7D355B59">
            <w:pPr>
              <w:spacing w:line="320" w:lineRule="exact"/>
              <w:jc w:val="center"/>
              <w:rPr>
                <w:rFonts w:ascii="Calibri"/>
                <w:bCs/>
                <w:sz w:val="21"/>
                <w:highlight w:val="none"/>
              </w:rPr>
            </w:pPr>
          </w:p>
        </w:tc>
        <w:tc>
          <w:tcPr>
            <w:tcW w:w="6622" w:type="dxa"/>
            <w:gridSpan w:val="2"/>
            <w:shd w:val="clear" w:color="auto" w:fill="auto"/>
            <w:vAlign w:val="center"/>
          </w:tcPr>
          <w:p w14:paraId="08AF7C1F">
            <w:pPr>
              <w:spacing w:line="320" w:lineRule="exact"/>
              <w:jc w:val="both"/>
              <w:rPr>
                <w:rFonts w:hint="eastAsia" w:ascii="Calibri" w:cstheme="minorHAnsi"/>
                <w:bCs/>
                <w:sz w:val="21"/>
                <w:szCs w:val="21"/>
                <w:highlight w:val="none"/>
              </w:rPr>
            </w:pPr>
            <w:r>
              <w:rPr>
                <w:rFonts w:hint="eastAsia" w:ascii="Calibri" w:cstheme="minorHAnsi"/>
                <w:bCs/>
                <w:sz w:val="21"/>
                <w:szCs w:val="21"/>
                <w:highlight w:val="none"/>
                <w:lang w:val="en-US" w:eastAsia="zh-CN"/>
              </w:rPr>
              <w:t>投标人根据项目情况提供针对本项目的</w:t>
            </w:r>
            <w:r>
              <w:rPr>
                <w:rFonts w:hint="eastAsia" w:ascii="宋体" w:hAnsi="宋体"/>
                <w:color w:val="000000"/>
                <w:szCs w:val="21"/>
                <w:highlight w:val="none"/>
                <w:lang w:val="en-US" w:eastAsia="zh-CN"/>
              </w:rPr>
              <w:t>合理化建议</w:t>
            </w:r>
            <w:r>
              <w:rPr>
                <w:rFonts w:hint="eastAsia"/>
                <w:color w:val="000000"/>
                <w:szCs w:val="21"/>
                <w:highlight w:val="none"/>
                <w:lang w:val="en-US" w:eastAsia="zh-CN"/>
              </w:rPr>
              <w:t>，</w:t>
            </w:r>
            <w:r>
              <w:rPr>
                <w:rFonts w:hint="eastAsia" w:ascii="Calibri" w:cstheme="minorHAnsi"/>
                <w:bCs/>
                <w:sz w:val="21"/>
                <w:szCs w:val="21"/>
                <w:highlight w:val="none"/>
                <w:lang w:val="en-US" w:eastAsia="zh-CN"/>
              </w:rPr>
              <w:t>根据</w:t>
            </w:r>
            <w:r>
              <w:rPr>
                <w:rFonts w:hint="eastAsia" w:ascii="宋体" w:hAnsi="宋体"/>
                <w:color w:val="000000"/>
                <w:szCs w:val="21"/>
                <w:highlight w:val="none"/>
                <w:lang w:val="en-US" w:eastAsia="zh-CN"/>
              </w:rPr>
              <w:t>合理化建议</w:t>
            </w:r>
            <w:r>
              <w:rPr>
                <w:rFonts w:hint="eastAsia"/>
                <w:color w:val="000000"/>
                <w:szCs w:val="21"/>
                <w:highlight w:val="none"/>
                <w:lang w:val="en-US" w:eastAsia="zh-CN"/>
              </w:rPr>
              <w:t>内容的</w:t>
            </w:r>
            <w:r>
              <w:rPr>
                <w:rFonts w:hint="eastAsia" w:ascii="Calibri"/>
                <w:bCs/>
                <w:sz w:val="21"/>
                <w:highlight w:val="none"/>
              </w:rPr>
              <w:t>合理性、科学性、可行性</w:t>
            </w:r>
            <w:r>
              <w:rPr>
                <w:rFonts w:hint="eastAsia" w:ascii="Calibri"/>
                <w:bCs/>
                <w:sz w:val="21"/>
                <w:highlight w:val="none"/>
                <w:lang w:val="en-US" w:eastAsia="zh-CN"/>
              </w:rPr>
              <w:t>赋</w:t>
            </w:r>
            <w:r>
              <w:rPr>
                <w:rFonts w:hint="eastAsia" w:ascii="Calibri" w:cstheme="minorHAnsi"/>
                <w:bCs/>
                <w:sz w:val="21"/>
                <w:szCs w:val="21"/>
                <w:highlight w:val="none"/>
              </w:rPr>
              <w:t>（0-</w:t>
            </w:r>
            <w:r>
              <w:rPr>
                <w:rFonts w:hint="eastAsia" w:ascii="Calibri" w:cstheme="minorHAnsi"/>
                <w:bCs/>
                <w:sz w:val="21"/>
                <w:szCs w:val="21"/>
                <w:highlight w:val="none"/>
                <w:lang w:val="en-US" w:eastAsia="zh-CN"/>
              </w:rPr>
              <w:t>5</w:t>
            </w:r>
            <w:r>
              <w:rPr>
                <w:rFonts w:hint="eastAsia" w:ascii="Calibri" w:cstheme="minorHAnsi"/>
                <w:bCs/>
                <w:sz w:val="21"/>
                <w:szCs w:val="21"/>
                <w:highlight w:val="none"/>
              </w:rPr>
              <w:t>分）</w:t>
            </w:r>
          </w:p>
        </w:tc>
        <w:tc>
          <w:tcPr>
            <w:tcW w:w="1080" w:type="dxa"/>
            <w:vMerge w:val="continue"/>
            <w:shd w:val="clear" w:color="auto" w:fill="auto"/>
            <w:vAlign w:val="center"/>
          </w:tcPr>
          <w:p w14:paraId="58352DDF">
            <w:pPr>
              <w:spacing w:line="320" w:lineRule="exact"/>
              <w:jc w:val="both"/>
              <w:rPr>
                <w:rFonts w:ascii="Calibri"/>
                <w:bCs/>
                <w:sz w:val="21"/>
                <w:highlight w:val="none"/>
              </w:rPr>
            </w:pPr>
          </w:p>
        </w:tc>
      </w:tr>
      <w:tr w14:paraId="3DA181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61" w:hRule="atLeast"/>
        </w:trPr>
        <w:tc>
          <w:tcPr>
            <w:tcW w:w="626" w:type="dxa"/>
            <w:shd w:val="clear" w:color="auto" w:fill="auto"/>
            <w:vAlign w:val="center"/>
          </w:tcPr>
          <w:p w14:paraId="3E73F2F7">
            <w:pPr>
              <w:spacing w:line="320" w:lineRule="exact"/>
              <w:jc w:val="center"/>
              <w:rPr>
                <w:rFonts w:ascii="Calibri"/>
                <w:bCs/>
                <w:sz w:val="21"/>
                <w:highlight w:val="none"/>
              </w:rPr>
            </w:pPr>
            <w:r>
              <w:rPr>
                <w:rFonts w:ascii="Calibri"/>
                <w:sz w:val="21"/>
                <w:highlight w:val="none"/>
              </w:rPr>
              <w:t>说明</w:t>
            </w:r>
          </w:p>
        </w:tc>
        <w:tc>
          <w:tcPr>
            <w:tcW w:w="8324" w:type="dxa"/>
            <w:gridSpan w:val="4"/>
            <w:shd w:val="clear" w:color="auto" w:fill="auto"/>
            <w:vAlign w:val="center"/>
          </w:tcPr>
          <w:p w14:paraId="2C3C0418">
            <w:pPr>
              <w:jc w:val="both"/>
              <w:rPr>
                <w:rFonts w:ascii="Calibri" w:cstheme="minorHAnsi"/>
                <w:sz w:val="21"/>
                <w:szCs w:val="21"/>
                <w:highlight w:val="none"/>
              </w:rPr>
            </w:pPr>
            <w:r>
              <w:rPr>
                <w:rFonts w:ascii="Calibri" w:cstheme="minorHAnsi"/>
                <w:sz w:val="21"/>
                <w:szCs w:val="21"/>
                <w:highlight w:val="none"/>
              </w:rPr>
              <w:t>①</w:t>
            </w:r>
            <w:r>
              <w:rPr>
                <w:rFonts w:hint="eastAsia" w:ascii="Calibri" w:cstheme="minorHAnsi"/>
                <w:sz w:val="21"/>
                <w:szCs w:val="21"/>
                <w:highlight w:val="none"/>
              </w:rPr>
              <w:t>评标委员会成员必须按照本评审要素据实打分，各类数字计算均按“四舍五入”保留小数点后两位。</w:t>
            </w:r>
          </w:p>
          <w:p w14:paraId="3EF71CD9">
            <w:pPr>
              <w:spacing w:line="320" w:lineRule="exact"/>
              <w:jc w:val="both"/>
              <w:rPr>
                <w:rFonts w:ascii="Calibri"/>
                <w:bCs/>
                <w:sz w:val="21"/>
                <w:highlight w:val="none"/>
              </w:rPr>
            </w:pPr>
            <w:r>
              <w:rPr>
                <w:rFonts w:ascii="Calibri" w:cstheme="minorHAnsi"/>
                <w:sz w:val="21"/>
                <w:szCs w:val="21"/>
                <w:highlight w:val="none"/>
              </w:rPr>
              <w:t>②本项目为专门面向中小企业的项目，投标人应为中小微企业、监狱企业或残疾人福利性单位</w:t>
            </w:r>
            <w:r>
              <w:rPr>
                <w:rFonts w:hint="eastAsia" w:ascii="Calibri" w:cstheme="minorHAnsi"/>
                <w:sz w:val="21"/>
                <w:szCs w:val="21"/>
                <w:highlight w:val="none"/>
              </w:rPr>
              <w:t>，根据《政府采购促进中小企业发展管理办法》（财库〔2020〕46号）的有关规定，不享受中小企业扶持政策。</w:t>
            </w:r>
          </w:p>
        </w:tc>
      </w:tr>
    </w:tbl>
    <w:p w14:paraId="38AF20CF">
      <w:pPr>
        <w:rPr>
          <w:highlight w:val="none"/>
        </w:rPr>
      </w:pPr>
    </w:p>
    <w:p w14:paraId="7C87E65F">
      <w:pPr>
        <w:pStyle w:val="16"/>
        <w:spacing w:before="11"/>
        <w:rPr>
          <w:b/>
          <w:sz w:val="21"/>
          <w:szCs w:val="21"/>
          <w:highlight w:val="none"/>
        </w:rPr>
      </w:pPr>
    </w:p>
    <w:p w14:paraId="59C846B9">
      <w:pPr>
        <w:pStyle w:val="8"/>
        <w:numPr>
          <w:ilvl w:val="0"/>
          <w:numId w:val="35"/>
        </w:numPr>
        <w:tabs>
          <w:tab w:val="left" w:pos="997"/>
        </w:tabs>
        <w:spacing w:before="67"/>
        <w:ind w:hanging="245"/>
        <w:jc w:val="both"/>
        <w:rPr>
          <w:sz w:val="21"/>
          <w:szCs w:val="21"/>
          <w:highlight w:val="none"/>
        </w:rPr>
      </w:pPr>
      <w:bookmarkStart w:id="201" w:name="1.评标办法"/>
      <w:bookmarkEnd w:id="201"/>
      <w:r>
        <w:rPr>
          <w:rFonts w:hint="eastAsia"/>
          <w:sz w:val="21"/>
          <w:szCs w:val="21"/>
          <w:highlight w:val="none"/>
        </w:rPr>
        <w:t>评标办法</w:t>
      </w:r>
    </w:p>
    <w:p w14:paraId="1F761D5F">
      <w:pPr>
        <w:pStyle w:val="16"/>
        <w:spacing w:before="2"/>
        <w:jc w:val="both"/>
        <w:rPr>
          <w:b/>
          <w:sz w:val="21"/>
          <w:szCs w:val="21"/>
          <w:highlight w:val="none"/>
        </w:rPr>
      </w:pPr>
    </w:p>
    <w:p w14:paraId="3F04705D">
      <w:pPr>
        <w:pStyle w:val="16"/>
        <w:tabs>
          <w:tab w:val="left" w:pos="8800"/>
        </w:tabs>
        <w:spacing w:before="1" w:line="362" w:lineRule="auto"/>
        <w:ind w:left="752" w:right="-493" w:rightChars="0" w:firstLine="480"/>
        <w:jc w:val="both"/>
        <w:rPr>
          <w:sz w:val="21"/>
          <w:szCs w:val="21"/>
          <w:highlight w:val="none"/>
        </w:rPr>
      </w:pPr>
      <w:r>
        <w:rPr>
          <w:rFonts w:hint="eastAsia"/>
          <w:sz w:val="21"/>
          <w:szCs w:val="21"/>
          <w:highlight w:val="none"/>
        </w:rPr>
        <w:t>本次评标采用综合评估法。评标委员会对满足招标文件实质性要求的投标文件， 按照本章规定的评分标准进行打分，并按得分由高到低顺序推荐中标候选人。</w:t>
      </w:r>
    </w:p>
    <w:p w14:paraId="2B33EB74">
      <w:pPr>
        <w:pStyle w:val="8"/>
        <w:numPr>
          <w:ilvl w:val="0"/>
          <w:numId w:val="35"/>
        </w:numPr>
        <w:tabs>
          <w:tab w:val="left" w:pos="997"/>
        </w:tabs>
        <w:spacing w:before="41"/>
        <w:ind w:hanging="245"/>
        <w:jc w:val="both"/>
        <w:rPr>
          <w:sz w:val="21"/>
          <w:szCs w:val="21"/>
          <w:highlight w:val="none"/>
        </w:rPr>
      </w:pPr>
      <w:bookmarkStart w:id="202" w:name="2.评审标准"/>
      <w:bookmarkEnd w:id="202"/>
      <w:r>
        <w:rPr>
          <w:rFonts w:hint="eastAsia"/>
          <w:sz w:val="21"/>
          <w:szCs w:val="21"/>
          <w:highlight w:val="none"/>
        </w:rPr>
        <w:t>评审标准</w:t>
      </w:r>
    </w:p>
    <w:p w14:paraId="532F8C2E">
      <w:pPr>
        <w:pStyle w:val="16"/>
        <w:jc w:val="both"/>
        <w:rPr>
          <w:b/>
          <w:sz w:val="21"/>
          <w:szCs w:val="21"/>
          <w:highlight w:val="none"/>
        </w:rPr>
      </w:pPr>
    </w:p>
    <w:p w14:paraId="7147B063">
      <w:pPr>
        <w:pStyle w:val="8"/>
        <w:numPr>
          <w:ilvl w:val="1"/>
          <w:numId w:val="35"/>
        </w:numPr>
        <w:tabs>
          <w:tab w:val="left" w:pos="1238"/>
        </w:tabs>
        <w:ind w:hanging="486"/>
        <w:jc w:val="both"/>
        <w:rPr>
          <w:sz w:val="21"/>
          <w:szCs w:val="21"/>
          <w:highlight w:val="none"/>
        </w:rPr>
      </w:pPr>
      <w:bookmarkStart w:id="203" w:name="2.1_资格评审标准"/>
      <w:bookmarkEnd w:id="203"/>
      <w:r>
        <w:rPr>
          <w:rFonts w:hint="eastAsia"/>
          <w:sz w:val="21"/>
          <w:szCs w:val="21"/>
          <w:highlight w:val="none"/>
        </w:rPr>
        <w:t>资格评审标准</w:t>
      </w:r>
    </w:p>
    <w:p w14:paraId="0595D1BC">
      <w:pPr>
        <w:pStyle w:val="16"/>
        <w:spacing w:before="161"/>
        <w:ind w:left="1352"/>
        <w:jc w:val="both"/>
        <w:rPr>
          <w:sz w:val="21"/>
          <w:szCs w:val="21"/>
          <w:highlight w:val="none"/>
        </w:rPr>
      </w:pPr>
      <w:bookmarkStart w:id="204" w:name="资格评审标准：见评标办法前附表。"/>
      <w:bookmarkEnd w:id="204"/>
      <w:r>
        <w:rPr>
          <w:rFonts w:hint="eastAsia"/>
          <w:sz w:val="21"/>
          <w:szCs w:val="21"/>
          <w:highlight w:val="none"/>
        </w:rPr>
        <w:t>资格评审标准：见评标办法前附表。</w:t>
      </w:r>
    </w:p>
    <w:p w14:paraId="62EA21F8">
      <w:pPr>
        <w:pStyle w:val="8"/>
        <w:numPr>
          <w:ilvl w:val="1"/>
          <w:numId w:val="35"/>
        </w:numPr>
        <w:tabs>
          <w:tab w:val="left" w:pos="1238"/>
        </w:tabs>
        <w:spacing w:before="160"/>
        <w:ind w:hanging="486"/>
        <w:jc w:val="both"/>
        <w:rPr>
          <w:sz w:val="21"/>
          <w:szCs w:val="21"/>
          <w:highlight w:val="none"/>
        </w:rPr>
      </w:pPr>
      <w:bookmarkStart w:id="205" w:name="2.2_初步评审标准"/>
      <w:bookmarkEnd w:id="205"/>
      <w:r>
        <w:rPr>
          <w:rFonts w:hint="eastAsia"/>
          <w:sz w:val="21"/>
          <w:szCs w:val="21"/>
          <w:highlight w:val="none"/>
        </w:rPr>
        <w:t>初步评审标准</w:t>
      </w:r>
    </w:p>
    <w:p w14:paraId="7099DE04">
      <w:pPr>
        <w:pStyle w:val="70"/>
        <w:numPr>
          <w:ilvl w:val="0"/>
          <w:numId w:val="0"/>
        </w:numPr>
        <w:tabs>
          <w:tab w:val="left" w:pos="2073"/>
        </w:tabs>
        <w:spacing w:before="158"/>
        <w:ind w:left="1351" w:leftChars="0"/>
        <w:jc w:val="both"/>
        <w:rPr>
          <w:sz w:val="21"/>
          <w:szCs w:val="21"/>
          <w:highlight w:val="none"/>
        </w:rPr>
      </w:pPr>
      <w:bookmarkStart w:id="206" w:name="2.2.1_形式评审标准：见评标办法前附表。"/>
      <w:bookmarkEnd w:id="206"/>
      <w:r>
        <w:rPr>
          <w:rFonts w:hint="eastAsia"/>
          <w:sz w:val="21"/>
          <w:szCs w:val="21"/>
          <w:highlight w:val="none"/>
        </w:rPr>
        <w:t>形式评审标准：见评标办法前附表。</w:t>
      </w:r>
    </w:p>
    <w:p w14:paraId="448D0EEA">
      <w:pPr>
        <w:pStyle w:val="70"/>
        <w:numPr>
          <w:ilvl w:val="0"/>
          <w:numId w:val="0"/>
        </w:numPr>
        <w:tabs>
          <w:tab w:val="left" w:pos="2073"/>
        </w:tabs>
        <w:spacing w:before="161"/>
        <w:ind w:left="1351" w:leftChars="0"/>
        <w:jc w:val="both"/>
        <w:rPr>
          <w:sz w:val="21"/>
          <w:szCs w:val="21"/>
          <w:highlight w:val="none"/>
        </w:rPr>
      </w:pPr>
      <w:bookmarkStart w:id="207" w:name="2.2.2_响应性评审标准：见评标办法前附表。"/>
      <w:bookmarkEnd w:id="207"/>
      <w:r>
        <w:rPr>
          <w:rFonts w:hint="eastAsia"/>
          <w:sz w:val="21"/>
          <w:szCs w:val="21"/>
          <w:highlight w:val="none"/>
        </w:rPr>
        <w:t>响应性评审标准：见评标办法前附表。</w:t>
      </w:r>
    </w:p>
    <w:p w14:paraId="7D117AE4">
      <w:pPr>
        <w:pStyle w:val="8"/>
        <w:numPr>
          <w:ilvl w:val="1"/>
          <w:numId w:val="35"/>
        </w:numPr>
        <w:tabs>
          <w:tab w:val="left" w:pos="1238"/>
        </w:tabs>
        <w:spacing w:before="158"/>
        <w:ind w:hanging="486"/>
        <w:jc w:val="both"/>
        <w:rPr>
          <w:sz w:val="21"/>
          <w:szCs w:val="21"/>
          <w:highlight w:val="none"/>
        </w:rPr>
      </w:pPr>
      <w:bookmarkStart w:id="208" w:name="2.3_分值构成与评分标准"/>
      <w:bookmarkEnd w:id="208"/>
      <w:r>
        <w:rPr>
          <w:rFonts w:hint="eastAsia"/>
          <w:sz w:val="21"/>
          <w:szCs w:val="21"/>
          <w:highlight w:val="none"/>
        </w:rPr>
        <w:t>分值构成与评分标准</w:t>
      </w:r>
    </w:p>
    <w:p w14:paraId="1C7EDC5D">
      <w:pPr>
        <w:pStyle w:val="70"/>
        <w:numPr>
          <w:ilvl w:val="0"/>
          <w:numId w:val="36"/>
        </w:numPr>
        <w:tabs>
          <w:tab w:val="left" w:pos="1834"/>
        </w:tabs>
        <w:spacing w:before="158"/>
        <w:ind w:hanging="602"/>
        <w:jc w:val="both"/>
        <w:rPr>
          <w:sz w:val="21"/>
          <w:szCs w:val="21"/>
          <w:highlight w:val="none"/>
        </w:rPr>
      </w:pPr>
      <w:r>
        <w:rPr>
          <w:rFonts w:hint="eastAsia"/>
          <w:sz w:val="21"/>
          <w:szCs w:val="21"/>
          <w:highlight w:val="none"/>
        </w:rPr>
        <w:t>技术部分：见评标办法前附表；</w:t>
      </w:r>
    </w:p>
    <w:p w14:paraId="47033E68">
      <w:pPr>
        <w:pStyle w:val="70"/>
        <w:numPr>
          <w:ilvl w:val="0"/>
          <w:numId w:val="36"/>
        </w:numPr>
        <w:tabs>
          <w:tab w:val="left" w:pos="1834"/>
        </w:tabs>
        <w:spacing w:before="158"/>
        <w:ind w:hanging="602"/>
        <w:jc w:val="both"/>
        <w:rPr>
          <w:b w:val="0"/>
          <w:bCs w:val="0"/>
          <w:sz w:val="21"/>
          <w:szCs w:val="21"/>
          <w:highlight w:val="none"/>
        </w:rPr>
      </w:pPr>
      <w:r>
        <w:rPr>
          <w:rFonts w:hint="eastAsia" w:ascii="宋体" w:hAnsi="宋体" w:eastAsia="宋体" w:cs="宋体"/>
          <w:b w:val="0"/>
          <w:bCs w:val="0"/>
          <w:sz w:val="21"/>
          <w:szCs w:val="21"/>
          <w:highlight w:val="none"/>
        </w:rPr>
        <w:t>商务部分：见评标办法前</w:t>
      </w:r>
      <w:r>
        <w:rPr>
          <w:rFonts w:hint="eastAsia"/>
          <w:sz w:val="21"/>
          <w:szCs w:val="21"/>
          <w:highlight w:val="none"/>
        </w:rPr>
        <w:t>附</w:t>
      </w:r>
      <w:r>
        <w:rPr>
          <w:rFonts w:hint="eastAsia" w:ascii="宋体" w:hAnsi="宋体" w:eastAsia="宋体" w:cs="宋体"/>
          <w:b w:val="0"/>
          <w:bCs w:val="0"/>
          <w:sz w:val="21"/>
          <w:szCs w:val="21"/>
          <w:highlight w:val="none"/>
        </w:rPr>
        <w:t>表</w:t>
      </w:r>
      <w:r>
        <w:rPr>
          <w:rFonts w:hint="eastAsia"/>
          <w:b w:val="0"/>
          <w:bCs w:val="0"/>
          <w:spacing w:val="-2"/>
          <w:sz w:val="21"/>
          <w:szCs w:val="21"/>
          <w:highlight w:val="none"/>
        </w:rPr>
        <w:t>。</w:t>
      </w:r>
      <w:bookmarkStart w:id="209" w:name="3.评标程序"/>
      <w:bookmarkEnd w:id="209"/>
    </w:p>
    <w:p w14:paraId="4D54B7D0">
      <w:pPr>
        <w:pStyle w:val="70"/>
        <w:numPr>
          <w:ilvl w:val="0"/>
          <w:numId w:val="0"/>
        </w:numPr>
        <w:tabs>
          <w:tab w:val="left" w:pos="1834"/>
        </w:tabs>
        <w:spacing w:before="158"/>
        <w:ind w:firstLine="632" w:firstLineChars="300"/>
        <w:jc w:val="both"/>
        <w:rPr>
          <w:b/>
          <w:bCs/>
          <w:sz w:val="21"/>
          <w:szCs w:val="21"/>
          <w:highlight w:val="none"/>
        </w:rPr>
      </w:pPr>
      <w:r>
        <w:rPr>
          <w:rFonts w:hint="eastAsia"/>
          <w:b/>
          <w:bCs/>
          <w:sz w:val="21"/>
          <w:szCs w:val="21"/>
          <w:highlight w:val="none"/>
        </w:rPr>
        <w:t>3.评标程序</w:t>
      </w:r>
    </w:p>
    <w:p w14:paraId="4CE3EDFE">
      <w:pPr>
        <w:pStyle w:val="8"/>
        <w:numPr>
          <w:ilvl w:val="1"/>
          <w:numId w:val="37"/>
        </w:numPr>
        <w:tabs>
          <w:tab w:val="left" w:pos="1238"/>
        </w:tabs>
        <w:spacing w:line="307" w:lineRule="exact"/>
        <w:ind w:hanging="486"/>
        <w:jc w:val="both"/>
        <w:rPr>
          <w:sz w:val="21"/>
          <w:szCs w:val="21"/>
          <w:highlight w:val="none"/>
        </w:rPr>
      </w:pPr>
      <w:bookmarkStart w:id="210" w:name="3.1_资格评审"/>
      <w:bookmarkEnd w:id="210"/>
      <w:r>
        <w:rPr>
          <w:rFonts w:hint="eastAsia"/>
          <w:sz w:val="21"/>
          <w:szCs w:val="21"/>
          <w:highlight w:val="none"/>
        </w:rPr>
        <w:t>资格评审</w:t>
      </w:r>
    </w:p>
    <w:p w14:paraId="0ADDC6F1">
      <w:pPr>
        <w:pStyle w:val="16"/>
        <w:spacing w:before="161"/>
        <w:ind w:left="1232"/>
        <w:jc w:val="both"/>
        <w:rPr>
          <w:sz w:val="21"/>
          <w:szCs w:val="21"/>
          <w:highlight w:val="none"/>
        </w:rPr>
      </w:pPr>
      <w:r>
        <w:rPr>
          <w:rFonts w:hint="eastAsia"/>
          <w:sz w:val="21"/>
          <w:szCs w:val="21"/>
          <w:highlight w:val="none"/>
        </w:rPr>
        <w:t>评标委员会依据本章第 2.1 项规定的资格评审标准对投标人进行符合性评审。</w:t>
      </w:r>
    </w:p>
    <w:p w14:paraId="34C17CE8">
      <w:pPr>
        <w:pStyle w:val="8"/>
        <w:numPr>
          <w:ilvl w:val="1"/>
          <w:numId w:val="37"/>
        </w:numPr>
        <w:tabs>
          <w:tab w:val="left" w:pos="1238"/>
        </w:tabs>
        <w:spacing w:before="160"/>
        <w:ind w:hanging="486"/>
        <w:jc w:val="both"/>
        <w:rPr>
          <w:sz w:val="21"/>
          <w:szCs w:val="21"/>
          <w:highlight w:val="none"/>
        </w:rPr>
      </w:pPr>
      <w:bookmarkStart w:id="211" w:name="3.2_初步评审"/>
      <w:bookmarkEnd w:id="211"/>
      <w:r>
        <w:rPr>
          <w:rFonts w:hint="eastAsia"/>
          <w:sz w:val="21"/>
          <w:szCs w:val="21"/>
          <w:highlight w:val="none"/>
        </w:rPr>
        <w:t>初步评审</w:t>
      </w:r>
    </w:p>
    <w:p w14:paraId="41C00D34">
      <w:pPr>
        <w:pStyle w:val="16"/>
        <w:tabs>
          <w:tab w:val="left" w:pos="6820"/>
          <w:tab w:val="left" w:pos="8140"/>
        </w:tabs>
        <w:spacing w:before="159" w:line="364" w:lineRule="auto"/>
        <w:ind w:left="858" w:right="167" w:rightChars="0" w:firstLine="480"/>
        <w:jc w:val="both"/>
        <w:rPr>
          <w:sz w:val="21"/>
          <w:szCs w:val="21"/>
          <w:highlight w:val="none"/>
        </w:rPr>
      </w:pPr>
      <w:r>
        <w:rPr>
          <w:rFonts w:hint="eastAsia"/>
          <w:sz w:val="21"/>
          <w:szCs w:val="21"/>
          <w:highlight w:val="none"/>
        </w:rPr>
        <w:t>3.</w:t>
      </w:r>
      <w:r>
        <w:rPr>
          <w:rFonts w:hint="eastAsia"/>
          <w:sz w:val="21"/>
          <w:szCs w:val="21"/>
          <w:highlight w:val="none"/>
          <w:lang w:val="en-US" w:eastAsia="zh-CN"/>
        </w:rPr>
        <w:t>2</w:t>
      </w:r>
      <w:r>
        <w:rPr>
          <w:rFonts w:hint="eastAsia"/>
          <w:sz w:val="21"/>
          <w:szCs w:val="21"/>
          <w:highlight w:val="none"/>
        </w:rPr>
        <w:t>.1</w:t>
      </w:r>
      <w:r>
        <w:rPr>
          <w:rFonts w:hint="eastAsia"/>
          <w:spacing w:val="-5"/>
          <w:sz w:val="21"/>
          <w:szCs w:val="21"/>
          <w:highlight w:val="none"/>
        </w:rPr>
        <w:t xml:space="preserve"> 评标委员会依据本章第 </w:t>
      </w:r>
      <w:r>
        <w:rPr>
          <w:rFonts w:hint="eastAsia"/>
          <w:sz w:val="21"/>
          <w:szCs w:val="21"/>
          <w:highlight w:val="none"/>
        </w:rPr>
        <w:t>2.2.1</w:t>
      </w:r>
      <w:r>
        <w:rPr>
          <w:rFonts w:hint="eastAsia"/>
          <w:spacing w:val="-22"/>
          <w:sz w:val="21"/>
          <w:szCs w:val="21"/>
          <w:highlight w:val="none"/>
        </w:rPr>
        <w:t xml:space="preserve"> 项、第 </w:t>
      </w:r>
      <w:r>
        <w:rPr>
          <w:rFonts w:hint="eastAsia"/>
          <w:sz w:val="21"/>
          <w:szCs w:val="21"/>
          <w:highlight w:val="none"/>
        </w:rPr>
        <w:t>2.2.2</w:t>
      </w:r>
      <w:r>
        <w:rPr>
          <w:rFonts w:hint="eastAsia"/>
          <w:spacing w:val="-7"/>
          <w:sz w:val="21"/>
          <w:szCs w:val="21"/>
          <w:highlight w:val="none"/>
        </w:rPr>
        <w:t xml:space="preserve"> 项规定的评审标准对投标文件进行初步评审。有一项不符合评审标准的，否决其投标。对各投标文件的“初步评审”将在整个评标过程中穿插进行。</w:t>
      </w:r>
    </w:p>
    <w:p w14:paraId="1BDFF77B">
      <w:pPr>
        <w:pStyle w:val="70"/>
        <w:numPr>
          <w:ilvl w:val="2"/>
          <w:numId w:val="38"/>
        </w:numPr>
        <w:tabs>
          <w:tab w:val="left" w:pos="1999"/>
          <w:tab w:val="left" w:pos="7920"/>
          <w:tab w:val="left" w:pos="8140"/>
        </w:tabs>
        <w:spacing w:line="362" w:lineRule="auto"/>
        <w:ind w:right="167" w:rightChars="0" w:firstLine="480"/>
        <w:jc w:val="both"/>
        <w:rPr>
          <w:rFonts w:hint="eastAsia" w:ascii="宋体" w:hAnsi="宋体" w:eastAsia="宋体" w:cs="宋体"/>
          <w:spacing w:val="-5"/>
          <w:sz w:val="21"/>
          <w:szCs w:val="21"/>
          <w:highlight w:val="none"/>
          <w:lang w:val="zh-CN" w:eastAsia="zh-CN" w:bidi="zh-CN"/>
        </w:rPr>
      </w:pPr>
      <w:r>
        <w:rPr>
          <w:rFonts w:hint="eastAsia" w:ascii="宋体" w:hAnsi="宋体" w:eastAsia="宋体" w:cs="宋体"/>
          <w:spacing w:val="-5"/>
          <w:sz w:val="21"/>
          <w:szCs w:val="21"/>
          <w:highlight w:val="none"/>
          <w:lang w:val="zh-CN" w:eastAsia="zh-CN" w:bidi="zh-CN"/>
        </w:rPr>
        <w:t>投标报价有算术错误的，评标委员会按以下原则对投标报价进行修正，修正的价格经投标人书面确认后具有约束力。投标人不接受修正价格的，否决其投标。</w:t>
      </w:r>
    </w:p>
    <w:p w14:paraId="4B75859B">
      <w:pPr>
        <w:pStyle w:val="70"/>
        <w:numPr>
          <w:ilvl w:val="2"/>
          <w:numId w:val="37"/>
        </w:numPr>
        <w:tabs>
          <w:tab w:val="left" w:pos="1834"/>
        </w:tabs>
        <w:spacing w:before="4"/>
        <w:ind w:hanging="602"/>
        <w:jc w:val="both"/>
        <w:rPr>
          <w:sz w:val="21"/>
          <w:szCs w:val="21"/>
          <w:highlight w:val="none"/>
        </w:rPr>
      </w:pPr>
      <w:r>
        <w:rPr>
          <w:rFonts w:hint="eastAsia"/>
          <w:sz w:val="21"/>
          <w:szCs w:val="21"/>
          <w:highlight w:val="none"/>
        </w:rPr>
        <w:t>投标文件中的大写金额与小写金额不一致的，以大写金额为准；</w:t>
      </w:r>
    </w:p>
    <w:p w14:paraId="6ACF73D8">
      <w:pPr>
        <w:pStyle w:val="70"/>
        <w:numPr>
          <w:ilvl w:val="2"/>
          <w:numId w:val="37"/>
        </w:numPr>
        <w:tabs>
          <w:tab w:val="left" w:pos="1826"/>
          <w:tab w:val="left" w:pos="8140"/>
        </w:tabs>
        <w:spacing w:before="158" w:line="364" w:lineRule="auto"/>
        <w:ind w:left="858" w:right="167" w:rightChars="0" w:firstLine="360"/>
        <w:jc w:val="both"/>
        <w:rPr>
          <w:sz w:val="21"/>
          <w:szCs w:val="21"/>
          <w:highlight w:val="none"/>
        </w:rPr>
      </w:pPr>
      <w:r>
        <w:rPr>
          <w:rFonts w:hint="eastAsia"/>
          <w:sz w:val="21"/>
          <w:szCs w:val="21"/>
          <w:highlight w:val="none"/>
        </w:rPr>
        <w:t>总价金额与依据单价计算出的结果不一致的，以单价金额为准修正合价、汇总价及总报价，但单价金额小数点有明显错误的除外。</w:t>
      </w:r>
    </w:p>
    <w:p w14:paraId="174A71BD">
      <w:pPr>
        <w:pStyle w:val="70"/>
        <w:numPr>
          <w:ilvl w:val="2"/>
          <w:numId w:val="38"/>
        </w:numPr>
        <w:tabs>
          <w:tab w:val="left" w:pos="1953"/>
        </w:tabs>
        <w:spacing w:before="41" w:line="360" w:lineRule="auto"/>
        <w:ind w:left="1952" w:hanging="721"/>
        <w:jc w:val="both"/>
        <w:rPr>
          <w:sz w:val="21"/>
          <w:szCs w:val="21"/>
          <w:highlight w:val="none"/>
        </w:rPr>
      </w:pPr>
      <w:r>
        <w:rPr>
          <w:rFonts w:hint="eastAsia"/>
          <w:sz w:val="21"/>
          <w:szCs w:val="21"/>
          <w:highlight w:val="none"/>
        </w:rPr>
        <w:t>投标人有本章附件所列情形之一的，否决其投标。</w:t>
      </w:r>
    </w:p>
    <w:p w14:paraId="7307183C">
      <w:pPr>
        <w:pStyle w:val="8"/>
        <w:numPr>
          <w:ilvl w:val="1"/>
          <w:numId w:val="37"/>
        </w:numPr>
        <w:tabs>
          <w:tab w:val="left" w:pos="1176"/>
        </w:tabs>
        <w:spacing w:before="158" w:line="360" w:lineRule="auto"/>
        <w:ind w:left="1175" w:hanging="424"/>
        <w:jc w:val="both"/>
        <w:rPr>
          <w:sz w:val="21"/>
          <w:szCs w:val="21"/>
          <w:highlight w:val="none"/>
        </w:rPr>
      </w:pPr>
      <w:bookmarkStart w:id="212" w:name="3.3详细评审"/>
      <w:bookmarkEnd w:id="212"/>
      <w:r>
        <w:rPr>
          <w:rFonts w:hint="eastAsia"/>
          <w:sz w:val="21"/>
          <w:szCs w:val="21"/>
          <w:highlight w:val="none"/>
        </w:rPr>
        <w:t>详细评审</w:t>
      </w:r>
    </w:p>
    <w:p w14:paraId="5C386FB6">
      <w:pPr>
        <w:pStyle w:val="16"/>
        <w:tabs>
          <w:tab w:val="left" w:pos="9460"/>
        </w:tabs>
        <w:spacing w:before="161" w:line="360" w:lineRule="auto"/>
        <w:ind w:left="752" w:right="-53" w:rightChars="0" w:firstLine="480"/>
        <w:jc w:val="both"/>
        <w:rPr>
          <w:sz w:val="21"/>
          <w:szCs w:val="21"/>
          <w:highlight w:val="none"/>
        </w:rPr>
      </w:pPr>
      <w:r>
        <w:rPr>
          <w:rFonts w:hint="eastAsia"/>
          <w:sz w:val="21"/>
          <w:szCs w:val="21"/>
          <w:highlight w:val="none"/>
        </w:rPr>
        <w:t>3.3.1</w:t>
      </w:r>
      <w:r>
        <w:rPr>
          <w:rFonts w:hint="eastAsia"/>
          <w:spacing w:val="-6"/>
          <w:sz w:val="21"/>
          <w:szCs w:val="21"/>
          <w:highlight w:val="none"/>
        </w:rPr>
        <w:t xml:space="preserve"> 评标委员会按本章</w:t>
      </w:r>
      <w:r>
        <w:rPr>
          <w:rFonts w:hint="eastAsia"/>
          <w:spacing w:val="-6"/>
          <w:sz w:val="21"/>
          <w:szCs w:val="21"/>
          <w:highlight w:val="none"/>
          <w:lang w:val="en-US"/>
        </w:rPr>
        <w:t>商务部分和技术部分</w:t>
      </w:r>
      <w:r>
        <w:rPr>
          <w:rFonts w:hint="eastAsia"/>
          <w:spacing w:val="-6"/>
          <w:sz w:val="21"/>
          <w:szCs w:val="21"/>
          <w:highlight w:val="none"/>
        </w:rPr>
        <w:t>分值一览表</w:t>
      </w:r>
      <w:r>
        <w:rPr>
          <w:rFonts w:hint="eastAsia"/>
          <w:spacing w:val="-8"/>
          <w:sz w:val="21"/>
          <w:szCs w:val="21"/>
          <w:highlight w:val="none"/>
        </w:rPr>
        <w:t>规定的量化因素和分值进行打分，并计算出综</w:t>
      </w:r>
      <w:r>
        <w:rPr>
          <w:rFonts w:hint="eastAsia"/>
          <w:sz w:val="21"/>
          <w:szCs w:val="21"/>
          <w:highlight w:val="none"/>
        </w:rPr>
        <w:t>合评估得分。</w:t>
      </w:r>
    </w:p>
    <w:p w14:paraId="0DFF4340">
      <w:pPr>
        <w:pStyle w:val="16"/>
        <w:tabs>
          <w:tab w:val="left" w:pos="8360"/>
        </w:tabs>
        <w:spacing w:line="360" w:lineRule="auto"/>
        <w:ind w:left="1232" w:right="-53" w:rightChars="0"/>
        <w:jc w:val="both"/>
        <w:rPr>
          <w:spacing w:val="-9"/>
          <w:sz w:val="21"/>
          <w:szCs w:val="21"/>
          <w:highlight w:val="none"/>
        </w:rPr>
      </w:pPr>
      <w:r>
        <w:rPr>
          <w:rFonts w:hint="eastAsia"/>
          <w:sz w:val="21"/>
          <w:szCs w:val="21"/>
          <w:highlight w:val="none"/>
        </w:rPr>
        <w:t>(1）</w:t>
      </w:r>
      <w:r>
        <w:rPr>
          <w:rFonts w:hint="eastAsia"/>
          <w:spacing w:val="-12"/>
          <w:sz w:val="21"/>
          <w:szCs w:val="21"/>
          <w:highlight w:val="none"/>
        </w:rPr>
        <w:t>按本章第</w:t>
      </w:r>
      <w:r>
        <w:rPr>
          <w:rFonts w:hint="eastAsia"/>
          <w:spacing w:val="-12"/>
          <w:sz w:val="21"/>
          <w:szCs w:val="21"/>
          <w:highlight w:val="none"/>
          <w:lang w:val="en-US"/>
        </w:rPr>
        <w:t>技术部分</w:t>
      </w:r>
      <w:r>
        <w:rPr>
          <w:rFonts w:hint="eastAsia"/>
          <w:spacing w:val="-3"/>
          <w:sz w:val="21"/>
          <w:szCs w:val="21"/>
          <w:highlight w:val="none"/>
        </w:rPr>
        <w:t xml:space="preserve">规定的评审因素和分值对技术部分计算出得分 </w:t>
      </w:r>
      <w:r>
        <w:rPr>
          <w:rFonts w:hint="eastAsia"/>
          <w:spacing w:val="-9"/>
          <w:sz w:val="21"/>
          <w:szCs w:val="21"/>
          <w:highlight w:val="none"/>
        </w:rPr>
        <w:t>A；</w:t>
      </w:r>
    </w:p>
    <w:p w14:paraId="7881E6B8">
      <w:pPr>
        <w:pStyle w:val="16"/>
        <w:spacing w:line="360" w:lineRule="auto"/>
        <w:ind w:left="1232" w:right="-53" w:rightChars="0"/>
        <w:jc w:val="both"/>
        <w:rPr>
          <w:sz w:val="21"/>
          <w:szCs w:val="21"/>
          <w:highlight w:val="none"/>
        </w:rPr>
      </w:pPr>
      <w:r>
        <w:rPr>
          <w:rFonts w:hint="eastAsia"/>
          <w:sz w:val="21"/>
          <w:szCs w:val="21"/>
          <w:highlight w:val="none"/>
        </w:rPr>
        <w:t>(2）</w:t>
      </w:r>
      <w:r>
        <w:rPr>
          <w:rFonts w:hint="eastAsia"/>
          <w:spacing w:val="-12"/>
          <w:sz w:val="21"/>
          <w:szCs w:val="21"/>
          <w:highlight w:val="none"/>
        </w:rPr>
        <w:t>按本章第</w:t>
      </w:r>
      <w:r>
        <w:rPr>
          <w:rFonts w:hint="eastAsia"/>
          <w:spacing w:val="-12"/>
          <w:sz w:val="21"/>
          <w:szCs w:val="21"/>
          <w:highlight w:val="none"/>
          <w:lang w:val="en-US"/>
        </w:rPr>
        <w:t>商务部分</w:t>
      </w:r>
      <w:r>
        <w:rPr>
          <w:rFonts w:hint="eastAsia"/>
          <w:sz w:val="21"/>
          <w:szCs w:val="21"/>
          <w:highlight w:val="none"/>
        </w:rPr>
        <w:t>规定的评</w:t>
      </w:r>
      <w:r>
        <w:rPr>
          <w:rFonts w:hint="eastAsia"/>
          <w:spacing w:val="-4"/>
          <w:sz w:val="21"/>
          <w:szCs w:val="21"/>
          <w:highlight w:val="none"/>
        </w:rPr>
        <w:t xml:space="preserve">审因素和分值对商务部分计算出得分 </w:t>
      </w:r>
      <w:r>
        <w:rPr>
          <w:rFonts w:hint="eastAsia"/>
          <w:sz w:val="21"/>
          <w:szCs w:val="21"/>
          <w:highlight w:val="none"/>
        </w:rPr>
        <w:t>B；</w:t>
      </w:r>
    </w:p>
    <w:p w14:paraId="7A1A8CCB">
      <w:pPr>
        <w:pStyle w:val="16"/>
        <w:tabs>
          <w:tab w:val="left" w:pos="9460"/>
        </w:tabs>
        <w:spacing w:before="161" w:line="360" w:lineRule="auto"/>
        <w:ind w:left="752" w:right="-53" w:rightChars="0" w:firstLine="480"/>
        <w:jc w:val="both"/>
        <w:rPr>
          <w:rFonts w:hint="eastAsia"/>
          <w:spacing w:val="-6"/>
          <w:sz w:val="21"/>
          <w:szCs w:val="21"/>
          <w:highlight w:val="none"/>
        </w:rPr>
      </w:pPr>
      <w:r>
        <w:rPr>
          <w:rFonts w:hint="eastAsia"/>
          <w:spacing w:val="-6"/>
          <w:sz w:val="21"/>
          <w:szCs w:val="21"/>
          <w:highlight w:val="none"/>
        </w:rPr>
        <w:t>评分分值计算保留小数点后两位，小数点后第三位“四舍五入”。</w:t>
      </w:r>
    </w:p>
    <w:p w14:paraId="225221F6">
      <w:pPr>
        <w:pStyle w:val="16"/>
        <w:tabs>
          <w:tab w:val="left" w:pos="9460"/>
        </w:tabs>
        <w:spacing w:before="161" w:line="360" w:lineRule="auto"/>
        <w:ind w:left="752" w:right="-53" w:rightChars="0" w:firstLine="480"/>
        <w:jc w:val="both"/>
        <w:rPr>
          <w:rFonts w:hint="eastAsia"/>
          <w:spacing w:val="-6"/>
          <w:sz w:val="21"/>
          <w:szCs w:val="21"/>
          <w:highlight w:val="none"/>
        </w:rPr>
      </w:pPr>
      <w:r>
        <w:rPr>
          <w:rFonts w:hint="eastAsia"/>
          <w:spacing w:val="-6"/>
          <w:sz w:val="21"/>
          <w:szCs w:val="21"/>
          <w:highlight w:val="none"/>
        </w:rPr>
        <w:t>投标人得分=技术部分得分+商务部分得分=A 十 B。</w:t>
      </w:r>
    </w:p>
    <w:p w14:paraId="0649FD36">
      <w:pPr>
        <w:pStyle w:val="16"/>
        <w:tabs>
          <w:tab w:val="left" w:pos="9460"/>
        </w:tabs>
        <w:spacing w:before="161" w:line="360" w:lineRule="auto"/>
        <w:ind w:left="752" w:right="-53" w:rightChars="0" w:firstLine="480"/>
        <w:jc w:val="both"/>
        <w:rPr>
          <w:rFonts w:hint="eastAsia"/>
          <w:spacing w:val="-6"/>
          <w:sz w:val="21"/>
          <w:szCs w:val="21"/>
          <w:highlight w:val="none"/>
        </w:rPr>
      </w:pPr>
      <w:r>
        <w:rPr>
          <w:rFonts w:hint="eastAsia"/>
          <w:spacing w:val="-6"/>
          <w:sz w:val="21"/>
          <w:szCs w:val="21"/>
          <w:highlight w:val="none"/>
        </w:rPr>
        <w:t>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作否决投标处理。</w:t>
      </w:r>
    </w:p>
    <w:p w14:paraId="5B44BB02">
      <w:pPr>
        <w:pStyle w:val="8"/>
        <w:numPr>
          <w:ilvl w:val="1"/>
          <w:numId w:val="37"/>
        </w:numPr>
        <w:tabs>
          <w:tab w:val="left" w:pos="1238"/>
        </w:tabs>
        <w:spacing w:line="360" w:lineRule="auto"/>
        <w:ind w:hanging="486"/>
        <w:jc w:val="both"/>
        <w:rPr>
          <w:sz w:val="21"/>
          <w:szCs w:val="21"/>
          <w:highlight w:val="none"/>
        </w:rPr>
      </w:pPr>
      <w:bookmarkStart w:id="213" w:name="3.4_投标文件的澄清和补正"/>
      <w:bookmarkEnd w:id="213"/>
      <w:r>
        <w:rPr>
          <w:rFonts w:hint="eastAsia"/>
          <w:sz w:val="21"/>
          <w:szCs w:val="21"/>
          <w:highlight w:val="none"/>
        </w:rPr>
        <w:t>投标文件的澄清和补正</w:t>
      </w:r>
    </w:p>
    <w:p w14:paraId="5E270DA4">
      <w:pPr>
        <w:pStyle w:val="70"/>
        <w:tabs>
          <w:tab w:val="left" w:pos="1953"/>
          <w:tab w:val="left" w:pos="6820"/>
          <w:tab w:val="left" w:pos="8360"/>
        </w:tabs>
        <w:spacing w:before="161" w:line="360" w:lineRule="auto"/>
        <w:ind w:left="1254" w:leftChars="570" w:right="-53" w:rightChars="0" w:firstLine="0"/>
        <w:jc w:val="both"/>
        <w:rPr>
          <w:rFonts w:hint="eastAsia" w:ascii="宋体" w:hAnsi="宋体" w:eastAsia="宋体" w:cs="宋体"/>
          <w:spacing w:val="-6"/>
          <w:sz w:val="21"/>
          <w:szCs w:val="21"/>
          <w:highlight w:val="none"/>
          <w:lang w:val="zh-CN" w:eastAsia="zh-CN" w:bidi="zh-CN"/>
        </w:rPr>
      </w:pPr>
      <w:r>
        <w:rPr>
          <w:rFonts w:hint="eastAsia" w:ascii="宋体" w:hAnsi="宋体" w:eastAsia="宋体" w:cs="宋体"/>
          <w:spacing w:val="-6"/>
          <w:sz w:val="21"/>
          <w:szCs w:val="21"/>
          <w:highlight w:val="none"/>
          <w:lang w:val="en-US" w:eastAsia="zh-CN" w:bidi="zh-CN"/>
        </w:rPr>
        <w:t>3.4.1</w:t>
      </w:r>
      <w:r>
        <w:rPr>
          <w:rFonts w:hint="eastAsia" w:ascii="宋体" w:hAnsi="宋体" w:eastAsia="宋体" w:cs="宋体"/>
          <w:spacing w:val="-6"/>
          <w:sz w:val="21"/>
          <w:szCs w:val="21"/>
          <w:highlight w:val="none"/>
          <w:lang w:val="zh-CN" w:eastAsia="zh-CN" w:bidi="zh-CN"/>
        </w:rPr>
        <w:t>在评标过程中，评标委员会可以书面形式要求投标人对所提交投标文件中不明确的内容进行书面澄清或说明，或者对细微偏差进行补正。评标委员会不接受投标人主动提出的澄清、说明或补正。</w:t>
      </w:r>
    </w:p>
    <w:p w14:paraId="7EBA7E28">
      <w:pPr>
        <w:pStyle w:val="70"/>
        <w:tabs>
          <w:tab w:val="left" w:pos="1953"/>
        </w:tabs>
        <w:spacing w:line="360" w:lineRule="auto"/>
        <w:ind w:left="1232" w:right="-53" w:rightChars="0" w:firstLine="0"/>
        <w:jc w:val="both"/>
        <w:rPr>
          <w:rFonts w:hint="eastAsia" w:ascii="宋体" w:hAnsi="宋体" w:eastAsia="宋体" w:cs="宋体"/>
          <w:spacing w:val="-6"/>
          <w:sz w:val="21"/>
          <w:szCs w:val="21"/>
          <w:highlight w:val="none"/>
          <w:lang w:val="zh-CN" w:eastAsia="zh-CN" w:bidi="zh-CN"/>
        </w:rPr>
      </w:pPr>
      <w:r>
        <w:rPr>
          <w:rFonts w:hint="eastAsia" w:ascii="宋体" w:hAnsi="宋体" w:eastAsia="宋体" w:cs="宋体"/>
          <w:spacing w:val="-6"/>
          <w:sz w:val="21"/>
          <w:szCs w:val="21"/>
          <w:highlight w:val="none"/>
          <w:lang w:val="en-US" w:eastAsia="zh-CN" w:bidi="zh-CN"/>
        </w:rPr>
        <w:t>3.4.2</w:t>
      </w:r>
      <w:r>
        <w:rPr>
          <w:rFonts w:hint="eastAsia" w:ascii="宋体" w:hAnsi="宋体" w:eastAsia="宋体" w:cs="宋体"/>
          <w:spacing w:val="-6"/>
          <w:sz w:val="21"/>
          <w:szCs w:val="21"/>
          <w:highlight w:val="none"/>
          <w:lang w:val="zh-CN" w:eastAsia="zh-CN" w:bidi="zh-CN"/>
        </w:rPr>
        <w:t>澄清、说明和补正不得改变投标文件的实质性内容（算术性错误修正的除外）。投标人的书面澄清、说明和补正属于投标文件的组成部分。</w:t>
      </w:r>
    </w:p>
    <w:p w14:paraId="6F9DFCA4">
      <w:pPr>
        <w:pStyle w:val="70"/>
        <w:tabs>
          <w:tab w:val="left" w:pos="1953"/>
        </w:tabs>
        <w:spacing w:before="2" w:line="360" w:lineRule="auto"/>
        <w:ind w:left="1232" w:right="-53" w:rightChars="0" w:firstLine="0"/>
        <w:jc w:val="both"/>
        <w:rPr>
          <w:rFonts w:hint="eastAsia" w:ascii="宋体" w:hAnsi="宋体" w:eastAsia="宋体" w:cs="宋体"/>
          <w:spacing w:val="-6"/>
          <w:sz w:val="21"/>
          <w:szCs w:val="21"/>
          <w:highlight w:val="none"/>
          <w:lang w:val="zh-CN" w:eastAsia="zh-CN" w:bidi="zh-CN"/>
        </w:rPr>
      </w:pPr>
      <w:r>
        <w:rPr>
          <w:rFonts w:hint="eastAsia" w:ascii="宋体" w:hAnsi="宋体" w:eastAsia="宋体" w:cs="宋体"/>
          <w:spacing w:val="-6"/>
          <w:sz w:val="21"/>
          <w:szCs w:val="21"/>
          <w:highlight w:val="none"/>
          <w:lang w:val="en-US" w:eastAsia="zh-CN" w:bidi="zh-CN"/>
        </w:rPr>
        <w:t>3.4.3</w:t>
      </w:r>
      <w:r>
        <w:rPr>
          <w:rFonts w:hint="eastAsia" w:ascii="宋体" w:hAnsi="宋体" w:eastAsia="宋体" w:cs="宋体"/>
          <w:spacing w:val="-6"/>
          <w:sz w:val="21"/>
          <w:szCs w:val="21"/>
          <w:highlight w:val="none"/>
          <w:lang w:val="zh-CN" w:eastAsia="zh-CN" w:bidi="zh-CN"/>
        </w:rPr>
        <w:t>评标委员会对投标人提交的澄清、说明或补正有疑问的，可以要求投标人进一步澄清、说明或补正，直至满足评标委员会的要求。</w:t>
      </w:r>
    </w:p>
    <w:p w14:paraId="0408FAE6">
      <w:pPr>
        <w:pStyle w:val="8"/>
        <w:numPr>
          <w:ilvl w:val="1"/>
          <w:numId w:val="37"/>
        </w:numPr>
        <w:tabs>
          <w:tab w:val="left" w:pos="1238"/>
        </w:tabs>
        <w:spacing w:before="1" w:line="360" w:lineRule="auto"/>
        <w:ind w:hanging="486"/>
        <w:jc w:val="both"/>
        <w:rPr>
          <w:sz w:val="21"/>
          <w:szCs w:val="21"/>
          <w:highlight w:val="none"/>
        </w:rPr>
      </w:pPr>
      <w:bookmarkStart w:id="214" w:name="3.5_评标结果"/>
      <w:bookmarkEnd w:id="214"/>
      <w:r>
        <w:rPr>
          <w:rFonts w:hint="eastAsia"/>
          <w:sz w:val="21"/>
          <w:szCs w:val="21"/>
          <w:highlight w:val="none"/>
        </w:rPr>
        <w:t>评标结果</w:t>
      </w:r>
    </w:p>
    <w:p w14:paraId="0B72747A">
      <w:pPr>
        <w:pStyle w:val="70"/>
        <w:numPr>
          <w:ilvl w:val="2"/>
          <w:numId w:val="39"/>
        </w:numPr>
        <w:tabs>
          <w:tab w:val="left" w:pos="1953"/>
          <w:tab w:val="left" w:pos="7040"/>
        </w:tabs>
        <w:spacing w:before="158" w:line="360" w:lineRule="auto"/>
        <w:ind w:right="-53" w:rightChars="0" w:firstLine="480"/>
        <w:jc w:val="both"/>
        <w:rPr>
          <w:sz w:val="21"/>
          <w:szCs w:val="21"/>
          <w:highlight w:val="none"/>
        </w:rPr>
      </w:pPr>
      <w:r>
        <w:rPr>
          <w:rFonts w:hint="eastAsia"/>
          <w:spacing w:val="-8"/>
          <w:sz w:val="21"/>
          <w:szCs w:val="21"/>
          <w:highlight w:val="none"/>
        </w:rPr>
        <w:t>根据第二章“投标人须知”前附表，</w:t>
      </w:r>
      <w:r>
        <w:rPr>
          <w:rFonts w:hint="eastAsia"/>
          <w:spacing w:val="-8"/>
          <w:sz w:val="21"/>
          <w:szCs w:val="21"/>
          <w:highlight w:val="none"/>
          <w:lang w:eastAsia="zh-CN"/>
        </w:rPr>
        <w:t>招标人</w:t>
      </w:r>
      <w:r>
        <w:rPr>
          <w:rFonts w:hint="eastAsia"/>
          <w:spacing w:val="-8"/>
          <w:sz w:val="21"/>
          <w:szCs w:val="21"/>
          <w:highlight w:val="none"/>
        </w:rPr>
        <w:t>授权评标委员会直接确定中标</w:t>
      </w:r>
      <w:r>
        <w:rPr>
          <w:rFonts w:hint="eastAsia"/>
          <w:sz w:val="21"/>
          <w:szCs w:val="21"/>
          <w:highlight w:val="none"/>
        </w:rPr>
        <w:t>人。</w:t>
      </w:r>
    </w:p>
    <w:p w14:paraId="02300624">
      <w:pPr>
        <w:pStyle w:val="70"/>
        <w:numPr>
          <w:ilvl w:val="2"/>
          <w:numId w:val="39"/>
        </w:numPr>
        <w:tabs>
          <w:tab w:val="left" w:pos="1953"/>
        </w:tabs>
        <w:spacing w:line="360" w:lineRule="auto"/>
        <w:ind w:left="1952" w:hanging="721"/>
        <w:jc w:val="both"/>
        <w:rPr>
          <w:sz w:val="21"/>
          <w:szCs w:val="21"/>
          <w:highlight w:val="none"/>
        </w:rPr>
      </w:pPr>
      <w:r>
        <w:rPr>
          <w:rFonts w:hint="eastAsia"/>
          <w:sz w:val="21"/>
          <w:szCs w:val="21"/>
          <w:highlight w:val="none"/>
        </w:rPr>
        <w:t>评标委员会完成评标后，应当向</w:t>
      </w:r>
      <w:r>
        <w:rPr>
          <w:rFonts w:hint="eastAsia"/>
          <w:sz w:val="21"/>
          <w:szCs w:val="21"/>
          <w:highlight w:val="none"/>
          <w:lang w:eastAsia="zh-CN"/>
        </w:rPr>
        <w:t>招标人</w:t>
      </w:r>
      <w:r>
        <w:rPr>
          <w:rFonts w:hint="eastAsia"/>
          <w:sz w:val="21"/>
          <w:szCs w:val="21"/>
          <w:highlight w:val="none"/>
        </w:rPr>
        <w:t>提交书面评标报告。</w:t>
      </w:r>
    </w:p>
    <w:p w14:paraId="55983603">
      <w:pPr>
        <w:pStyle w:val="8"/>
        <w:numPr>
          <w:ilvl w:val="1"/>
          <w:numId w:val="37"/>
        </w:numPr>
        <w:tabs>
          <w:tab w:val="left" w:pos="1176"/>
        </w:tabs>
        <w:spacing w:before="160" w:line="360" w:lineRule="auto"/>
        <w:ind w:left="1175" w:hanging="424"/>
        <w:jc w:val="both"/>
        <w:rPr>
          <w:sz w:val="21"/>
          <w:szCs w:val="21"/>
          <w:highlight w:val="none"/>
        </w:rPr>
      </w:pPr>
      <w:bookmarkStart w:id="215" w:name="3.6其他"/>
      <w:bookmarkEnd w:id="215"/>
      <w:r>
        <w:rPr>
          <w:rFonts w:hint="eastAsia"/>
          <w:sz w:val="21"/>
          <w:szCs w:val="21"/>
          <w:highlight w:val="none"/>
        </w:rPr>
        <w:t>其他</w:t>
      </w:r>
    </w:p>
    <w:p w14:paraId="6BF8DD46">
      <w:pPr>
        <w:ind w:firstLine="1054" w:firstLineChars="500"/>
        <w:rPr>
          <w:b/>
          <w:sz w:val="21"/>
          <w:szCs w:val="21"/>
          <w:highlight w:val="none"/>
        </w:rPr>
      </w:pPr>
      <w:r>
        <w:rPr>
          <w:rFonts w:hint="eastAsia"/>
          <w:b/>
          <w:sz w:val="21"/>
          <w:szCs w:val="21"/>
          <w:highlight w:val="none"/>
        </w:rPr>
        <w:t>（一）特殊情况的处理及评标规则</w:t>
      </w:r>
    </w:p>
    <w:p w14:paraId="255CE0E8">
      <w:pPr>
        <w:pStyle w:val="16"/>
        <w:spacing w:before="161" w:line="360" w:lineRule="auto"/>
        <w:ind w:left="752" w:right="-53" w:rightChars="0" w:firstLine="480"/>
        <w:jc w:val="both"/>
        <w:rPr>
          <w:sz w:val="21"/>
          <w:szCs w:val="21"/>
          <w:highlight w:val="none"/>
        </w:rPr>
      </w:pPr>
      <w:r>
        <w:rPr>
          <w:rFonts w:hint="eastAsia"/>
          <w:sz w:val="21"/>
          <w:szCs w:val="21"/>
          <w:highlight w:val="none"/>
        </w:rPr>
        <w:t>①若出现综合得分并列第一时，比较投标总报价得分，此分项得分高者中标，若投标总报得分相同，依次比较技术部分得分，得分高者中标。</w:t>
      </w:r>
    </w:p>
    <w:p w14:paraId="7B5ACE3A">
      <w:pPr>
        <w:pStyle w:val="16"/>
        <w:spacing w:before="5" w:line="360" w:lineRule="auto"/>
        <w:ind w:left="1170" w:leftChars="532" w:right="-53" w:rightChars="0" w:firstLine="35" w:firstLineChars="17"/>
        <w:jc w:val="both"/>
        <w:rPr>
          <w:rFonts w:hint="eastAsia"/>
          <w:sz w:val="21"/>
          <w:szCs w:val="21"/>
          <w:highlight w:val="none"/>
        </w:rPr>
      </w:pPr>
      <w:r>
        <w:rPr>
          <w:rFonts w:hint="eastAsia"/>
          <w:sz w:val="21"/>
          <w:szCs w:val="21"/>
          <w:highlight w:val="none"/>
        </w:rPr>
        <w:t>②每个评委必须按照本办法据实记分，凡记分不符合本办法规定要求者，均按无效记分对待。</w:t>
      </w:r>
    </w:p>
    <w:p w14:paraId="706842A5">
      <w:pPr>
        <w:pStyle w:val="16"/>
        <w:spacing w:before="5" w:line="360" w:lineRule="auto"/>
        <w:ind w:left="1170" w:leftChars="532" w:right="-53" w:rightChars="0" w:firstLine="35" w:firstLineChars="17"/>
        <w:jc w:val="both"/>
        <w:rPr>
          <w:sz w:val="21"/>
          <w:szCs w:val="21"/>
          <w:highlight w:val="none"/>
        </w:rPr>
      </w:pPr>
      <w:r>
        <w:rPr>
          <w:rFonts w:hint="eastAsia"/>
          <w:sz w:val="21"/>
          <w:szCs w:val="21"/>
          <w:highlight w:val="none"/>
        </w:rPr>
        <w:t>③评定标过程中，若出现本办法以外的特殊情况时，将暂停评标，有关情况待评标委员会确定后，再行评定。</w:t>
      </w:r>
    </w:p>
    <w:p w14:paraId="757130EE">
      <w:pPr>
        <w:pStyle w:val="16"/>
        <w:spacing w:before="5" w:line="360" w:lineRule="auto"/>
        <w:ind w:left="1232"/>
        <w:jc w:val="both"/>
        <w:rPr>
          <w:sz w:val="21"/>
          <w:szCs w:val="21"/>
          <w:highlight w:val="none"/>
        </w:rPr>
      </w:pPr>
      <w:r>
        <w:rPr>
          <w:rFonts w:hint="eastAsia"/>
          <w:sz w:val="21"/>
          <w:szCs w:val="21"/>
          <w:highlight w:val="none"/>
        </w:rPr>
        <w:t>④未尽事宜按有关规定执行，没有规定的，由评审委员会研究确定。</w:t>
      </w:r>
    </w:p>
    <w:p w14:paraId="1E49EB1E">
      <w:pPr>
        <w:pStyle w:val="16"/>
        <w:spacing w:before="161" w:line="360" w:lineRule="auto"/>
        <w:ind w:left="1232"/>
        <w:jc w:val="both"/>
        <w:rPr>
          <w:sz w:val="21"/>
          <w:szCs w:val="21"/>
          <w:highlight w:val="none"/>
        </w:rPr>
      </w:pPr>
      <w:r>
        <w:rPr>
          <w:rFonts w:hint="eastAsia"/>
          <w:sz w:val="21"/>
          <w:szCs w:val="21"/>
          <w:highlight w:val="none"/>
        </w:rPr>
        <w:t>⑤本评标办法由</w:t>
      </w:r>
      <w:r>
        <w:rPr>
          <w:rFonts w:hint="eastAsia"/>
          <w:sz w:val="21"/>
          <w:szCs w:val="21"/>
          <w:highlight w:val="none"/>
          <w:lang w:eastAsia="zh-CN"/>
        </w:rPr>
        <w:t>招标人</w:t>
      </w:r>
      <w:r>
        <w:rPr>
          <w:rFonts w:hint="eastAsia"/>
          <w:sz w:val="21"/>
          <w:szCs w:val="21"/>
          <w:highlight w:val="none"/>
        </w:rPr>
        <w:t>、</w:t>
      </w:r>
      <w:r>
        <w:rPr>
          <w:rFonts w:hint="eastAsia"/>
          <w:sz w:val="21"/>
          <w:szCs w:val="21"/>
          <w:highlight w:val="none"/>
          <w:lang w:eastAsia="zh-CN"/>
        </w:rPr>
        <w:t>招标代理机构</w:t>
      </w:r>
      <w:r>
        <w:rPr>
          <w:rFonts w:hint="eastAsia"/>
          <w:sz w:val="21"/>
          <w:szCs w:val="21"/>
          <w:highlight w:val="none"/>
        </w:rPr>
        <w:t>负责解释。</w:t>
      </w:r>
    </w:p>
    <w:p w14:paraId="536AFD53">
      <w:pPr>
        <w:ind w:firstLine="1054" w:firstLineChars="500"/>
        <w:rPr>
          <w:b/>
          <w:sz w:val="21"/>
          <w:szCs w:val="21"/>
          <w:highlight w:val="none"/>
        </w:rPr>
      </w:pPr>
      <w:r>
        <w:rPr>
          <w:rFonts w:hint="eastAsia"/>
          <w:b/>
          <w:sz w:val="21"/>
          <w:szCs w:val="21"/>
          <w:highlight w:val="none"/>
        </w:rPr>
        <w:t>（二）否决投标的情形</w:t>
      </w:r>
    </w:p>
    <w:p w14:paraId="539B705E">
      <w:pPr>
        <w:pStyle w:val="16"/>
        <w:spacing w:before="160" w:line="360" w:lineRule="auto"/>
        <w:ind w:left="1232" w:right="-53" w:rightChars="0"/>
        <w:jc w:val="both"/>
        <w:rPr>
          <w:sz w:val="21"/>
          <w:szCs w:val="21"/>
          <w:highlight w:val="none"/>
        </w:rPr>
      </w:pPr>
      <w:r>
        <w:rPr>
          <w:rFonts w:hint="eastAsia"/>
          <w:sz w:val="21"/>
          <w:szCs w:val="21"/>
          <w:highlight w:val="none"/>
        </w:rPr>
        <w:t xml:space="preserve">①投标人或其投标文件有下列情形之一的，否决其投标： </w:t>
      </w:r>
    </w:p>
    <w:p w14:paraId="6BB0830D">
      <w:pPr>
        <w:pStyle w:val="16"/>
        <w:spacing w:before="160" w:line="360" w:lineRule="auto"/>
        <w:ind w:left="1232" w:right="-53" w:rightChars="0"/>
        <w:jc w:val="both"/>
        <w:rPr>
          <w:sz w:val="21"/>
          <w:szCs w:val="21"/>
          <w:highlight w:val="none"/>
        </w:rPr>
      </w:pPr>
      <w:r>
        <w:rPr>
          <w:rFonts w:hint="eastAsia"/>
          <w:sz w:val="21"/>
          <w:szCs w:val="21"/>
          <w:highlight w:val="none"/>
        </w:rPr>
        <w:t>有串通投标或弄虚作假或有其他违法行为的；</w:t>
      </w:r>
    </w:p>
    <w:p w14:paraId="4C8B8D0C">
      <w:pPr>
        <w:pStyle w:val="16"/>
        <w:spacing w:before="5" w:line="360" w:lineRule="auto"/>
        <w:ind w:left="1232"/>
        <w:jc w:val="both"/>
        <w:rPr>
          <w:sz w:val="21"/>
          <w:szCs w:val="21"/>
          <w:highlight w:val="none"/>
        </w:rPr>
      </w:pPr>
      <w:r>
        <w:rPr>
          <w:rFonts w:hint="eastAsia"/>
          <w:sz w:val="21"/>
          <w:szCs w:val="21"/>
          <w:highlight w:val="none"/>
        </w:rPr>
        <w:t>不按评标委员会要求澄清、说明或补正的；</w:t>
      </w:r>
    </w:p>
    <w:p w14:paraId="2DB22DD5">
      <w:pPr>
        <w:pStyle w:val="16"/>
        <w:spacing w:before="158" w:line="360" w:lineRule="auto"/>
        <w:ind w:left="1232" w:right="-53" w:rightChars="0"/>
        <w:jc w:val="both"/>
        <w:rPr>
          <w:sz w:val="21"/>
          <w:szCs w:val="21"/>
          <w:highlight w:val="none"/>
        </w:rPr>
      </w:pPr>
      <w:r>
        <w:rPr>
          <w:rFonts w:hint="eastAsia"/>
          <w:sz w:val="21"/>
          <w:szCs w:val="21"/>
          <w:highlight w:val="none"/>
        </w:rPr>
        <w:t>投标人名称与营业执照或资质证书或安全生产许可证不一致的投标； 投标函签字、盖章不符合要求的投标；</w:t>
      </w:r>
    </w:p>
    <w:p w14:paraId="4163773D">
      <w:pPr>
        <w:pStyle w:val="16"/>
        <w:spacing w:line="360" w:lineRule="auto"/>
        <w:ind w:left="1232"/>
        <w:jc w:val="both"/>
        <w:rPr>
          <w:sz w:val="21"/>
          <w:szCs w:val="21"/>
          <w:highlight w:val="none"/>
        </w:rPr>
      </w:pPr>
      <w:r>
        <w:rPr>
          <w:rFonts w:hint="eastAsia"/>
          <w:sz w:val="21"/>
          <w:szCs w:val="21"/>
          <w:highlight w:val="none"/>
        </w:rPr>
        <w:t>投标文件完整性不符合招标文件规定的投标；</w:t>
      </w:r>
    </w:p>
    <w:p w14:paraId="73662E51">
      <w:pPr>
        <w:pStyle w:val="16"/>
        <w:spacing w:before="161" w:line="360" w:lineRule="auto"/>
        <w:ind w:left="752" w:right="-53" w:rightChars="0" w:firstLine="480"/>
        <w:jc w:val="both"/>
        <w:rPr>
          <w:sz w:val="21"/>
          <w:szCs w:val="21"/>
          <w:highlight w:val="none"/>
        </w:rPr>
      </w:pPr>
      <w:r>
        <w:rPr>
          <w:rFonts w:hint="eastAsia"/>
          <w:sz w:val="21"/>
          <w:szCs w:val="21"/>
          <w:highlight w:val="none"/>
        </w:rPr>
        <w:t>未按招标文件规定的格式填写，或者关键内容不全或关键字迹模糊、无法辨认的投标；</w:t>
      </w:r>
    </w:p>
    <w:p w14:paraId="427DA6C4">
      <w:pPr>
        <w:pStyle w:val="16"/>
        <w:spacing w:before="5" w:line="360" w:lineRule="auto"/>
        <w:ind w:left="752" w:right="-53" w:rightChars="0" w:firstLine="480"/>
        <w:jc w:val="both"/>
        <w:rPr>
          <w:sz w:val="21"/>
          <w:szCs w:val="21"/>
          <w:highlight w:val="none"/>
        </w:rPr>
      </w:pPr>
      <w:r>
        <w:rPr>
          <w:rFonts w:hint="eastAsia"/>
          <w:sz w:val="21"/>
          <w:szCs w:val="21"/>
          <w:highlight w:val="none"/>
        </w:rPr>
        <w:t>投标人递交两份或多份内容不同的投标文件，或在一份投标文件中对同一招标项目有两个或多个报价的；</w:t>
      </w:r>
    </w:p>
    <w:p w14:paraId="2C974BC6">
      <w:pPr>
        <w:pStyle w:val="16"/>
        <w:tabs>
          <w:tab w:val="left" w:pos="8360"/>
        </w:tabs>
        <w:spacing w:line="360" w:lineRule="auto"/>
        <w:ind w:left="752" w:right="-53" w:rightChars="0" w:firstLine="480"/>
        <w:jc w:val="both"/>
        <w:rPr>
          <w:sz w:val="21"/>
          <w:szCs w:val="21"/>
          <w:highlight w:val="none"/>
        </w:rPr>
      </w:pPr>
      <w:r>
        <w:rPr>
          <w:rFonts w:hint="eastAsia"/>
          <w:sz w:val="21"/>
          <w:szCs w:val="21"/>
          <w:highlight w:val="none"/>
        </w:rPr>
        <w:t>评标委员会认定投标人以低于成本报价竞标的，且投标人不能合理说明或者不能提供相应证明材料的；</w:t>
      </w:r>
    </w:p>
    <w:p w14:paraId="28DF6F9F">
      <w:pPr>
        <w:pStyle w:val="16"/>
        <w:spacing w:line="360" w:lineRule="auto"/>
        <w:ind w:left="1232"/>
        <w:jc w:val="both"/>
        <w:rPr>
          <w:sz w:val="21"/>
          <w:szCs w:val="21"/>
          <w:highlight w:val="none"/>
        </w:rPr>
      </w:pPr>
      <w:r>
        <w:rPr>
          <w:rFonts w:hint="eastAsia"/>
          <w:sz w:val="21"/>
          <w:szCs w:val="21"/>
          <w:highlight w:val="none"/>
        </w:rPr>
        <w:t>提供的电子投标文件不能正常参与评标的投标；</w:t>
      </w:r>
    </w:p>
    <w:p w14:paraId="6A28E7CB">
      <w:pPr>
        <w:pStyle w:val="16"/>
        <w:spacing w:before="157" w:line="360" w:lineRule="auto"/>
        <w:ind w:left="1232" w:right="-53" w:rightChars="0"/>
        <w:jc w:val="both"/>
        <w:rPr>
          <w:sz w:val="21"/>
          <w:szCs w:val="21"/>
          <w:highlight w:val="none"/>
        </w:rPr>
      </w:pPr>
      <w:r>
        <w:rPr>
          <w:rFonts w:hint="eastAsia"/>
          <w:sz w:val="21"/>
          <w:szCs w:val="21"/>
          <w:highlight w:val="none"/>
        </w:rPr>
        <w:t xml:space="preserve">投标人私自改动招标文件提供的工程量清单中的工程数量的投标； </w:t>
      </w:r>
    </w:p>
    <w:p w14:paraId="5A272B24">
      <w:pPr>
        <w:pStyle w:val="16"/>
        <w:spacing w:before="157" w:line="360" w:lineRule="auto"/>
        <w:ind w:left="1232" w:right="-53" w:rightChars="0"/>
        <w:jc w:val="both"/>
        <w:rPr>
          <w:sz w:val="21"/>
          <w:szCs w:val="21"/>
          <w:highlight w:val="none"/>
        </w:rPr>
      </w:pPr>
      <w:r>
        <w:rPr>
          <w:rFonts w:hint="eastAsia"/>
          <w:sz w:val="21"/>
          <w:szCs w:val="21"/>
          <w:highlight w:val="none"/>
        </w:rPr>
        <w:t xml:space="preserve">工程量清单投标报价预算书汇总价和投标函中总报价不符的投标； </w:t>
      </w:r>
    </w:p>
    <w:p w14:paraId="009DD54D">
      <w:pPr>
        <w:pStyle w:val="16"/>
        <w:spacing w:before="157" w:line="360" w:lineRule="auto"/>
        <w:ind w:left="1232" w:right="-53" w:rightChars="0"/>
        <w:jc w:val="both"/>
        <w:rPr>
          <w:sz w:val="21"/>
          <w:szCs w:val="21"/>
          <w:highlight w:val="none"/>
        </w:rPr>
      </w:pPr>
      <w:r>
        <w:rPr>
          <w:rFonts w:hint="eastAsia"/>
          <w:sz w:val="21"/>
          <w:szCs w:val="21"/>
          <w:highlight w:val="none"/>
        </w:rPr>
        <w:t>其他经评委会确认的未能实质性响应招标文件要求的投标；</w:t>
      </w:r>
    </w:p>
    <w:p w14:paraId="30D7A28B">
      <w:pPr>
        <w:pStyle w:val="16"/>
        <w:spacing w:line="360" w:lineRule="auto"/>
        <w:ind w:left="1232"/>
        <w:jc w:val="both"/>
        <w:rPr>
          <w:sz w:val="21"/>
          <w:szCs w:val="21"/>
          <w:highlight w:val="none"/>
        </w:rPr>
      </w:pPr>
      <w:r>
        <w:rPr>
          <w:rFonts w:hint="eastAsia"/>
          <w:sz w:val="21"/>
          <w:szCs w:val="21"/>
          <w:highlight w:val="none"/>
        </w:rPr>
        <w:t>工期、工程质量未响应招标文件要求的投标；</w:t>
      </w:r>
    </w:p>
    <w:p w14:paraId="0AF0CCAD">
      <w:pPr>
        <w:pStyle w:val="16"/>
        <w:spacing w:before="160" w:line="360" w:lineRule="auto"/>
        <w:ind w:left="1232"/>
        <w:jc w:val="both"/>
        <w:rPr>
          <w:sz w:val="21"/>
          <w:szCs w:val="21"/>
          <w:highlight w:val="none"/>
        </w:rPr>
      </w:pPr>
      <w:r>
        <w:rPr>
          <w:rFonts w:hint="eastAsia"/>
          <w:sz w:val="21"/>
          <w:szCs w:val="21"/>
          <w:highlight w:val="none"/>
        </w:rPr>
        <w:t>法律、法规规定的以及本招标文件规定的其他情形。</w:t>
      </w:r>
    </w:p>
    <w:p w14:paraId="2C996CC7">
      <w:pPr>
        <w:pStyle w:val="16"/>
        <w:spacing w:before="158" w:line="360" w:lineRule="auto"/>
        <w:ind w:left="1232" w:right="-53" w:rightChars="0"/>
        <w:jc w:val="both"/>
        <w:rPr>
          <w:spacing w:val="-1"/>
          <w:sz w:val="21"/>
          <w:szCs w:val="21"/>
          <w:highlight w:val="none"/>
        </w:rPr>
      </w:pPr>
      <w:r>
        <w:rPr>
          <w:rFonts w:hint="eastAsia"/>
          <w:spacing w:val="-1"/>
          <w:sz w:val="21"/>
          <w:szCs w:val="21"/>
          <w:highlight w:val="none"/>
        </w:rPr>
        <w:t xml:space="preserve">②串通投标的，否决其投标。有下列情形之一的，属于投标人相互串通投标： </w:t>
      </w:r>
    </w:p>
    <w:p w14:paraId="475AE9DD">
      <w:pPr>
        <w:pStyle w:val="16"/>
        <w:spacing w:before="158" w:line="360" w:lineRule="auto"/>
        <w:ind w:left="1232" w:right="1531"/>
        <w:jc w:val="both"/>
        <w:rPr>
          <w:sz w:val="21"/>
          <w:szCs w:val="21"/>
          <w:highlight w:val="none"/>
        </w:rPr>
      </w:pPr>
      <w:r>
        <w:rPr>
          <w:rFonts w:hint="eastAsia"/>
          <w:sz w:val="21"/>
          <w:szCs w:val="21"/>
          <w:highlight w:val="none"/>
        </w:rPr>
        <w:t>投标人之间协商投标报价等投标文件的实质性内容；</w:t>
      </w:r>
    </w:p>
    <w:p w14:paraId="1FD4E82C">
      <w:pPr>
        <w:pStyle w:val="16"/>
        <w:spacing w:line="360" w:lineRule="auto"/>
        <w:ind w:left="1232"/>
        <w:jc w:val="both"/>
        <w:rPr>
          <w:sz w:val="21"/>
          <w:szCs w:val="21"/>
          <w:highlight w:val="none"/>
        </w:rPr>
      </w:pPr>
      <w:r>
        <w:rPr>
          <w:rFonts w:hint="eastAsia"/>
          <w:sz w:val="21"/>
          <w:szCs w:val="21"/>
          <w:highlight w:val="none"/>
        </w:rPr>
        <w:t>投标人之间约定中标人；</w:t>
      </w:r>
    </w:p>
    <w:p w14:paraId="702CA043">
      <w:pPr>
        <w:pStyle w:val="16"/>
        <w:spacing w:before="161" w:line="360" w:lineRule="auto"/>
        <w:ind w:left="1232"/>
        <w:jc w:val="both"/>
        <w:rPr>
          <w:sz w:val="21"/>
          <w:szCs w:val="21"/>
          <w:highlight w:val="none"/>
        </w:rPr>
      </w:pPr>
      <w:r>
        <w:rPr>
          <w:rFonts w:hint="eastAsia"/>
          <w:sz w:val="21"/>
          <w:szCs w:val="21"/>
          <w:highlight w:val="none"/>
        </w:rPr>
        <w:t>投标人之间约定部分投标人放弃投标或者中标；</w:t>
      </w:r>
    </w:p>
    <w:p w14:paraId="7E571DD5">
      <w:pPr>
        <w:pStyle w:val="16"/>
        <w:spacing w:before="158" w:line="360" w:lineRule="auto"/>
        <w:ind w:left="1232" w:right="-53" w:rightChars="0"/>
        <w:jc w:val="both"/>
        <w:rPr>
          <w:sz w:val="21"/>
          <w:szCs w:val="21"/>
          <w:highlight w:val="none"/>
        </w:rPr>
      </w:pPr>
      <w:r>
        <w:rPr>
          <w:rFonts w:hint="eastAsia"/>
          <w:sz w:val="21"/>
          <w:szCs w:val="21"/>
          <w:highlight w:val="none"/>
        </w:rPr>
        <w:t xml:space="preserve">属于同一集团、协会、商会等组织成员的投标人按照该组织要求协同投标； </w:t>
      </w:r>
    </w:p>
    <w:p w14:paraId="5B2EF26E">
      <w:pPr>
        <w:pStyle w:val="16"/>
        <w:spacing w:before="158" w:line="360" w:lineRule="auto"/>
        <w:ind w:left="1232" w:right="-53" w:rightChars="0"/>
        <w:jc w:val="both"/>
        <w:rPr>
          <w:sz w:val="21"/>
          <w:szCs w:val="21"/>
          <w:highlight w:val="none"/>
        </w:rPr>
      </w:pPr>
      <w:r>
        <w:rPr>
          <w:rFonts w:hint="eastAsia"/>
          <w:sz w:val="21"/>
          <w:szCs w:val="21"/>
          <w:highlight w:val="none"/>
        </w:rPr>
        <w:t>投标人之间为谋取中标或者排斥特定投标人而采取的其他联合行动。</w:t>
      </w:r>
    </w:p>
    <w:p w14:paraId="15925C6A">
      <w:pPr>
        <w:pStyle w:val="16"/>
        <w:spacing w:line="360" w:lineRule="auto"/>
        <w:ind w:left="1232"/>
        <w:jc w:val="both"/>
        <w:rPr>
          <w:sz w:val="21"/>
          <w:szCs w:val="21"/>
          <w:highlight w:val="none"/>
        </w:rPr>
      </w:pPr>
      <w:r>
        <w:rPr>
          <w:rFonts w:hint="eastAsia"/>
          <w:sz w:val="21"/>
          <w:szCs w:val="21"/>
          <w:highlight w:val="none"/>
        </w:rPr>
        <w:t>③串通投标的，否决其投标。有下列情形之一的，视为投标人相互串通投标：</w:t>
      </w:r>
    </w:p>
    <w:p w14:paraId="6C307664">
      <w:pPr>
        <w:pStyle w:val="16"/>
        <w:spacing w:line="360" w:lineRule="auto"/>
        <w:ind w:left="1232"/>
        <w:jc w:val="both"/>
        <w:rPr>
          <w:sz w:val="21"/>
          <w:szCs w:val="21"/>
          <w:highlight w:val="none"/>
        </w:rPr>
      </w:pPr>
      <w:r>
        <w:rPr>
          <w:rFonts w:hint="eastAsia"/>
          <w:sz w:val="21"/>
          <w:szCs w:val="21"/>
          <w:highlight w:val="none"/>
        </w:rPr>
        <w:t>不同投标人的投标文件由同一单位或者个人编制；</w:t>
      </w:r>
    </w:p>
    <w:p w14:paraId="6199085C">
      <w:pPr>
        <w:pStyle w:val="16"/>
        <w:spacing w:line="360" w:lineRule="auto"/>
        <w:ind w:left="1232"/>
        <w:jc w:val="both"/>
        <w:rPr>
          <w:sz w:val="21"/>
          <w:szCs w:val="21"/>
          <w:highlight w:val="none"/>
        </w:rPr>
      </w:pPr>
      <w:r>
        <w:rPr>
          <w:rFonts w:hint="eastAsia"/>
          <w:sz w:val="21"/>
          <w:szCs w:val="21"/>
          <w:highlight w:val="none"/>
        </w:rPr>
        <w:t>不同投标人委托同一单位或者个人办理投标事宜；</w:t>
      </w:r>
    </w:p>
    <w:p w14:paraId="6FFB69C5">
      <w:pPr>
        <w:pStyle w:val="16"/>
        <w:spacing w:before="5" w:line="360" w:lineRule="auto"/>
        <w:ind w:left="1232"/>
        <w:jc w:val="both"/>
        <w:rPr>
          <w:sz w:val="21"/>
          <w:szCs w:val="21"/>
          <w:highlight w:val="none"/>
        </w:rPr>
      </w:pPr>
      <w:r>
        <w:rPr>
          <w:rFonts w:hint="eastAsia"/>
          <w:sz w:val="21"/>
          <w:szCs w:val="21"/>
          <w:highlight w:val="none"/>
        </w:rPr>
        <w:t>不同投标人的投标文件载明的项目管理成员为同一人；</w:t>
      </w:r>
    </w:p>
    <w:p w14:paraId="252D4280">
      <w:pPr>
        <w:pStyle w:val="16"/>
        <w:spacing w:before="161" w:line="360" w:lineRule="auto"/>
        <w:ind w:left="1232" w:right="-53" w:rightChars="0"/>
        <w:jc w:val="both"/>
        <w:rPr>
          <w:sz w:val="21"/>
          <w:szCs w:val="21"/>
          <w:highlight w:val="none"/>
        </w:rPr>
      </w:pPr>
      <w:r>
        <w:rPr>
          <w:rFonts w:hint="eastAsia"/>
          <w:sz w:val="21"/>
          <w:szCs w:val="21"/>
          <w:highlight w:val="none"/>
        </w:rPr>
        <w:t xml:space="preserve">不同投标人的投标文件异常一致或者投标报价呈规律性差异； </w:t>
      </w:r>
    </w:p>
    <w:p w14:paraId="44601181">
      <w:pPr>
        <w:pStyle w:val="16"/>
        <w:spacing w:before="161" w:line="360" w:lineRule="auto"/>
        <w:ind w:left="1232" w:right="3211"/>
        <w:jc w:val="both"/>
        <w:rPr>
          <w:sz w:val="21"/>
          <w:szCs w:val="21"/>
          <w:highlight w:val="none"/>
        </w:rPr>
      </w:pPr>
      <w:r>
        <w:rPr>
          <w:rFonts w:hint="eastAsia"/>
          <w:sz w:val="21"/>
          <w:szCs w:val="21"/>
          <w:highlight w:val="none"/>
        </w:rPr>
        <w:t>不同投标人的投标文件相互混装；</w:t>
      </w:r>
    </w:p>
    <w:p w14:paraId="7F2FCD8E">
      <w:pPr>
        <w:pStyle w:val="16"/>
        <w:spacing w:before="5" w:line="360" w:lineRule="auto"/>
        <w:ind w:left="1232"/>
        <w:jc w:val="both"/>
        <w:rPr>
          <w:sz w:val="21"/>
          <w:szCs w:val="21"/>
          <w:highlight w:val="none"/>
        </w:rPr>
      </w:pPr>
      <w:r>
        <w:rPr>
          <w:rFonts w:hint="eastAsia"/>
          <w:sz w:val="21"/>
          <w:szCs w:val="21"/>
          <w:highlight w:val="none"/>
        </w:rPr>
        <w:t>不同投标人的投标保证金从同一单位或者个人的账户转出。</w:t>
      </w:r>
    </w:p>
    <w:p w14:paraId="4BDF8AD0">
      <w:pPr>
        <w:pStyle w:val="16"/>
        <w:spacing w:before="158" w:line="360" w:lineRule="auto"/>
        <w:ind w:left="1232" w:right="-53" w:rightChars="0"/>
        <w:jc w:val="both"/>
        <w:rPr>
          <w:sz w:val="21"/>
          <w:szCs w:val="21"/>
          <w:highlight w:val="none"/>
        </w:rPr>
      </w:pPr>
      <w:r>
        <w:rPr>
          <w:rFonts w:hint="eastAsia"/>
          <w:sz w:val="21"/>
          <w:szCs w:val="21"/>
          <w:highlight w:val="none"/>
        </w:rPr>
        <w:t xml:space="preserve">④弄虚作假的，否决其投标。投标人有下列情形之一的，属于弄虚作假的行为： </w:t>
      </w:r>
    </w:p>
    <w:p w14:paraId="29275C61">
      <w:pPr>
        <w:pStyle w:val="16"/>
        <w:spacing w:before="158" w:line="360" w:lineRule="auto"/>
        <w:ind w:left="1232" w:right="1291"/>
        <w:jc w:val="both"/>
        <w:rPr>
          <w:sz w:val="21"/>
          <w:szCs w:val="21"/>
          <w:highlight w:val="none"/>
        </w:rPr>
      </w:pPr>
      <w:r>
        <w:rPr>
          <w:rFonts w:hint="eastAsia"/>
          <w:sz w:val="21"/>
          <w:szCs w:val="21"/>
          <w:highlight w:val="none"/>
        </w:rPr>
        <w:t>使用伪造、变造的许可证件；</w:t>
      </w:r>
    </w:p>
    <w:p w14:paraId="59F83C8A">
      <w:pPr>
        <w:pStyle w:val="16"/>
        <w:spacing w:line="360" w:lineRule="auto"/>
        <w:ind w:left="1232"/>
        <w:jc w:val="both"/>
        <w:rPr>
          <w:sz w:val="21"/>
          <w:szCs w:val="21"/>
          <w:highlight w:val="none"/>
        </w:rPr>
      </w:pPr>
      <w:r>
        <w:rPr>
          <w:rFonts w:hint="eastAsia"/>
          <w:sz w:val="21"/>
          <w:szCs w:val="21"/>
          <w:highlight w:val="none"/>
        </w:rPr>
        <w:t>提供虚假的财务状况或者业绩；</w:t>
      </w:r>
    </w:p>
    <w:p w14:paraId="7C4E79C6">
      <w:pPr>
        <w:pStyle w:val="16"/>
        <w:spacing w:before="160" w:line="360" w:lineRule="auto"/>
        <w:ind w:left="1232" w:right="-53" w:rightChars="0"/>
        <w:rPr>
          <w:spacing w:val="-1"/>
          <w:sz w:val="21"/>
          <w:szCs w:val="21"/>
          <w:highlight w:val="none"/>
        </w:rPr>
      </w:pPr>
      <w:r>
        <w:rPr>
          <w:rFonts w:hint="eastAsia"/>
          <w:spacing w:val="-1"/>
          <w:sz w:val="21"/>
          <w:szCs w:val="21"/>
          <w:highlight w:val="none"/>
        </w:rPr>
        <w:t xml:space="preserve">提供虚假的项目负责人或者主要技术人员简历、劳动关系证明； </w:t>
      </w:r>
    </w:p>
    <w:p w14:paraId="719BB04B">
      <w:pPr>
        <w:pStyle w:val="16"/>
        <w:spacing w:before="160" w:line="360" w:lineRule="auto"/>
        <w:ind w:left="1232" w:right="2971"/>
        <w:rPr>
          <w:sz w:val="21"/>
          <w:szCs w:val="21"/>
          <w:highlight w:val="none"/>
        </w:rPr>
      </w:pPr>
      <w:r>
        <w:rPr>
          <w:rFonts w:hint="eastAsia"/>
          <w:sz w:val="21"/>
          <w:szCs w:val="21"/>
          <w:highlight w:val="none"/>
        </w:rPr>
        <w:t>提供虚假的信用状况；</w:t>
      </w:r>
    </w:p>
    <w:p w14:paraId="061FE462">
      <w:pPr>
        <w:pStyle w:val="16"/>
        <w:spacing w:before="5" w:line="360" w:lineRule="auto"/>
        <w:ind w:left="1232"/>
        <w:rPr>
          <w:sz w:val="21"/>
          <w:szCs w:val="21"/>
          <w:highlight w:val="none"/>
        </w:rPr>
      </w:pPr>
      <w:r>
        <w:rPr>
          <w:rFonts w:hint="eastAsia"/>
          <w:sz w:val="21"/>
          <w:szCs w:val="21"/>
          <w:highlight w:val="none"/>
        </w:rPr>
        <w:t>其他弄虚作假的行为。</w:t>
      </w:r>
    </w:p>
    <w:p w14:paraId="50D67E05">
      <w:pPr>
        <w:rPr>
          <w:highlight w:val="none"/>
        </w:rPr>
      </w:pPr>
      <w:bookmarkStart w:id="216" w:name="第四章_合同文本及条款"/>
      <w:bookmarkEnd w:id="216"/>
      <w:r>
        <w:rPr>
          <w:highlight w:val="none"/>
        </w:rPr>
        <w:br w:type="page"/>
      </w:r>
    </w:p>
    <w:p w14:paraId="662DDEFF">
      <w:pPr>
        <w:pStyle w:val="2"/>
        <w:spacing w:before="21"/>
        <w:ind w:left="956" w:right="1552"/>
        <w:rPr>
          <w:highlight w:val="none"/>
        </w:rPr>
      </w:pPr>
      <w:r>
        <w:rPr>
          <w:highlight w:val="none"/>
        </w:rPr>
        <w:t>第四章 合同文本及条款</w:t>
      </w:r>
    </w:p>
    <w:p w14:paraId="37DF0FE4">
      <w:pPr>
        <w:widowControl/>
        <w:jc w:val="center"/>
        <w:rPr>
          <w:rFonts w:ascii="黑体" w:eastAsia="黑体"/>
          <w:bCs/>
          <w:sz w:val="52"/>
          <w:szCs w:val="52"/>
          <w:highlight w:val="none"/>
        </w:rPr>
      </w:pPr>
      <w:bookmarkStart w:id="217" w:name="_Hlk103784445"/>
    </w:p>
    <w:p w14:paraId="1242ABD2">
      <w:pPr>
        <w:widowControl/>
        <w:jc w:val="center"/>
        <w:rPr>
          <w:rFonts w:ascii="黑体" w:eastAsia="黑体"/>
          <w:bCs/>
          <w:sz w:val="52"/>
          <w:szCs w:val="52"/>
          <w:highlight w:val="none"/>
        </w:rPr>
      </w:pPr>
      <w:r>
        <w:rPr>
          <w:rFonts w:hint="eastAsia" w:ascii="黑体" w:eastAsia="黑体"/>
          <w:bCs/>
          <w:sz w:val="52"/>
          <w:szCs w:val="52"/>
          <w:highlight w:val="none"/>
        </w:rPr>
        <w:t>陕西省建设工程施工合同</w:t>
      </w:r>
    </w:p>
    <w:p w14:paraId="4513CB53">
      <w:pPr>
        <w:widowControl/>
        <w:jc w:val="center"/>
        <w:rPr>
          <w:rFonts w:ascii="黑体" w:eastAsia="黑体"/>
          <w:bCs/>
          <w:sz w:val="36"/>
          <w:szCs w:val="36"/>
          <w:highlight w:val="none"/>
        </w:rPr>
      </w:pPr>
    </w:p>
    <w:p w14:paraId="6EB9A5F4">
      <w:pPr>
        <w:widowControl/>
        <w:ind w:firstLine="200"/>
        <w:jc w:val="center"/>
        <w:rPr>
          <w:rFonts w:ascii="黑体" w:eastAsia="黑体"/>
          <w:bCs/>
          <w:sz w:val="32"/>
          <w:szCs w:val="32"/>
          <w:highlight w:val="none"/>
        </w:rPr>
      </w:pPr>
    </w:p>
    <w:p w14:paraId="3F6C47EF">
      <w:pPr>
        <w:widowControl/>
        <w:ind w:firstLine="200"/>
        <w:jc w:val="center"/>
        <w:rPr>
          <w:rFonts w:ascii="黑体" w:eastAsia="黑体"/>
          <w:bCs/>
          <w:sz w:val="32"/>
          <w:szCs w:val="32"/>
          <w:highlight w:val="none"/>
        </w:rPr>
      </w:pPr>
    </w:p>
    <w:p w14:paraId="1D121ECA">
      <w:pPr>
        <w:widowControl/>
        <w:ind w:firstLine="200"/>
        <w:jc w:val="center"/>
        <w:rPr>
          <w:rFonts w:ascii="黑体" w:eastAsia="黑体"/>
          <w:bCs/>
          <w:sz w:val="32"/>
          <w:szCs w:val="32"/>
          <w:highlight w:val="none"/>
        </w:rPr>
      </w:pPr>
    </w:p>
    <w:p w14:paraId="18CC4AAD">
      <w:pPr>
        <w:widowControl/>
        <w:ind w:firstLine="200"/>
        <w:jc w:val="center"/>
        <w:rPr>
          <w:rFonts w:ascii="黑体" w:eastAsia="黑体"/>
          <w:bCs/>
          <w:sz w:val="32"/>
          <w:szCs w:val="32"/>
          <w:highlight w:val="none"/>
        </w:rPr>
      </w:pPr>
    </w:p>
    <w:p w14:paraId="0753095F">
      <w:pPr>
        <w:widowControl/>
        <w:ind w:firstLine="200"/>
        <w:jc w:val="center"/>
        <w:rPr>
          <w:rFonts w:ascii="黑体" w:eastAsia="黑体"/>
          <w:bCs/>
          <w:sz w:val="32"/>
          <w:szCs w:val="32"/>
          <w:highlight w:val="none"/>
        </w:rPr>
      </w:pPr>
    </w:p>
    <w:p w14:paraId="294530CA">
      <w:pPr>
        <w:widowControl/>
        <w:ind w:firstLine="200"/>
        <w:jc w:val="center"/>
        <w:rPr>
          <w:rFonts w:ascii="黑体" w:eastAsia="黑体"/>
          <w:bCs/>
          <w:sz w:val="32"/>
          <w:szCs w:val="32"/>
          <w:highlight w:val="none"/>
        </w:rPr>
      </w:pPr>
    </w:p>
    <w:p w14:paraId="46F8C781">
      <w:pPr>
        <w:widowControl/>
        <w:ind w:firstLine="200"/>
        <w:jc w:val="center"/>
        <w:rPr>
          <w:rFonts w:ascii="黑体" w:eastAsia="黑体"/>
          <w:bCs/>
          <w:sz w:val="32"/>
          <w:szCs w:val="32"/>
          <w:highlight w:val="none"/>
        </w:rPr>
      </w:pPr>
    </w:p>
    <w:p w14:paraId="162BF814">
      <w:pPr>
        <w:widowControl/>
        <w:ind w:firstLine="200"/>
        <w:jc w:val="center"/>
        <w:rPr>
          <w:rFonts w:ascii="黑体" w:eastAsia="黑体"/>
          <w:bCs/>
          <w:sz w:val="32"/>
          <w:szCs w:val="32"/>
          <w:highlight w:val="none"/>
        </w:rPr>
      </w:pPr>
    </w:p>
    <w:p w14:paraId="769123EE">
      <w:pPr>
        <w:widowControl/>
        <w:ind w:firstLine="200"/>
        <w:jc w:val="center"/>
        <w:rPr>
          <w:rFonts w:ascii="黑体" w:eastAsia="黑体"/>
          <w:bCs/>
          <w:sz w:val="32"/>
          <w:szCs w:val="32"/>
          <w:highlight w:val="none"/>
        </w:rPr>
      </w:pPr>
    </w:p>
    <w:p w14:paraId="3BF8832A">
      <w:pPr>
        <w:widowControl/>
        <w:ind w:firstLine="200"/>
        <w:jc w:val="center"/>
        <w:rPr>
          <w:rFonts w:ascii="黑体" w:eastAsia="黑体"/>
          <w:bCs/>
          <w:sz w:val="32"/>
          <w:szCs w:val="32"/>
          <w:highlight w:val="none"/>
        </w:rPr>
      </w:pPr>
    </w:p>
    <w:p w14:paraId="1B0A5E22">
      <w:pPr>
        <w:widowControl/>
        <w:ind w:firstLine="200"/>
        <w:jc w:val="center"/>
        <w:rPr>
          <w:rFonts w:ascii="黑体" w:eastAsia="黑体"/>
          <w:bCs/>
          <w:sz w:val="32"/>
          <w:szCs w:val="32"/>
          <w:highlight w:val="none"/>
        </w:rPr>
      </w:pPr>
    </w:p>
    <w:p w14:paraId="6CD2FA97">
      <w:pPr>
        <w:widowControl/>
        <w:ind w:firstLine="200"/>
        <w:jc w:val="center"/>
        <w:rPr>
          <w:rFonts w:ascii="黑体" w:eastAsia="黑体"/>
          <w:bCs/>
          <w:sz w:val="32"/>
          <w:szCs w:val="32"/>
          <w:highlight w:val="none"/>
        </w:rPr>
      </w:pPr>
    </w:p>
    <w:p w14:paraId="16995502">
      <w:pPr>
        <w:widowControl/>
        <w:ind w:firstLine="200"/>
        <w:jc w:val="center"/>
        <w:rPr>
          <w:rFonts w:ascii="黑体" w:eastAsia="黑体"/>
          <w:bCs/>
          <w:sz w:val="32"/>
          <w:szCs w:val="32"/>
          <w:highlight w:val="none"/>
        </w:rPr>
      </w:pPr>
    </w:p>
    <w:p w14:paraId="652A6868">
      <w:pPr>
        <w:widowControl/>
        <w:ind w:firstLine="200"/>
        <w:jc w:val="center"/>
        <w:rPr>
          <w:rFonts w:ascii="黑体" w:eastAsia="黑体"/>
          <w:bCs/>
          <w:sz w:val="32"/>
          <w:szCs w:val="32"/>
          <w:highlight w:val="none"/>
        </w:rPr>
      </w:pPr>
    </w:p>
    <w:p w14:paraId="6D180459">
      <w:pPr>
        <w:widowControl/>
        <w:ind w:firstLine="200"/>
        <w:jc w:val="center"/>
        <w:rPr>
          <w:rFonts w:ascii="黑体" w:eastAsia="黑体"/>
          <w:bCs/>
          <w:sz w:val="32"/>
          <w:szCs w:val="32"/>
          <w:highlight w:val="none"/>
        </w:rPr>
      </w:pPr>
    </w:p>
    <w:p w14:paraId="5F6A3399">
      <w:pPr>
        <w:widowControl/>
        <w:ind w:firstLine="200"/>
        <w:jc w:val="center"/>
        <w:rPr>
          <w:rFonts w:ascii="黑体" w:eastAsia="黑体"/>
          <w:bCs/>
          <w:sz w:val="32"/>
          <w:szCs w:val="32"/>
          <w:highlight w:val="none"/>
        </w:rPr>
      </w:pPr>
    </w:p>
    <w:p w14:paraId="0FE9EF0E">
      <w:pPr>
        <w:widowControl/>
        <w:ind w:firstLine="200"/>
        <w:jc w:val="center"/>
        <w:rPr>
          <w:rFonts w:ascii="黑体" w:eastAsia="黑体"/>
          <w:bCs/>
          <w:sz w:val="32"/>
          <w:szCs w:val="32"/>
          <w:highlight w:val="none"/>
        </w:rPr>
      </w:pPr>
    </w:p>
    <w:p w14:paraId="43AD33DF">
      <w:pPr>
        <w:widowControl/>
        <w:ind w:firstLine="200"/>
        <w:jc w:val="center"/>
        <w:rPr>
          <w:rFonts w:ascii="黑体" w:eastAsia="黑体"/>
          <w:bCs/>
          <w:sz w:val="32"/>
          <w:szCs w:val="32"/>
          <w:highlight w:val="none"/>
        </w:rPr>
      </w:pPr>
    </w:p>
    <w:p w14:paraId="656C72E0">
      <w:pPr>
        <w:widowControl/>
        <w:ind w:firstLine="200"/>
        <w:jc w:val="center"/>
        <w:rPr>
          <w:rFonts w:ascii="黑体" w:eastAsia="黑体"/>
          <w:bCs/>
          <w:sz w:val="32"/>
          <w:szCs w:val="32"/>
          <w:highlight w:val="none"/>
        </w:rPr>
      </w:pPr>
    </w:p>
    <w:p w14:paraId="4F265A2D">
      <w:pPr>
        <w:widowControl/>
        <w:ind w:firstLine="200"/>
        <w:jc w:val="center"/>
        <w:rPr>
          <w:rFonts w:ascii="黑体" w:eastAsia="黑体"/>
          <w:bCs/>
          <w:sz w:val="32"/>
          <w:szCs w:val="32"/>
          <w:highlight w:val="none"/>
        </w:rPr>
      </w:pPr>
    </w:p>
    <w:p w14:paraId="56191CD0">
      <w:pPr>
        <w:widowControl/>
        <w:ind w:firstLine="200"/>
        <w:jc w:val="center"/>
        <w:rPr>
          <w:rFonts w:ascii="黑体" w:eastAsia="黑体"/>
          <w:bCs/>
          <w:sz w:val="32"/>
          <w:szCs w:val="32"/>
          <w:highlight w:val="none"/>
        </w:rPr>
      </w:pPr>
    </w:p>
    <w:p w14:paraId="5BECBC9F">
      <w:pPr>
        <w:widowControl/>
        <w:ind w:firstLine="200"/>
        <w:jc w:val="center"/>
        <w:rPr>
          <w:rFonts w:ascii="黑体" w:eastAsia="黑体"/>
          <w:bCs/>
          <w:sz w:val="32"/>
          <w:szCs w:val="32"/>
          <w:highlight w:val="none"/>
        </w:rPr>
      </w:pPr>
    </w:p>
    <w:p w14:paraId="440E4EC7">
      <w:pPr>
        <w:widowControl/>
        <w:ind w:firstLine="200"/>
        <w:jc w:val="center"/>
        <w:rPr>
          <w:rFonts w:ascii="黑体" w:eastAsia="黑体"/>
          <w:bCs/>
          <w:sz w:val="32"/>
          <w:szCs w:val="32"/>
          <w:highlight w:val="none"/>
        </w:rPr>
      </w:pPr>
    </w:p>
    <w:p w14:paraId="38BD9A9D">
      <w:pPr>
        <w:jc w:val="center"/>
        <w:rPr>
          <w:bCs/>
          <w:sz w:val="36"/>
          <w:szCs w:val="36"/>
          <w:highlight w:val="none"/>
        </w:rPr>
      </w:pPr>
      <w:r>
        <w:rPr>
          <w:rFonts w:hint="eastAsia"/>
          <w:bCs/>
          <w:sz w:val="36"/>
          <w:szCs w:val="36"/>
          <w:highlight w:val="none"/>
        </w:rPr>
        <w:t>年   月   日</w:t>
      </w:r>
    </w:p>
    <w:p w14:paraId="3F831B1B">
      <w:pPr>
        <w:rPr>
          <w:bCs/>
          <w:sz w:val="36"/>
          <w:szCs w:val="36"/>
          <w:highlight w:val="none"/>
        </w:rPr>
      </w:pPr>
    </w:p>
    <w:p w14:paraId="2EBE0EBB">
      <w:pPr>
        <w:rPr>
          <w:highlight w:val="none"/>
        </w:rPr>
      </w:pPr>
    </w:p>
    <w:p w14:paraId="3C836EB3">
      <w:pPr>
        <w:rPr>
          <w:highlight w:val="none"/>
        </w:rPr>
      </w:pPr>
    </w:p>
    <w:p w14:paraId="6DADA9F5">
      <w:pPr>
        <w:rPr>
          <w:highlight w:val="none"/>
        </w:rPr>
        <w:sectPr>
          <w:headerReference r:id="rId7" w:type="default"/>
          <w:footerReference r:id="rId8" w:type="default"/>
          <w:pgSz w:w="11907" w:h="16839"/>
          <w:pgMar w:top="1440" w:right="1800" w:bottom="1440" w:left="1800" w:header="720" w:footer="720" w:gutter="0"/>
          <w:cols w:space="720" w:num="1"/>
          <w:docGrid w:linePitch="287" w:charSpace="0"/>
        </w:sectPr>
      </w:pPr>
    </w:p>
    <w:p w14:paraId="67C06DC6">
      <w:pPr>
        <w:keepNext/>
        <w:keepLines/>
        <w:spacing w:before="260" w:after="260" w:line="416" w:lineRule="auto"/>
        <w:jc w:val="center"/>
        <w:outlineLvl w:val="1"/>
        <w:rPr>
          <w:bCs/>
          <w:sz w:val="32"/>
          <w:szCs w:val="32"/>
          <w:highlight w:val="none"/>
        </w:rPr>
      </w:pPr>
      <w:bookmarkStart w:id="218" w:name="_Toc294110487"/>
      <w:bookmarkStart w:id="219" w:name="_Toc476125171"/>
      <w:bookmarkStart w:id="220" w:name="_Toc267862029"/>
      <w:bookmarkStart w:id="221" w:name="_Toc22822"/>
      <w:bookmarkStart w:id="222" w:name="_Toc267861180"/>
      <w:bookmarkStart w:id="223" w:name="_Toc144974565"/>
      <w:bookmarkStart w:id="224" w:name="_Toc152045598"/>
      <w:bookmarkStart w:id="225" w:name="_Toc405390770"/>
      <w:bookmarkStart w:id="226" w:name="_Toc152042375"/>
      <w:bookmarkStart w:id="227" w:name="_Toc405370453"/>
      <w:bookmarkStart w:id="228" w:name="_Toc23621"/>
      <w:r>
        <w:rPr>
          <w:rFonts w:hint="eastAsia"/>
          <w:bCs/>
          <w:sz w:val="32"/>
          <w:szCs w:val="32"/>
          <w:highlight w:val="none"/>
        </w:rPr>
        <w:t>第一部分 协议书</w:t>
      </w:r>
      <w:bookmarkEnd w:id="218"/>
      <w:bookmarkEnd w:id="219"/>
    </w:p>
    <w:p w14:paraId="19162752">
      <w:pPr>
        <w:widowControl/>
        <w:spacing w:line="360" w:lineRule="auto"/>
        <w:ind w:firstLine="480" w:firstLineChars="200"/>
        <w:rPr>
          <w:b/>
          <w:sz w:val="24"/>
          <w:highlight w:val="none"/>
          <w:u w:val="single"/>
        </w:rPr>
      </w:pPr>
      <w:bookmarkStart w:id="229" w:name="_Toc476125172"/>
      <w:bookmarkStart w:id="230" w:name="_Toc294110488"/>
      <w:r>
        <w:rPr>
          <w:rFonts w:hint="eastAsia"/>
          <w:sz w:val="24"/>
          <w:highlight w:val="none"/>
        </w:rPr>
        <w:t>发包人（全称）：</w:t>
      </w:r>
      <w:r>
        <w:rPr>
          <w:rFonts w:hint="eastAsia"/>
          <w:sz w:val="24"/>
          <w:highlight w:val="none"/>
          <w:u w:val="single"/>
        </w:rPr>
        <w:t xml:space="preserve">  </w:t>
      </w:r>
      <w:r>
        <w:rPr>
          <w:rFonts w:hint="eastAsia"/>
          <w:sz w:val="24"/>
          <w:highlight w:val="none"/>
          <w:u w:val="single"/>
          <w:lang w:eastAsia="zh-CN"/>
        </w:rPr>
        <w:t>西安市鄠邑区秦渡街道办事处</w:t>
      </w:r>
      <w:r>
        <w:rPr>
          <w:rFonts w:hint="eastAsia"/>
          <w:sz w:val="24"/>
          <w:highlight w:val="none"/>
          <w:u w:val="single"/>
        </w:rPr>
        <w:t xml:space="preserve">       </w:t>
      </w:r>
    </w:p>
    <w:p w14:paraId="659FC730">
      <w:pPr>
        <w:widowControl/>
        <w:spacing w:line="360" w:lineRule="auto"/>
        <w:ind w:firstLine="480" w:firstLineChars="200"/>
        <w:rPr>
          <w:b/>
          <w:sz w:val="24"/>
          <w:highlight w:val="none"/>
        </w:rPr>
      </w:pPr>
      <w:r>
        <w:rPr>
          <w:rFonts w:hint="eastAsia"/>
          <w:sz w:val="24"/>
          <w:highlight w:val="none"/>
        </w:rPr>
        <w:t>承包人（全称）：</w:t>
      </w:r>
      <w:r>
        <w:rPr>
          <w:rFonts w:hint="eastAsia"/>
          <w:sz w:val="24"/>
          <w:highlight w:val="none"/>
          <w:u w:val="single"/>
        </w:rPr>
        <w:t xml:space="preserve">                                 </w:t>
      </w:r>
      <w:r>
        <w:rPr>
          <w:sz w:val="24"/>
          <w:highlight w:val="none"/>
          <w:u w:val="single"/>
        </w:rPr>
        <w:t xml:space="preserve"> </w:t>
      </w:r>
    </w:p>
    <w:p w14:paraId="1F80D6A0">
      <w:pPr>
        <w:widowControl/>
        <w:spacing w:line="360" w:lineRule="auto"/>
        <w:ind w:firstLine="480" w:firstLineChars="200"/>
        <w:rPr>
          <w:b/>
          <w:sz w:val="24"/>
          <w:highlight w:val="none"/>
        </w:rPr>
      </w:pPr>
      <w:r>
        <w:rPr>
          <w:rFonts w:hint="eastAsia"/>
          <w:sz w:val="24"/>
          <w:highlight w:val="none"/>
        </w:rPr>
        <w:t>依照《中华人民共和国</w:t>
      </w:r>
      <w:r>
        <w:rPr>
          <w:rFonts w:hint="eastAsia"/>
          <w:sz w:val="24"/>
          <w:highlight w:val="none"/>
          <w:lang w:eastAsia="zh-Hans"/>
        </w:rPr>
        <w:t>民法典</w:t>
      </w:r>
      <w:r>
        <w:rPr>
          <w:rFonts w:hint="eastAsia"/>
          <w:sz w:val="24"/>
          <w:highlight w:val="none"/>
        </w:rPr>
        <w:t>》、《中华人民共和国建筑法》及其他有关法律、行政法规，遵循平等、自愿、公平和诚实信用的原则，双方就本建设工程施工协商一致，订立本合同。</w:t>
      </w:r>
    </w:p>
    <w:p w14:paraId="55ACC795">
      <w:pPr>
        <w:widowControl/>
        <w:spacing w:line="360" w:lineRule="auto"/>
        <w:ind w:firstLine="480" w:firstLineChars="200"/>
        <w:rPr>
          <w:b/>
          <w:sz w:val="24"/>
          <w:highlight w:val="none"/>
        </w:rPr>
      </w:pPr>
      <w:r>
        <w:rPr>
          <w:rFonts w:hint="eastAsia"/>
          <w:sz w:val="24"/>
          <w:highlight w:val="none"/>
        </w:rPr>
        <w:t>一、工程概况</w:t>
      </w:r>
    </w:p>
    <w:p w14:paraId="4A1288C7">
      <w:pPr>
        <w:widowControl/>
        <w:spacing w:line="360" w:lineRule="auto"/>
        <w:ind w:firstLine="480" w:firstLineChars="200"/>
        <w:rPr>
          <w:b/>
          <w:sz w:val="24"/>
          <w:highlight w:val="none"/>
          <w:u w:val="single"/>
        </w:rPr>
      </w:pPr>
      <w:r>
        <w:rPr>
          <w:rFonts w:hint="eastAsia"/>
          <w:sz w:val="24"/>
          <w:highlight w:val="none"/>
        </w:rPr>
        <w:t>工程名称：</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14:paraId="711B886F">
      <w:pPr>
        <w:widowControl/>
        <w:spacing w:line="360" w:lineRule="auto"/>
        <w:ind w:left="1702" w:leftChars="228" w:hanging="1200" w:hangingChars="500"/>
        <w:rPr>
          <w:b/>
          <w:sz w:val="24"/>
          <w:highlight w:val="none"/>
        </w:rPr>
      </w:pPr>
      <w:r>
        <w:rPr>
          <w:rFonts w:hint="eastAsia"/>
          <w:sz w:val="24"/>
          <w:highlight w:val="none"/>
        </w:rPr>
        <w:t>工程地点：</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14:paraId="0896DA39">
      <w:pPr>
        <w:widowControl/>
        <w:spacing w:line="360" w:lineRule="auto"/>
        <w:ind w:firstLine="480" w:firstLineChars="200"/>
        <w:rPr>
          <w:b/>
          <w:sz w:val="24"/>
          <w:highlight w:val="none"/>
        </w:rPr>
      </w:pPr>
      <w:r>
        <w:rPr>
          <w:rFonts w:hint="eastAsia"/>
          <w:sz w:val="24"/>
          <w:highlight w:val="none"/>
        </w:rPr>
        <w:t>资金来源：</w:t>
      </w:r>
      <w:r>
        <w:rPr>
          <w:rFonts w:hint="eastAsia"/>
          <w:sz w:val="24"/>
          <w:highlight w:val="none"/>
          <w:u w:val="single"/>
        </w:rPr>
        <w:t xml:space="preserve"> </w:t>
      </w:r>
      <w:r>
        <w:rPr>
          <w:rFonts w:hint="eastAsia"/>
          <w:sz w:val="24"/>
          <w:highlight w:val="none"/>
          <w:u w:val="single"/>
          <w:lang w:val="en-US" w:eastAsia="zh-CN"/>
        </w:rPr>
        <w:t>财政资金</w:t>
      </w:r>
      <w:r>
        <w:rPr>
          <w:rFonts w:hint="eastAsia"/>
          <w:sz w:val="24"/>
          <w:highlight w:val="none"/>
          <w:u w:val="single"/>
        </w:rPr>
        <w:t xml:space="preserve">      </w:t>
      </w:r>
    </w:p>
    <w:p w14:paraId="2B5CCAE1">
      <w:pPr>
        <w:widowControl/>
        <w:spacing w:line="360" w:lineRule="auto"/>
        <w:ind w:firstLine="480" w:firstLineChars="200"/>
        <w:rPr>
          <w:b/>
          <w:sz w:val="24"/>
          <w:highlight w:val="none"/>
        </w:rPr>
      </w:pPr>
      <w:r>
        <w:rPr>
          <w:rFonts w:hint="eastAsia"/>
          <w:sz w:val="24"/>
          <w:highlight w:val="none"/>
        </w:rPr>
        <w:t>二、工程承包范围</w:t>
      </w:r>
    </w:p>
    <w:p w14:paraId="4AD794A8">
      <w:pPr>
        <w:widowControl/>
        <w:spacing w:line="360" w:lineRule="auto"/>
        <w:ind w:firstLine="480" w:firstLineChars="200"/>
        <w:rPr>
          <w:b/>
          <w:sz w:val="24"/>
          <w:highlight w:val="none"/>
        </w:rPr>
      </w:pPr>
      <w:r>
        <w:rPr>
          <w:rFonts w:hint="eastAsia"/>
          <w:sz w:val="24"/>
          <w:highlight w:val="none"/>
        </w:rPr>
        <w:t>承包范围：</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14:paraId="462219E1">
      <w:pPr>
        <w:widowControl/>
        <w:spacing w:line="360" w:lineRule="auto"/>
        <w:ind w:firstLine="480" w:firstLineChars="200"/>
        <w:rPr>
          <w:b/>
          <w:sz w:val="24"/>
          <w:highlight w:val="none"/>
        </w:rPr>
      </w:pPr>
      <w:r>
        <w:rPr>
          <w:rFonts w:hint="eastAsia"/>
          <w:sz w:val="24"/>
          <w:highlight w:val="none"/>
        </w:rPr>
        <w:t>三、合同工期：</w:t>
      </w:r>
    </w:p>
    <w:p w14:paraId="036A3A9B">
      <w:pPr>
        <w:widowControl/>
        <w:spacing w:line="360" w:lineRule="auto"/>
        <w:ind w:firstLine="480" w:firstLineChars="200"/>
        <w:rPr>
          <w:b/>
          <w:sz w:val="24"/>
          <w:highlight w:val="none"/>
        </w:rPr>
      </w:pPr>
      <w:r>
        <w:rPr>
          <w:rFonts w:hint="eastAsia"/>
          <w:sz w:val="24"/>
          <w:highlight w:val="none"/>
        </w:rPr>
        <w:t>工程计划开工时间</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日，计划竣工时间</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日，施工总工期：共计</w:t>
      </w:r>
      <w:r>
        <w:rPr>
          <w:rFonts w:hint="eastAsia"/>
          <w:sz w:val="24"/>
          <w:highlight w:val="none"/>
          <w:u w:val="single"/>
        </w:rPr>
        <w:t xml:space="preserve">     </w:t>
      </w:r>
      <w:r>
        <w:rPr>
          <w:rFonts w:hint="eastAsia"/>
          <w:sz w:val="24"/>
          <w:highlight w:val="none"/>
        </w:rPr>
        <w:t>日历天，实际以开竣工报告为准。</w:t>
      </w:r>
    </w:p>
    <w:p w14:paraId="3F0FF21F">
      <w:pPr>
        <w:widowControl/>
        <w:spacing w:line="360" w:lineRule="auto"/>
        <w:ind w:firstLine="480" w:firstLineChars="200"/>
        <w:rPr>
          <w:b/>
          <w:sz w:val="24"/>
          <w:highlight w:val="none"/>
        </w:rPr>
      </w:pPr>
      <w:r>
        <w:rPr>
          <w:rFonts w:hint="eastAsia"/>
          <w:sz w:val="24"/>
          <w:highlight w:val="none"/>
        </w:rPr>
        <w:t>四、质量标准</w:t>
      </w:r>
    </w:p>
    <w:p w14:paraId="0C709E15">
      <w:pPr>
        <w:widowControl/>
        <w:spacing w:line="360" w:lineRule="auto"/>
        <w:ind w:firstLine="480" w:firstLineChars="200"/>
        <w:rPr>
          <w:b/>
          <w:sz w:val="24"/>
          <w:highlight w:val="none"/>
        </w:rPr>
      </w:pPr>
      <w:r>
        <w:rPr>
          <w:rFonts w:hint="eastAsia"/>
          <w:sz w:val="24"/>
          <w:highlight w:val="none"/>
        </w:rPr>
        <w:t>工程质量标准：</w:t>
      </w:r>
      <w:r>
        <w:rPr>
          <w:rFonts w:hint="eastAsia"/>
          <w:sz w:val="24"/>
          <w:highlight w:val="none"/>
          <w:u w:val="single"/>
        </w:rPr>
        <w:t xml:space="preserve">     </w:t>
      </w:r>
      <w:r>
        <w:rPr>
          <w:rFonts w:hint="eastAsia"/>
          <w:sz w:val="24"/>
          <w:highlight w:val="none"/>
          <w:u w:val="single"/>
          <w:lang w:val="en-US" w:eastAsia="zh-CN"/>
        </w:rPr>
        <w:t>合格</w:t>
      </w:r>
      <w:r>
        <w:rPr>
          <w:rFonts w:hint="eastAsia"/>
          <w:sz w:val="24"/>
          <w:highlight w:val="none"/>
          <w:u w:val="single"/>
        </w:rPr>
        <w:t xml:space="preserve">          </w:t>
      </w:r>
    </w:p>
    <w:p w14:paraId="2147CAA9">
      <w:pPr>
        <w:widowControl/>
        <w:spacing w:line="360" w:lineRule="auto"/>
        <w:ind w:firstLine="480" w:firstLineChars="200"/>
        <w:rPr>
          <w:b/>
          <w:sz w:val="24"/>
          <w:highlight w:val="none"/>
        </w:rPr>
      </w:pPr>
      <w:r>
        <w:rPr>
          <w:rFonts w:hint="eastAsia"/>
          <w:sz w:val="24"/>
          <w:highlight w:val="none"/>
        </w:rPr>
        <w:t>五、合同价款</w:t>
      </w:r>
    </w:p>
    <w:p w14:paraId="784BD795">
      <w:pPr>
        <w:widowControl/>
        <w:spacing w:line="360" w:lineRule="auto"/>
        <w:ind w:firstLine="480" w:firstLineChars="200"/>
        <w:rPr>
          <w:b/>
          <w:sz w:val="24"/>
          <w:highlight w:val="none"/>
          <w:u w:val="single"/>
        </w:rPr>
      </w:pPr>
      <w:r>
        <w:rPr>
          <w:sz w:val="24"/>
          <w:highlight w:val="none"/>
        </w:rPr>
        <w:t>1</w:t>
      </w:r>
      <w:r>
        <w:rPr>
          <w:rFonts w:hint="eastAsia"/>
          <w:sz w:val="24"/>
          <w:highlight w:val="none"/>
        </w:rPr>
        <w:t>、合同总价（大写）：</w:t>
      </w:r>
      <w:r>
        <w:rPr>
          <w:rFonts w:hint="eastAsia"/>
          <w:sz w:val="24"/>
          <w:highlight w:val="none"/>
          <w:u w:val="single"/>
        </w:rPr>
        <w:t xml:space="preserve">                 </w:t>
      </w:r>
      <w:r>
        <w:rPr>
          <w:rFonts w:hint="eastAsia"/>
          <w:sz w:val="24"/>
          <w:highlight w:val="none"/>
        </w:rPr>
        <w:t>，（小写）：</w:t>
      </w:r>
      <w:r>
        <w:rPr>
          <w:sz w:val="24"/>
          <w:highlight w:val="none"/>
          <w:u w:val="single"/>
        </w:rPr>
        <w:t xml:space="preserve"> </w:t>
      </w:r>
      <w:r>
        <w:rPr>
          <w:rFonts w:hint="eastAsia"/>
          <w:sz w:val="24"/>
          <w:highlight w:val="none"/>
          <w:u w:val="single"/>
        </w:rPr>
        <w:t xml:space="preserve">                </w:t>
      </w:r>
    </w:p>
    <w:p w14:paraId="221F58A9">
      <w:pPr>
        <w:widowControl/>
        <w:spacing w:line="360" w:lineRule="auto"/>
        <w:ind w:firstLine="480" w:firstLineChars="200"/>
        <w:rPr>
          <w:b/>
          <w:sz w:val="24"/>
          <w:highlight w:val="none"/>
          <w:u w:val="single"/>
        </w:rPr>
      </w:pPr>
      <w:r>
        <w:rPr>
          <w:rFonts w:hint="eastAsia"/>
          <w:sz w:val="24"/>
          <w:highlight w:val="none"/>
        </w:rPr>
        <w:t>不含税金额</w:t>
      </w:r>
      <w:r>
        <w:rPr>
          <w:rFonts w:hint="eastAsia"/>
          <w:sz w:val="24"/>
          <w:highlight w:val="none"/>
          <w:u w:val="none"/>
        </w:rPr>
        <w:t>为</w:t>
      </w:r>
      <w:r>
        <w:rPr>
          <w:rFonts w:hint="eastAsia"/>
          <w:sz w:val="24"/>
          <w:highlight w:val="none"/>
          <w:u w:val="single"/>
        </w:rPr>
        <w:t xml:space="preserve">    </w:t>
      </w:r>
      <w:r>
        <w:rPr>
          <w:rFonts w:hint="eastAsia"/>
          <w:sz w:val="24"/>
          <w:highlight w:val="none"/>
          <w:u w:val="none"/>
        </w:rPr>
        <w:t>元</w:t>
      </w:r>
      <w:r>
        <w:rPr>
          <w:rFonts w:hint="eastAsia"/>
          <w:sz w:val="24"/>
          <w:highlight w:val="none"/>
        </w:rPr>
        <w:t>，</w:t>
      </w:r>
      <w:r>
        <w:rPr>
          <w:rFonts w:hint="eastAsia"/>
          <w:sz w:val="24"/>
          <w:highlight w:val="none"/>
          <w:lang w:val="en-US"/>
        </w:rPr>
        <w:t>增值税</w:t>
      </w:r>
      <w:r>
        <w:rPr>
          <w:rFonts w:hint="eastAsia"/>
          <w:sz w:val="24"/>
          <w:highlight w:val="none"/>
        </w:rPr>
        <w:t>为</w:t>
      </w:r>
      <w:r>
        <w:rPr>
          <w:rFonts w:hint="eastAsia"/>
          <w:sz w:val="24"/>
          <w:highlight w:val="none"/>
          <w:u w:val="single"/>
        </w:rPr>
        <w:t xml:space="preserve">   </w:t>
      </w:r>
      <w:r>
        <w:rPr>
          <w:rFonts w:hint="eastAsia"/>
          <w:sz w:val="24"/>
          <w:highlight w:val="none"/>
        </w:rPr>
        <w:t>元。</w:t>
      </w:r>
    </w:p>
    <w:p w14:paraId="09E84C0C">
      <w:pPr>
        <w:widowControl/>
        <w:spacing w:line="360" w:lineRule="auto"/>
        <w:ind w:firstLine="480" w:firstLineChars="200"/>
        <w:rPr>
          <w:b/>
          <w:sz w:val="24"/>
          <w:highlight w:val="none"/>
        </w:rPr>
      </w:pPr>
      <w:r>
        <w:rPr>
          <w:rFonts w:hint="eastAsia"/>
          <w:sz w:val="24"/>
          <w:highlight w:val="none"/>
        </w:rPr>
        <w:t>（其中：工程预留金</w:t>
      </w:r>
      <w:r>
        <w:rPr>
          <w:sz w:val="24"/>
          <w:highlight w:val="none"/>
        </w:rPr>
        <w:t>_</w:t>
      </w:r>
      <w:r>
        <w:rPr>
          <w:rFonts w:hint="eastAsia"/>
          <w:sz w:val="24"/>
          <w:highlight w:val="none"/>
          <w:u w:val="single"/>
        </w:rPr>
        <w:t xml:space="preserve">                </w:t>
      </w:r>
      <w:r>
        <w:rPr>
          <w:rFonts w:hint="eastAsia"/>
          <w:sz w:val="24"/>
          <w:highlight w:val="none"/>
        </w:rPr>
        <w:t>元，零星工作费用</w:t>
      </w:r>
      <w:r>
        <w:rPr>
          <w:rFonts w:hint="eastAsia"/>
          <w:sz w:val="24"/>
          <w:highlight w:val="none"/>
          <w:u w:val="single"/>
        </w:rPr>
        <w:t xml:space="preserve">            </w:t>
      </w:r>
      <w:r>
        <w:rPr>
          <w:rFonts w:hint="eastAsia"/>
          <w:sz w:val="24"/>
          <w:highlight w:val="none"/>
        </w:rPr>
        <w:t>元，安全防护、文明施工措施费</w:t>
      </w:r>
      <w:r>
        <w:rPr>
          <w:sz w:val="24"/>
          <w:highlight w:val="none"/>
          <w:u w:val="single"/>
        </w:rPr>
        <w:t xml:space="preserve"> </w:t>
      </w:r>
      <w:r>
        <w:rPr>
          <w:rFonts w:hint="eastAsia"/>
          <w:sz w:val="24"/>
          <w:highlight w:val="none"/>
          <w:u w:val="single"/>
        </w:rPr>
        <w:t xml:space="preserve">          </w:t>
      </w:r>
      <w:r>
        <w:rPr>
          <w:rFonts w:hint="eastAsia"/>
          <w:sz w:val="24"/>
          <w:highlight w:val="none"/>
        </w:rPr>
        <w:t>元，工程分包和材料购置费</w:t>
      </w:r>
      <w:r>
        <w:rPr>
          <w:rFonts w:hint="eastAsia"/>
          <w:sz w:val="24"/>
          <w:highlight w:val="none"/>
          <w:u w:val="single"/>
        </w:rPr>
        <w:t xml:space="preserve">     </w:t>
      </w:r>
      <w:r>
        <w:rPr>
          <w:rFonts w:hint="eastAsia"/>
          <w:sz w:val="24"/>
          <w:highlight w:val="none"/>
        </w:rPr>
        <w:t>元，总承包服务费</w:t>
      </w:r>
      <w:r>
        <w:rPr>
          <w:rFonts w:hint="eastAsia"/>
          <w:sz w:val="24"/>
          <w:highlight w:val="none"/>
          <w:u w:val="single"/>
        </w:rPr>
        <w:t xml:space="preserve">   </w:t>
      </w:r>
      <w:r>
        <w:rPr>
          <w:rFonts w:hint="eastAsia"/>
          <w:sz w:val="24"/>
          <w:highlight w:val="none"/>
        </w:rPr>
        <w:t>元。</w:t>
      </w:r>
      <w:r>
        <w:rPr>
          <w:sz w:val="24"/>
          <w:highlight w:val="none"/>
        </w:rPr>
        <w:t>)</w:t>
      </w:r>
    </w:p>
    <w:p w14:paraId="5D04CC90">
      <w:pPr>
        <w:widowControl/>
        <w:spacing w:line="360" w:lineRule="auto"/>
        <w:ind w:firstLine="480" w:firstLineChars="200"/>
        <w:rPr>
          <w:b/>
          <w:sz w:val="24"/>
          <w:highlight w:val="none"/>
        </w:rPr>
      </w:pPr>
      <w:r>
        <w:rPr>
          <w:sz w:val="24"/>
          <w:highlight w:val="none"/>
        </w:rPr>
        <w:t>2</w:t>
      </w:r>
      <w:r>
        <w:rPr>
          <w:rFonts w:hint="eastAsia"/>
          <w:sz w:val="24"/>
          <w:highlight w:val="none"/>
        </w:rPr>
        <w:t>、综合单价：详见承包人的报价书。</w:t>
      </w:r>
    </w:p>
    <w:p w14:paraId="072A32F6">
      <w:pPr>
        <w:widowControl/>
        <w:spacing w:line="360" w:lineRule="auto"/>
        <w:ind w:firstLine="480" w:firstLineChars="200"/>
        <w:rPr>
          <w:b/>
          <w:sz w:val="24"/>
          <w:highlight w:val="none"/>
        </w:rPr>
      </w:pPr>
      <w:r>
        <w:rPr>
          <w:rFonts w:hint="eastAsia"/>
          <w:sz w:val="24"/>
          <w:highlight w:val="none"/>
        </w:rPr>
        <w:t>六、组成合同的文件</w:t>
      </w:r>
    </w:p>
    <w:p w14:paraId="2F9AF72A">
      <w:pPr>
        <w:widowControl/>
        <w:spacing w:line="360" w:lineRule="auto"/>
        <w:ind w:firstLine="480" w:firstLineChars="200"/>
        <w:rPr>
          <w:b/>
          <w:sz w:val="24"/>
          <w:highlight w:val="none"/>
        </w:rPr>
      </w:pPr>
      <w:r>
        <w:rPr>
          <w:rFonts w:hint="eastAsia"/>
          <w:sz w:val="24"/>
          <w:highlight w:val="none"/>
        </w:rPr>
        <w:t>组成本合同的文件包括：</w:t>
      </w:r>
    </w:p>
    <w:p w14:paraId="1721E0F7">
      <w:pPr>
        <w:widowControl/>
        <w:spacing w:line="360" w:lineRule="auto"/>
        <w:ind w:firstLine="480" w:firstLineChars="200"/>
        <w:rPr>
          <w:b/>
          <w:sz w:val="24"/>
          <w:highlight w:val="none"/>
        </w:rPr>
      </w:pPr>
      <w:r>
        <w:rPr>
          <w:sz w:val="24"/>
          <w:highlight w:val="none"/>
        </w:rPr>
        <w:t>1</w:t>
      </w:r>
      <w:r>
        <w:rPr>
          <w:rFonts w:hint="eastAsia"/>
          <w:sz w:val="24"/>
          <w:highlight w:val="none"/>
        </w:rPr>
        <w:t>、本合同协议书</w:t>
      </w:r>
    </w:p>
    <w:p w14:paraId="51F089AE">
      <w:pPr>
        <w:widowControl/>
        <w:spacing w:line="360" w:lineRule="auto"/>
        <w:ind w:firstLine="480" w:firstLineChars="200"/>
        <w:rPr>
          <w:b/>
          <w:sz w:val="24"/>
          <w:highlight w:val="none"/>
        </w:rPr>
      </w:pPr>
      <w:r>
        <w:rPr>
          <w:sz w:val="24"/>
          <w:highlight w:val="none"/>
        </w:rPr>
        <w:t>2</w:t>
      </w:r>
      <w:r>
        <w:rPr>
          <w:rFonts w:hint="eastAsia"/>
          <w:sz w:val="24"/>
          <w:highlight w:val="none"/>
        </w:rPr>
        <w:t>、本合同专用条款</w:t>
      </w:r>
    </w:p>
    <w:p w14:paraId="3CD58C56">
      <w:pPr>
        <w:widowControl/>
        <w:spacing w:line="360" w:lineRule="auto"/>
        <w:ind w:firstLine="480" w:firstLineChars="200"/>
        <w:rPr>
          <w:b/>
          <w:bCs/>
          <w:sz w:val="24"/>
          <w:highlight w:val="none"/>
        </w:rPr>
      </w:pPr>
      <w:r>
        <w:rPr>
          <w:sz w:val="24"/>
          <w:highlight w:val="none"/>
        </w:rPr>
        <w:t>3</w:t>
      </w:r>
      <w:r>
        <w:rPr>
          <w:rFonts w:hint="eastAsia"/>
          <w:sz w:val="24"/>
          <w:highlight w:val="none"/>
        </w:rPr>
        <w:t>、本合同通用条款</w:t>
      </w:r>
    </w:p>
    <w:p w14:paraId="2808E0AB">
      <w:pPr>
        <w:widowControl/>
        <w:spacing w:line="360" w:lineRule="auto"/>
        <w:ind w:firstLine="480" w:firstLineChars="200"/>
        <w:rPr>
          <w:b/>
          <w:sz w:val="24"/>
          <w:highlight w:val="none"/>
        </w:rPr>
      </w:pPr>
      <w:r>
        <w:rPr>
          <w:sz w:val="24"/>
          <w:highlight w:val="none"/>
        </w:rPr>
        <w:t>4</w:t>
      </w:r>
      <w:r>
        <w:rPr>
          <w:rFonts w:hint="eastAsia"/>
          <w:sz w:val="24"/>
          <w:highlight w:val="none"/>
        </w:rPr>
        <w:t>、中标通知书</w:t>
      </w:r>
    </w:p>
    <w:p w14:paraId="74A08F19">
      <w:pPr>
        <w:widowControl/>
        <w:spacing w:line="360" w:lineRule="auto"/>
        <w:ind w:firstLine="480" w:firstLineChars="200"/>
        <w:rPr>
          <w:b/>
          <w:sz w:val="24"/>
          <w:highlight w:val="none"/>
        </w:rPr>
      </w:pPr>
      <w:r>
        <w:rPr>
          <w:sz w:val="24"/>
          <w:highlight w:val="none"/>
        </w:rPr>
        <w:t>5</w:t>
      </w:r>
      <w:r>
        <w:rPr>
          <w:rFonts w:hint="eastAsia"/>
          <w:sz w:val="24"/>
          <w:highlight w:val="none"/>
        </w:rPr>
        <w:t>、投标书、工程报价单或预算书及其附件</w:t>
      </w:r>
    </w:p>
    <w:p w14:paraId="6907ACDD">
      <w:pPr>
        <w:widowControl/>
        <w:spacing w:line="360" w:lineRule="auto"/>
        <w:ind w:firstLine="480" w:firstLineChars="200"/>
        <w:rPr>
          <w:b/>
          <w:sz w:val="24"/>
          <w:highlight w:val="none"/>
        </w:rPr>
      </w:pPr>
      <w:r>
        <w:rPr>
          <w:sz w:val="24"/>
          <w:highlight w:val="none"/>
        </w:rPr>
        <w:t>6</w:t>
      </w:r>
      <w:r>
        <w:rPr>
          <w:rFonts w:hint="eastAsia"/>
          <w:sz w:val="24"/>
          <w:highlight w:val="none"/>
        </w:rPr>
        <w:t>、招标文件、答疑纪要及工程量清单</w:t>
      </w:r>
    </w:p>
    <w:p w14:paraId="2E86356B">
      <w:pPr>
        <w:widowControl/>
        <w:spacing w:line="360" w:lineRule="auto"/>
        <w:ind w:firstLine="480" w:firstLineChars="200"/>
        <w:rPr>
          <w:b/>
          <w:sz w:val="24"/>
          <w:highlight w:val="none"/>
        </w:rPr>
      </w:pPr>
      <w:r>
        <w:rPr>
          <w:sz w:val="24"/>
          <w:highlight w:val="none"/>
        </w:rPr>
        <w:t>7</w:t>
      </w:r>
      <w:r>
        <w:rPr>
          <w:rFonts w:hint="eastAsia"/>
          <w:sz w:val="24"/>
          <w:highlight w:val="none"/>
        </w:rPr>
        <w:t>、图纸</w:t>
      </w:r>
    </w:p>
    <w:p w14:paraId="72F186B6">
      <w:pPr>
        <w:widowControl/>
        <w:spacing w:line="360" w:lineRule="auto"/>
        <w:ind w:firstLine="480" w:firstLineChars="200"/>
        <w:rPr>
          <w:b/>
          <w:sz w:val="24"/>
          <w:highlight w:val="none"/>
        </w:rPr>
      </w:pPr>
      <w:r>
        <w:rPr>
          <w:sz w:val="24"/>
          <w:highlight w:val="none"/>
        </w:rPr>
        <w:t>8</w:t>
      </w:r>
      <w:r>
        <w:rPr>
          <w:rFonts w:hint="eastAsia"/>
          <w:sz w:val="24"/>
          <w:highlight w:val="none"/>
        </w:rPr>
        <w:t>、标准、规范及有关技术文件</w:t>
      </w:r>
    </w:p>
    <w:p w14:paraId="78E04F4B">
      <w:pPr>
        <w:widowControl/>
        <w:spacing w:line="360" w:lineRule="auto"/>
        <w:ind w:firstLine="480" w:firstLineChars="200"/>
        <w:rPr>
          <w:b/>
          <w:sz w:val="24"/>
          <w:highlight w:val="none"/>
        </w:rPr>
      </w:pPr>
      <w:r>
        <w:rPr>
          <w:rFonts w:hint="eastAsia"/>
          <w:sz w:val="24"/>
          <w:highlight w:val="none"/>
        </w:rPr>
        <w:t>双方为履行本合同的有关洽商、变更等书面协议、文件，视为本合同的组成部分。</w:t>
      </w:r>
    </w:p>
    <w:p w14:paraId="7F4E5CE6">
      <w:pPr>
        <w:widowControl/>
        <w:spacing w:line="360" w:lineRule="auto"/>
        <w:ind w:firstLine="480" w:firstLineChars="200"/>
        <w:rPr>
          <w:b/>
          <w:sz w:val="24"/>
          <w:highlight w:val="none"/>
        </w:rPr>
      </w:pPr>
      <w:r>
        <w:rPr>
          <w:rFonts w:hint="eastAsia"/>
          <w:sz w:val="24"/>
          <w:highlight w:val="none"/>
        </w:rPr>
        <w:t xml:space="preserve">七、本协议书中有关词语含义与本合同第二部分《通用条款》中赋予的定义相同。    </w:t>
      </w:r>
    </w:p>
    <w:p w14:paraId="70A9F3E4">
      <w:pPr>
        <w:widowControl/>
        <w:spacing w:line="360" w:lineRule="auto"/>
        <w:ind w:firstLine="480" w:firstLineChars="200"/>
        <w:rPr>
          <w:b/>
          <w:sz w:val="24"/>
          <w:highlight w:val="none"/>
        </w:rPr>
      </w:pPr>
      <w:r>
        <w:rPr>
          <w:rFonts w:hint="eastAsia"/>
          <w:sz w:val="24"/>
          <w:highlight w:val="none"/>
        </w:rPr>
        <w:t>八、承包人按照合同约定进行施工、竣工并在质量保修期内承担工程质量保修责任。</w:t>
      </w:r>
    </w:p>
    <w:p w14:paraId="410B8123">
      <w:pPr>
        <w:widowControl/>
        <w:spacing w:line="360" w:lineRule="auto"/>
        <w:ind w:right="-350" w:rightChars="-159" w:firstLine="480" w:firstLineChars="200"/>
        <w:rPr>
          <w:b/>
          <w:sz w:val="24"/>
          <w:highlight w:val="none"/>
        </w:rPr>
      </w:pPr>
      <w:r>
        <w:rPr>
          <w:rFonts w:hint="eastAsia"/>
          <w:sz w:val="24"/>
          <w:highlight w:val="none"/>
        </w:rPr>
        <w:t xml:space="preserve">九、发包人按照合同约定的期限和方式支付合同价款及其他应当支付的款项。   </w:t>
      </w:r>
    </w:p>
    <w:p w14:paraId="162DD5FB">
      <w:pPr>
        <w:widowControl/>
        <w:spacing w:line="360" w:lineRule="auto"/>
        <w:ind w:firstLine="480" w:firstLineChars="200"/>
        <w:rPr>
          <w:b/>
          <w:sz w:val="24"/>
          <w:highlight w:val="none"/>
        </w:rPr>
      </w:pPr>
      <w:r>
        <w:rPr>
          <w:rFonts w:hint="eastAsia"/>
          <w:sz w:val="24"/>
          <w:highlight w:val="none"/>
        </w:rPr>
        <w:t>十、合同生效</w:t>
      </w:r>
    </w:p>
    <w:p w14:paraId="106C3323">
      <w:pPr>
        <w:widowControl/>
        <w:spacing w:line="360" w:lineRule="auto"/>
        <w:ind w:firstLine="480" w:firstLineChars="200"/>
        <w:rPr>
          <w:b/>
          <w:sz w:val="24"/>
          <w:highlight w:val="none"/>
        </w:rPr>
      </w:pPr>
      <w:r>
        <w:rPr>
          <w:rFonts w:hint="eastAsia"/>
          <w:sz w:val="24"/>
          <w:highlight w:val="none"/>
        </w:rPr>
        <w:t>合同订立时间：</w:t>
      </w:r>
      <w:r>
        <w:rPr>
          <w:sz w:val="24"/>
          <w:highlight w:val="none"/>
        </w:rPr>
        <w:t>________</w:t>
      </w:r>
      <w:r>
        <w:rPr>
          <w:rFonts w:hint="eastAsia"/>
          <w:sz w:val="24"/>
          <w:highlight w:val="none"/>
        </w:rPr>
        <w:t>年</w:t>
      </w:r>
      <w:r>
        <w:rPr>
          <w:sz w:val="24"/>
          <w:highlight w:val="none"/>
        </w:rPr>
        <w:t>__________</w:t>
      </w:r>
      <w:r>
        <w:rPr>
          <w:rFonts w:hint="eastAsia"/>
          <w:sz w:val="24"/>
          <w:highlight w:val="none"/>
        </w:rPr>
        <w:t>月</w:t>
      </w:r>
      <w:r>
        <w:rPr>
          <w:sz w:val="24"/>
          <w:highlight w:val="none"/>
        </w:rPr>
        <w:t>__________</w:t>
      </w:r>
      <w:r>
        <w:rPr>
          <w:rFonts w:hint="eastAsia"/>
          <w:sz w:val="24"/>
          <w:highlight w:val="none"/>
        </w:rPr>
        <w:t>日</w:t>
      </w:r>
    </w:p>
    <w:p w14:paraId="76EBF16F">
      <w:pPr>
        <w:widowControl/>
        <w:spacing w:line="360" w:lineRule="auto"/>
        <w:ind w:firstLine="480" w:firstLineChars="200"/>
        <w:rPr>
          <w:b/>
          <w:sz w:val="24"/>
          <w:highlight w:val="none"/>
        </w:rPr>
      </w:pPr>
      <w:r>
        <w:rPr>
          <w:rFonts w:hint="eastAsia"/>
          <w:sz w:val="24"/>
          <w:highlight w:val="none"/>
        </w:rPr>
        <w:t>合同订立地点：</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p w14:paraId="06E5D7AF">
      <w:pPr>
        <w:widowControl/>
        <w:spacing w:line="360" w:lineRule="auto"/>
        <w:ind w:firstLine="480" w:firstLineChars="200"/>
        <w:rPr>
          <w:b/>
          <w:sz w:val="24"/>
          <w:highlight w:val="none"/>
        </w:rPr>
      </w:pPr>
      <w:r>
        <w:rPr>
          <w:rFonts w:hint="eastAsia"/>
          <w:sz w:val="24"/>
          <w:highlight w:val="none"/>
        </w:rPr>
        <w:t>本合同双方约定</w:t>
      </w:r>
      <w:r>
        <w:rPr>
          <w:sz w:val="24"/>
          <w:highlight w:val="none"/>
          <w:u w:val="single"/>
        </w:rPr>
        <w:t xml:space="preserve">  </w:t>
      </w:r>
      <w:r>
        <w:rPr>
          <w:rFonts w:hint="eastAsia"/>
          <w:sz w:val="24"/>
          <w:highlight w:val="none"/>
          <w:u w:val="single"/>
        </w:rPr>
        <w:t>签字或盖章</w:t>
      </w:r>
      <w:r>
        <w:rPr>
          <w:sz w:val="24"/>
          <w:highlight w:val="none"/>
          <w:u w:val="single"/>
        </w:rPr>
        <w:t xml:space="preserve">  </w:t>
      </w:r>
      <w:r>
        <w:rPr>
          <w:rFonts w:hint="eastAsia"/>
          <w:sz w:val="24"/>
          <w:highlight w:val="none"/>
        </w:rPr>
        <w:t>后生效。</w:t>
      </w:r>
    </w:p>
    <w:p w14:paraId="1C99DDCC">
      <w:pPr>
        <w:widowControl/>
        <w:spacing w:line="360" w:lineRule="auto"/>
        <w:ind w:firstLine="482" w:firstLineChars="200"/>
        <w:rPr>
          <w:b/>
          <w:sz w:val="24"/>
          <w:highlight w:val="none"/>
        </w:rPr>
      </w:pPr>
    </w:p>
    <w:p w14:paraId="2EE9959F">
      <w:pPr>
        <w:widowControl/>
        <w:spacing w:line="360" w:lineRule="auto"/>
        <w:ind w:firstLine="482" w:firstLineChars="200"/>
        <w:rPr>
          <w:b/>
          <w:sz w:val="24"/>
          <w:highlight w:val="none"/>
        </w:rPr>
      </w:pPr>
    </w:p>
    <w:p w14:paraId="09F8EDAA">
      <w:pPr>
        <w:widowControl/>
        <w:spacing w:line="360" w:lineRule="auto"/>
        <w:ind w:left="502" w:leftChars="228" w:right="-449" w:rightChars="-204" w:firstLine="1"/>
        <w:rPr>
          <w:b/>
          <w:sz w:val="24"/>
          <w:highlight w:val="none"/>
        </w:rPr>
      </w:pPr>
      <w:r>
        <w:rPr>
          <w:rFonts w:hint="eastAsia"/>
          <w:sz w:val="24"/>
          <w:highlight w:val="none"/>
        </w:rPr>
        <w:t>发包人：</w:t>
      </w:r>
      <w:r>
        <w:rPr>
          <w:rFonts w:hint="eastAsia"/>
          <w:sz w:val="24"/>
          <w:highlight w:val="none"/>
          <w:u w:val="single"/>
        </w:rPr>
        <w:t xml:space="preserve">                     </w:t>
      </w:r>
      <w:r>
        <w:rPr>
          <w:rFonts w:hint="eastAsia"/>
          <w:sz w:val="24"/>
          <w:highlight w:val="none"/>
        </w:rPr>
        <w:t xml:space="preserve">       承包人：</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r>
        <w:rPr>
          <w:rFonts w:hint="eastAsia"/>
          <w:sz w:val="24"/>
          <w:highlight w:val="none"/>
        </w:rPr>
        <w:t xml:space="preserve">                  </w:t>
      </w:r>
    </w:p>
    <w:p w14:paraId="4DDE6DA6">
      <w:pPr>
        <w:widowControl/>
        <w:spacing w:line="360" w:lineRule="auto"/>
        <w:ind w:firstLine="480" w:firstLineChars="200"/>
        <w:rPr>
          <w:b/>
          <w:sz w:val="24"/>
          <w:highlight w:val="none"/>
          <w:u w:val="single"/>
        </w:rPr>
      </w:pPr>
      <w:r>
        <w:rPr>
          <w:rFonts w:hint="eastAsia"/>
          <w:sz w:val="24"/>
          <w:highlight w:val="none"/>
        </w:rPr>
        <w:t>地址：</w:t>
      </w:r>
      <w:r>
        <w:rPr>
          <w:rFonts w:hint="eastAsia"/>
          <w:sz w:val="24"/>
          <w:highlight w:val="none"/>
          <w:u w:val="single"/>
          <w:lang w:val="en-US" w:eastAsia="zh-CN"/>
        </w:rPr>
        <w:t xml:space="preserve">                 </w:t>
      </w:r>
      <w:r>
        <w:rPr>
          <w:sz w:val="24"/>
          <w:highlight w:val="none"/>
        </w:rPr>
        <w:t xml:space="preserve">         </w:t>
      </w:r>
      <w:r>
        <w:rPr>
          <w:rFonts w:hint="eastAsia"/>
          <w:sz w:val="24"/>
          <w:highlight w:val="none"/>
        </w:rPr>
        <w:t xml:space="preserve">    地址：</w:t>
      </w:r>
      <w:r>
        <w:rPr>
          <w:rFonts w:hint="eastAsia"/>
          <w:sz w:val="24"/>
          <w:highlight w:val="none"/>
          <w:u w:val="single"/>
          <w:lang w:val="en-US" w:eastAsia="zh-CN"/>
        </w:rPr>
        <w:t xml:space="preserve">                 </w:t>
      </w:r>
      <w:r>
        <w:rPr>
          <w:rFonts w:hint="eastAsia"/>
          <w:sz w:val="24"/>
          <w:highlight w:val="none"/>
          <w:u w:val="single"/>
        </w:rPr>
        <w:t xml:space="preserve">    </w:t>
      </w:r>
    </w:p>
    <w:p w14:paraId="11BE9E90">
      <w:pPr>
        <w:widowControl/>
        <w:spacing w:line="360" w:lineRule="auto"/>
        <w:ind w:firstLine="480" w:firstLineChars="200"/>
        <w:rPr>
          <w:rFonts w:hint="default" w:eastAsia="宋体"/>
          <w:b/>
          <w:sz w:val="24"/>
          <w:highlight w:val="none"/>
          <w:u w:val="none"/>
          <w:lang w:val="en-US" w:eastAsia="zh-CN"/>
        </w:rPr>
      </w:pPr>
      <w:r>
        <w:rPr>
          <w:rFonts w:hint="eastAsia"/>
          <w:sz w:val="24"/>
          <w:highlight w:val="none"/>
        </w:rPr>
        <w:t>邮政编码：</w:t>
      </w:r>
      <w:r>
        <w:rPr>
          <w:rFonts w:hint="eastAsia"/>
          <w:sz w:val="24"/>
          <w:highlight w:val="none"/>
          <w:u w:val="single"/>
          <w:lang w:val="en-US" w:eastAsia="zh-CN"/>
        </w:rPr>
        <w:t xml:space="preserve">                 </w:t>
      </w:r>
      <w:r>
        <w:rPr>
          <w:sz w:val="24"/>
          <w:highlight w:val="none"/>
        </w:rPr>
        <w:t xml:space="preserve">        </w:t>
      </w:r>
      <w:r>
        <w:rPr>
          <w:rFonts w:hint="eastAsia"/>
          <w:sz w:val="24"/>
          <w:highlight w:val="none"/>
        </w:rPr>
        <w:t xml:space="preserve">    邮政编码：</w:t>
      </w:r>
      <w:r>
        <w:rPr>
          <w:rFonts w:hint="eastAsia"/>
          <w:sz w:val="24"/>
          <w:highlight w:val="none"/>
          <w:u w:val="single"/>
          <w:lang w:val="en-US" w:eastAsia="zh-CN"/>
        </w:rPr>
        <w:t xml:space="preserve">               </w:t>
      </w:r>
    </w:p>
    <w:p w14:paraId="47A02CCA">
      <w:pPr>
        <w:widowControl/>
        <w:spacing w:line="360" w:lineRule="auto"/>
        <w:ind w:firstLine="480" w:firstLineChars="200"/>
        <w:rPr>
          <w:rFonts w:hint="default" w:eastAsia="宋体"/>
          <w:b/>
          <w:sz w:val="24"/>
          <w:highlight w:val="none"/>
          <w:u w:val="single"/>
          <w:lang w:val="en-US" w:eastAsia="zh-CN"/>
        </w:rPr>
      </w:pPr>
      <w:r>
        <w:rPr>
          <w:rFonts w:hint="eastAsia"/>
          <w:sz w:val="24"/>
          <w:highlight w:val="none"/>
        </w:rPr>
        <w:t>法定代表人：</w:t>
      </w:r>
      <w:r>
        <w:rPr>
          <w:rFonts w:hint="eastAsia"/>
          <w:sz w:val="24"/>
          <w:highlight w:val="none"/>
          <w:u w:val="single"/>
          <w:lang w:val="en-US" w:eastAsia="zh-CN"/>
        </w:rPr>
        <w:t xml:space="preserve">                 </w:t>
      </w:r>
      <w:r>
        <w:rPr>
          <w:sz w:val="24"/>
          <w:highlight w:val="none"/>
        </w:rPr>
        <w:t xml:space="preserve">        </w:t>
      </w:r>
      <w:r>
        <w:rPr>
          <w:rFonts w:hint="eastAsia"/>
          <w:sz w:val="24"/>
          <w:highlight w:val="none"/>
        </w:rPr>
        <w:t xml:space="preserve">    法定代表人：</w:t>
      </w:r>
      <w:r>
        <w:rPr>
          <w:rFonts w:hint="eastAsia"/>
          <w:sz w:val="24"/>
          <w:highlight w:val="none"/>
          <w:u w:val="single"/>
          <w:lang w:val="en-US" w:eastAsia="zh-CN"/>
        </w:rPr>
        <w:t xml:space="preserve">             </w:t>
      </w:r>
    </w:p>
    <w:p w14:paraId="48CA4294">
      <w:pPr>
        <w:widowControl/>
        <w:spacing w:line="360" w:lineRule="auto"/>
        <w:ind w:firstLine="480" w:firstLineChars="200"/>
        <w:rPr>
          <w:rFonts w:hint="default" w:eastAsia="宋体"/>
          <w:b/>
          <w:sz w:val="24"/>
          <w:highlight w:val="none"/>
          <w:lang w:val="en-US" w:eastAsia="zh-CN"/>
        </w:rPr>
      </w:pPr>
      <w:r>
        <w:rPr>
          <w:rFonts w:hint="eastAsia"/>
          <w:sz w:val="24"/>
          <w:highlight w:val="none"/>
        </w:rPr>
        <w:t>委托代理人：</w:t>
      </w:r>
      <w:r>
        <w:rPr>
          <w:rFonts w:hint="eastAsia"/>
          <w:sz w:val="24"/>
          <w:highlight w:val="none"/>
          <w:u w:val="single"/>
          <w:lang w:val="en-US" w:eastAsia="zh-CN"/>
        </w:rPr>
        <w:t xml:space="preserve">                 </w:t>
      </w:r>
      <w:r>
        <w:rPr>
          <w:sz w:val="24"/>
          <w:highlight w:val="none"/>
        </w:rPr>
        <w:t xml:space="preserve">         </w:t>
      </w:r>
      <w:r>
        <w:rPr>
          <w:rFonts w:hint="eastAsia"/>
          <w:sz w:val="24"/>
          <w:highlight w:val="none"/>
        </w:rPr>
        <w:t xml:space="preserve">     委托代理人：</w:t>
      </w:r>
      <w:r>
        <w:rPr>
          <w:rFonts w:hint="eastAsia"/>
          <w:sz w:val="24"/>
          <w:highlight w:val="none"/>
          <w:u w:val="single"/>
          <w:lang w:val="en-US" w:eastAsia="zh-CN"/>
        </w:rPr>
        <w:t xml:space="preserve">             </w:t>
      </w:r>
    </w:p>
    <w:p w14:paraId="088F882C">
      <w:pPr>
        <w:widowControl/>
        <w:spacing w:line="360" w:lineRule="auto"/>
        <w:ind w:firstLine="480" w:firstLineChars="200"/>
        <w:rPr>
          <w:rFonts w:hint="default"/>
          <w:b/>
          <w:sz w:val="24"/>
          <w:highlight w:val="none"/>
          <w:lang w:val="en-US"/>
        </w:rPr>
      </w:pPr>
      <w:r>
        <w:rPr>
          <w:rFonts w:hint="eastAsia"/>
          <w:sz w:val="24"/>
          <w:highlight w:val="none"/>
        </w:rPr>
        <w:t>电话：</w:t>
      </w:r>
      <w:r>
        <w:rPr>
          <w:rFonts w:hint="eastAsia"/>
          <w:sz w:val="24"/>
          <w:highlight w:val="none"/>
          <w:u w:val="single"/>
          <w:lang w:val="en-US" w:eastAsia="zh-CN"/>
        </w:rPr>
        <w:t xml:space="preserve">                 </w:t>
      </w:r>
      <w:r>
        <w:rPr>
          <w:sz w:val="24"/>
          <w:highlight w:val="none"/>
        </w:rPr>
        <w:t xml:space="preserve">           </w:t>
      </w:r>
      <w:r>
        <w:rPr>
          <w:rFonts w:hint="eastAsia"/>
          <w:sz w:val="24"/>
          <w:highlight w:val="none"/>
        </w:rPr>
        <w:t xml:space="preserve">    电话：</w:t>
      </w:r>
      <w:r>
        <w:rPr>
          <w:rFonts w:hint="eastAsia"/>
          <w:sz w:val="24"/>
          <w:highlight w:val="none"/>
          <w:u w:val="single"/>
          <w:lang w:val="en-US" w:eastAsia="zh-CN"/>
        </w:rPr>
        <w:t xml:space="preserve">                 </w:t>
      </w:r>
    </w:p>
    <w:p w14:paraId="66FAA3ED">
      <w:pPr>
        <w:widowControl/>
        <w:spacing w:line="360" w:lineRule="auto"/>
        <w:ind w:firstLine="480" w:firstLineChars="200"/>
        <w:rPr>
          <w:b/>
          <w:sz w:val="24"/>
          <w:highlight w:val="none"/>
        </w:rPr>
      </w:pPr>
      <w:r>
        <w:rPr>
          <w:rFonts w:hint="eastAsia"/>
          <w:sz w:val="24"/>
          <w:highlight w:val="none"/>
        </w:rPr>
        <w:t>传真：</w:t>
      </w:r>
      <w:r>
        <w:rPr>
          <w:rFonts w:hint="eastAsia"/>
          <w:sz w:val="24"/>
          <w:highlight w:val="none"/>
          <w:u w:val="single"/>
          <w:lang w:val="en-US" w:eastAsia="zh-CN"/>
        </w:rPr>
        <w:t xml:space="preserve">                 </w:t>
      </w:r>
      <w:r>
        <w:rPr>
          <w:sz w:val="24"/>
          <w:highlight w:val="none"/>
        </w:rPr>
        <w:t xml:space="preserve">          </w:t>
      </w:r>
      <w:r>
        <w:rPr>
          <w:rFonts w:hint="eastAsia"/>
          <w:sz w:val="24"/>
          <w:highlight w:val="none"/>
        </w:rPr>
        <w:t xml:space="preserve">    传真：</w:t>
      </w:r>
      <w:r>
        <w:rPr>
          <w:rFonts w:hint="eastAsia"/>
          <w:sz w:val="24"/>
          <w:highlight w:val="none"/>
          <w:u w:val="single"/>
          <w:lang w:val="en-US" w:eastAsia="zh-CN"/>
        </w:rPr>
        <w:t xml:space="preserve">                 </w:t>
      </w:r>
    </w:p>
    <w:p w14:paraId="081CD22D">
      <w:pPr>
        <w:widowControl/>
        <w:spacing w:line="360" w:lineRule="auto"/>
        <w:ind w:firstLine="480" w:firstLineChars="200"/>
        <w:rPr>
          <w:b/>
          <w:sz w:val="24"/>
          <w:highlight w:val="none"/>
        </w:rPr>
      </w:pPr>
      <w:r>
        <w:rPr>
          <w:rFonts w:hint="eastAsia"/>
          <w:sz w:val="24"/>
          <w:highlight w:val="none"/>
        </w:rPr>
        <w:t>开户银行：</w:t>
      </w:r>
      <w:r>
        <w:rPr>
          <w:rFonts w:hint="eastAsia"/>
          <w:sz w:val="24"/>
          <w:highlight w:val="none"/>
          <w:u w:val="single"/>
          <w:lang w:val="en-US" w:eastAsia="zh-CN"/>
        </w:rPr>
        <w:t xml:space="preserve">                 </w:t>
      </w:r>
      <w:r>
        <w:rPr>
          <w:sz w:val="24"/>
          <w:highlight w:val="none"/>
        </w:rPr>
        <w:t xml:space="preserve">       </w:t>
      </w:r>
      <w:r>
        <w:rPr>
          <w:rFonts w:hint="eastAsia"/>
          <w:sz w:val="24"/>
          <w:highlight w:val="none"/>
        </w:rPr>
        <w:t xml:space="preserve">    开户银行：</w:t>
      </w:r>
      <w:r>
        <w:rPr>
          <w:rFonts w:hint="eastAsia"/>
          <w:sz w:val="24"/>
          <w:highlight w:val="none"/>
          <w:u w:val="single"/>
          <w:lang w:val="en-US" w:eastAsia="zh-CN"/>
        </w:rPr>
        <w:t xml:space="preserve">                 </w:t>
      </w:r>
    </w:p>
    <w:p w14:paraId="7BF2C0B9">
      <w:pPr>
        <w:widowControl/>
        <w:spacing w:line="360" w:lineRule="auto"/>
        <w:ind w:firstLine="480" w:firstLineChars="200"/>
        <w:rPr>
          <w:rFonts w:hint="default"/>
          <w:b/>
          <w:sz w:val="24"/>
          <w:highlight w:val="none"/>
          <w:lang w:val="en-US"/>
        </w:rPr>
      </w:pPr>
      <w:r>
        <w:rPr>
          <w:rFonts w:hint="eastAsia"/>
          <w:sz w:val="24"/>
          <w:highlight w:val="none"/>
        </w:rPr>
        <w:t>帐号：</w:t>
      </w:r>
      <w:r>
        <w:rPr>
          <w:rFonts w:hint="eastAsia"/>
          <w:sz w:val="24"/>
          <w:highlight w:val="none"/>
          <w:u w:val="single"/>
          <w:lang w:val="en-US" w:eastAsia="zh-CN"/>
        </w:rPr>
        <w:t xml:space="preserve">                 </w:t>
      </w:r>
      <w:r>
        <w:rPr>
          <w:sz w:val="24"/>
          <w:highlight w:val="none"/>
        </w:rPr>
        <w:t xml:space="preserve">         </w:t>
      </w:r>
      <w:r>
        <w:rPr>
          <w:rFonts w:hint="eastAsia"/>
          <w:sz w:val="24"/>
          <w:highlight w:val="none"/>
        </w:rPr>
        <w:t xml:space="preserve">    帐号：</w:t>
      </w:r>
      <w:r>
        <w:rPr>
          <w:rFonts w:hint="eastAsia"/>
          <w:sz w:val="24"/>
          <w:highlight w:val="none"/>
          <w:u w:val="single"/>
          <w:lang w:val="en-US" w:eastAsia="zh-CN"/>
        </w:rPr>
        <w:t xml:space="preserve">                    </w:t>
      </w:r>
    </w:p>
    <w:p w14:paraId="54179339">
      <w:pPr>
        <w:widowControl/>
        <w:rPr>
          <w:b/>
          <w:highlight w:val="none"/>
        </w:rPr>
      </w:pPr>
      <w:r>
        <w:rPr>
          <w:highlight w:val="none"/>
        </w:rPr>
        <w:br w:type="page"/>
      </w:r>
    </w:p>
    <w:p w14:paraId="35D5C8CB">
      <w:pPr>
        <w:keepNext/>
        <w:keepLines/>
        <w:spacing w:before="260" w:after="260" w:line="416" w:lineRule="auto"/>
        <w:jc w:val="center"/>
        <w:outlineLvl w:val="1"/>
        <w:rPr>
          <w:bCs/>
          <w:sz w:val="32"/>
          <w:szCs w:val="32"/>
          <w:highlight w:val="none"/>
        </w:rPr>
      </w:pPr>
      <w:r>
        <w:rPr>
          <w:rFonts w:hint="eastAsia"/>
          <w:bCs/>
          <w:sz w:val="32"/>
          <w:szCs w:val="32"/>
          <w:highlight w:val="none"/>
        </w:rPr>
        <w:t>第二部分 通用条款</w:t>
      </w:r>
      <w:bookmarkEnd w:id="229"/>
      <w:bookmarkEnd w:id="230"/>
    </w:p>
    <w:p w14:paraId="6793DE49">
      <w:pPr>
        <w:widowControl/>
        <w:spacing w:line="360" w:lineRule="auto"/>
        <w:ind w:firstLine="480" w:firstLineChars="200"/>
        <w:outlineLvl w:val="0"/>
        <w:rPr>
          <w:sz w:val="24"/>
          <w:highlight w:val="none"/>
        </w:rPr>
      </w:pPr>
      <w:bookmarkStart w:id="231" w:name="_Toc385848068"/>
      <w:r>
        <w:rPr>
          <w:rFonts w:hint="eastAsia"/>
          <w:sz w:val="24"/>
          <w:highlight w:val="none"/>
        </w:rPr>
        <w:t>一、词语定义及合同文件</w:t>
      </w:r>
      <w:bookmarkEnd w:id="231"/>
    </w:p>
    <w:p w14:paraId="52272DD9">
      <w:pPr>
        <w:widowControl/>
        <w:spacing w:line="360" w:lineRule="auto"/>
        <w:ind w:firstLine="480" w:firstLineChars="200"/>
        <w:outlineLvl w:val="0"/>
        <w:rPr>
          <w:b/>
          <w:sz w:val="24"/>
          <w:highlight w:val="none"/>
        </w:rPr>
      </w:pPr>
      <w:bookmarkStart w:id="232" w:name="_Toc385848069"/>
      <w:r>
        <w:rPr>
          <w:rFonts w:hint="eastAsia"/>
          <w:sz w:val="24"/>
          <w:highlight w:val="none"/>
        </w:rPr>
        <w:t>１、词语定义</w:t>
      </w:r>
      <w:bookmarkEnd w:id="232"/>
    </w:p>
    <w:p w14:paraId="2450E424">
      <w:pPr>
        <w:widowControl/>
        <w:spacing w:line="360" w:lineRule="auto"/>
        <w:ind w:firstLine="480" w:firstLineChars="200"/>
        <w:rPr>
          <w:b/>
          <w:sz w:val="24"/>
          <w:highlight w:val="none"/>
        </w:rPr>
      </w:pPr>
      <w:r>
        <w:rPr>
          <w:rFonts w:hint="eastAsia"/>
          <w:sz w:val="24"/>
          <w:highlight w:val="none"/>
        </w:rPr>
        <w:t>下列词语除专用条款另有约定外，应具有本条所赋予的定义：</w:t>
      </w:r>
    </w:p>
    <w:p w14:paraId="549EA786">
      <w:pPr>
        <w:widowControl/>
        <w:spacing w:line="360" w:lineRule="auto"/>
        <w:ind w:firstLine="480" w:firstLineChars="200"/>
        <w:rPr>
          <w:b/>
          <w:sz w:val="24"/>
          <w:highlight w:val="none"/>
        </w:rPr>
      </w:pPr>
      <w:r>
        <w:rPr>
          <w:rFonts w:hint="eastAsia"/>
          <w:sz w:val="24"/>
          <w:highlight w:val="none"/>
        </w:rPr>
        <w:t>1.1通用条款：是根据法律、行政法规规定及建设工程施工的需要订立，通用于建设工程施工的条款。</w:t>
      </w:r>
    </w:p>
    <w:p w14:paraId="17045FEC">
      <w:pPr>
        <w:widowControl/>
        <w:spacing w:line="360" w:lineRule="auto"/>
        <w:ind w:firstLine="480" w:firstLineChars="200"/>
        <w:rPr>
          <w:b/>
          <w:sz w:val="24"/>
          <w:highlight w:val="none"/>
        </w:rPr>
      </w:pPr>
      <w:r>
        <w:rPr>
          <w:rFonts w:hint="eastAsia"/>
          <w:sz w:val="24"/>
          <w:highlight w:val="none"/>
        </w:rPr>
        <w:t>1.2专用条款：是发包人与承包人根据法律、行政法规规定，结合具体工程实际，经协商达成一致意见的条款，是对通用条款的具体化、补充或修改。</w:t>
      </w:r>
    </w:p>
    <w:p w14:paraId="58740145">
      <w:pPr>
        <w:widowControl/>
        <w:spacing w:line="360" w:lineRule="auto"/>
        <w:ind w:firstLine="480" w:firstLineChars="200"/>
        <w:rPr>
          <w:b/>
          <w:sz w:val="24"/>
          <w:highlight w:val="none"/>
        </w:rPr>
      </w:pPr>
      <w:r>
        <w:rPr>
          <w:rFonts w:hint="eastAsia"/>
          <w:sz w:val="24"/>
          <w:highlight w:val="none"/>
        </w:rPr>
        <w:t>1.3发包人：指在协议书中约定，具有工程发包主体资格和支付工程价款能力的当事人以及取得该当事人资格的合法继承人。</w:t>
      </w:r>
    </w:p>
    <w:p w14:paraId="4DD8977D">
      <w:pPr>
        <w:widowControl/>
        <w:spacing w:line="360" w:lineRule="auto"/>
        <w:ind w:firstLine="480" w:firstLineChars="200"/>
        <w:rPr>
          <w:b/>
          <w:sz w:val="24"/>
          <w:highlight w:val="none"/>
        </w:rPr>
      </w:pPr>
      <w:r>
        <w:rPr>
          <w:rFonts w:hint="eastAsia"/>
          <w:sz w:val="24"/>
          <w:highlight w:val="none"/>
        </w:rPr>
        <w:t>1.4承包人：指在协议书中约定，被发包人接受的具有工程施工承包主体资格的当事人以及取得该当事人资格的合法继承人。</w:t>
      </w:r>
    </w:p>
    <w:p w14:paraId="0E15F8B4">
      <w:pPr>
        <w:widowControl/>
        <w:spacing w:line="360" w:lineRule="auto"/>
        <w:ind w:firstLine="480" w:firstLineChars="200"/>
        <w:rPr>
          <w:b/>
          <w:sz w:val="24"/>
          <w:highlight w:val="none"/>
        </w:rPr>
      </w:pPr>
      <w:r>
        <w:rPr>
          <w:rFonts w:hint="eastAsia"/>
          <w:sz w:val="24"/>
          <w:highlight w:val="none"/>
        </w:rPr>
        <w:t>1.5项目经理：指承包人在专用条款中指定的具有执业资格的负责施工管理和合同履行的代表。</w:t>
      </w:r>
    </w:p>
    <w:p w14:paraId="525DF434">
      <w:pPr>
        <w:widowControl/>
        <w:spacing w:line="360" w:lineRule="auto"/>
        <w:ind w:firstLine="480" w:firstLineChars="200"/>
        <w:rPr>
          <w:b/>
          <w:sz w:val="24"/>
          <w:highlight w:val="none"/>
        </w:rPr>
      </w:pPr>
      <w:r>
        <w:rPr>
          <w:rFonts w:hint="eastAsia"/>
          <w:sz w:val="24"/>
          <w:highlight w:val="none"/>
        </w:rPr>
        <w:t>1.6设计单位：指发包人委托的负责本工程设计并取得相应工程设计资质等级证书的单位。</w:t>
      </w:r>
    </w:p>
    <w:p w14:paraId="02F23963">
      <w:pPr>
        <w:widowControl/>
        <w:spacing w:line="360" w:lineRule="auto"/>
        <w:ind w:firstLine="480" w:firstLineChars="200"/>
        <w:rPr>
          <w:b/>
          <w:sz w:val="24"/>
          <w:highlight w:val="none"/>
        </w:rPr>
      </w:pPr>
      <w:r>
        <w:rPr>
          <w:rFonts w:hint="eastAsia"/>
          <w:sz w:val="24"/>
          <w:highlight w:val="none"/>
        </w:rPr>
        <w:t>1.7监理单位：指发包人委托的负责本工程监理并取得相应工程监理资质等级证书的单位。</w:t>
      </w:r>
    </w:p>
    <w:p w14:paraId="7C7BB8B2">
      <w:pPr>
        <w:widowControl/>
        <w:spacing w:line="360" w:lineRule="auto"/>
        <w:ind w:firstLine="480" w:firstLineChars="200"/>
        <w:rPr>
          <w:b/>
          <w:sz w:val="24"/>
          <w:highlight w:val="none"/>
        </w:rPr>
      </w:pPr>
      <w:r>
        <w:rPr>
          <w:rFonts w:hint="eastAsia"/>
          <w:sz w:val="24"/>
          <w:highlight w:val="none"/>
        </w:rPr>
        <w:t>1.8工程师：指本工程监理单位委派的总监理工程师或发包人指定的履行本合同的代表，其具体身份和职权由发包人承包人在专用条款中约定。</w:t>
      </w:r>
    </w:p>
    <w:p w14:paraId="6B308255">
      <w:pPr>
        <w:widowControl/>
        <w:spacing w:line="360" w:lineRule="auto"/>
        <w:ind w:firstLine="480" w:firstLineChars="200"/>
        <w:rPr>
          <w:b/>
          <w:sz w:val="24"/>
          <w:highlight w:val="none"/>
        </w:rPr>
      </w:pPr>
      <w:r>
        <w:rPr>
          <w:rFonts w:hint="eastAsia"/>
          <w:sz w:val="24"/>
          <w:highlight w:val="none"/>
        </w:rPr>
        <w:t>1.9工程造价管理部门：指国务院有关部门、县级以上人民政府建设行政主管部门或其委托的工程造价管理机构。</w:t>
      </w:r>
    </w:p>
    <w:p w14:paraId="3DE23909">
      <w:pPr>
        <w:widowControl/>
        <w:spacing w:line="360" w:lineRule="auto"/>
        <w:ind w:firstLine="480" w:firstLineChars="200"/>
        <w:rPr>
          <w:b/>
          <w:sz w:val="24"/>
          <w:highlight w:val="none"/>
        </w:rPr>
      </w:pPr>
      <w:r>
        <w:rPr>
          <w:rFonts w:hint="eastAsia"/>
          <w:sz w:val="24"/>
          <w:highlight w:val="none"/>
        </w:rPr>
        <w:t>1.10工程：指发包人承包人在协议书中约定的承包范围内的工程。</w:t>
      </w:r>
    </w:p>
    <w:p w14:paraId="0146026C">
      <w:pPr>
        <w:widowControl/>
        <w:spacing w:line="360" w:lineRule="auto"/>
        <w:ind w:firstLine="480" w:firstLineChars="200"/>
        <w:rPr>
          <w:b/>
          <w:bCs/>
          <w:sz w:val="24"/>
          <w:highlight w:val="none"/>
        </w:rPr>
      </w:pPr>
      <w:r>
        <w:rPr>
          <w:rFonts w:hint="eastAsia"/>
          <w:bCs/>
          <w:sz w:val="24"/>
          <w:highlight w:val="none"/>
        </w:rPr>
        <w:t>1.11工程量清单：表现拟建工程的分部分项工程项目、措施项目、其他项目名称和相应数量的明细清单。</w:t>
      </w:r>
    </w:p>
    <w:p w14:paraId="59327EC8">
      <w:pPr>
        <w:widowControl/>
        <w:spacing w:line="360" w:lineRule="auto"/>
        <w:ind w:firstLine="480" w:firstLineChars="200"/>
        <w:rPr>
          <w:b/>
          <w:bCs/>
          <w:sz w:val="24"/>
          <w:highlight w:val="none"/>
        </w:rPr>
      </w:pPr>
      <w:r>
        <w:rPr>
          <w:rFonts w:hint="eastAsia"/>
          <w:bCs/>
          <w:sz w:val="24"/>
          <w:highlight w:val="none"/>
        </w:rPr>
        <w:t>1.12综合单价：完成工程量清单中一个规定计量单位项目所需的人工费、材料费、机械使用费、管理费和利润，并考虑风险因素。</w:t>
      </w:r>
    </w:p>
    <w:p w14:paraId="4DB8ED72">
      <w:pPr>
        <w:widowControl/>
        <w:spacing w:line="360" w:lineRule="auto"/>
        <w:ind w:firstLine="480" w:firstLineChars="200"/>
        <w:rPr>
          <w:b/>
          <w:sz w:val="24"/>
          <w:highlight w:val="none"/>
        </w:rPr>
      </w:pPr>
      <w:r>
        <w:rPr>
          <w:rFonts w:hint="eastAsia"/>
          <w:sz w:val="24"/>
          <w:highlight w:val="none"/>
        </w:rPr>
        <w:t>1.13合同价款：指发包人承包人在协议书中约定，发包人用以支付承包人按照合同约定完成承包范围内全部工程并承担质量保修责任的款项。</w:t>
      </w:r>
    </w:p>
    <w:p w14:paraId="09193AF4">
      <w:pPr>
        <w:widowControl/>
        <w:spacing w:line="360" w:lineRule="auto"/>
        <w:ind w:firstLine="480" w:firstLineChars="200"/>
        <w:rPr>
          <w:b/>
          <w:bCs/>
          <w:sz w:val="24"/>
          <w:highlight w:val="none"/>
        </w:rPr>
      </w:pPr>
      <w:r>
        <w:rPr>
          <w:rFonts w:hint="eastAsia"/>
          <w:bCs/>
          <w:sz w:val="24"/>
          <w:highlight w:val="none"/>
        </w:rPr>
        <w:t>1.14预留金：指发包人为可能发生的工程量变更而预留的款额。</w:t>
      </w:r>
    </w:p>
    <w:p w14:paraId="49757042">
      <w:pPr>
        <w:widowControl/>
        <w:spacing w:line="360" w:lineRule="auto"/>
        <w:ind w:firstLine="480" w:firstLineChars="200"/>
        <w:rPr>
          <w:b/>
          <w:bCs/>
          <w:sz w:val="24"/>
          <w:highlight w:val="none"/>
        </w:rPr>
      </w:pPr>
      <w:r>
        <w:rPr>
          <w:rFonts w:hint="eastAsia"/>
          <w:bCs/>
          <w:sz w:val="24"/>
          <w:highlight w:val="none"/>
        </w:rPr>
        <w:t>1.15工程分包和材料购置费：指发包人将按有关规定准予分包的工作、指定分包人或指定材料</w:t>
      </w:r>
      <w:r>
        <w:rPr>
          <w:rFonts w:hint="eastAsia"/>
          <w:bCs/>
          <w:sz w:val="24"/>
          <w:highlight w:val="none"/>
          <w:lang w:eastAsia="zh-CN"/>
        </w:rPr>
        <w:t>投标人</w:t>
      </w:r>
      <w:r>
        <w:rPr>
          <w:rFonts w:hint="eastAsia"/>
          <w:bCs/>
          <w:sz w:val="24"/>
          <w:highlight w:val="none"/>
        </w:rPr>
        <w:t>供应材料而预留的款额。</w:t>
      </w:r>
    </w:p>
    <w:p w14:paraId="2C7A3A52">
      <w:pPr>
        <w:widowControl/>
        <w:spacing w:line="360" w:lineRule="auto"/>
        <w:ind w:firstLine="480" w:firstLineChars="200"/>
        <w:rPr>
          <w:b/>
          <w:bCs/>
          <w:sz w:val="24"/>
          <w:highlight w:val="none"/>
        </w:rPr>
      </w:pPr>
      <w:r>
        <w:rPr>
          <w:rFonts w:hint="eastAsia"/>
          <w:bCs/>
          <w:sz w:val="24"/>
          <w:highlight w:val="none"/>
        </w:rPr>
        <w:t>1.16总承包服务费：为配合协调发包人进行的工程分包和材料采购所需的费用。</w:t>
      </w:r>
    </w:p>
    <w:p w14:paraId="28754589">
      <w:pPr>
        <w:widowControl/>
        <w:spacing w:line="360" w:lineRule="auto"/>
        <w:ind w:firstLine="480" w:firstLineChars="200"/>
        <w:rPr>
          <w:b/>
          <w:bCs/>
          <w:sz w:val="24"/>
          <w:highlight w:val="none"/>
        </w:rPr>
      </w:pPr>
      <w:r>
        <w:rPr>
          <w:rFonts w:hint="eastAsia"/>
          <w:bCs/>
          <w:sz w:val="24"/>
          <w:highlight w:val="none"/>
        </w:rPr>
        <w:t>1.17零星工作项目费：完成发包人提出的工程量暂估的零星工作所需的费用。</w:t>
      </w:r>
    </w:p>
    <w:p w14:paraId="5716F436">
      <w:pPr>
        <w:widowControl/>
        <w:spacing w:line="360" w:lineRule="auto"/>
        <w:ind w:firstLine="480" w:firstLineChars="200"/>
        <w:rPr>
          <w:b/>
          <w:sz w:val="24"/>
          <w:highlight w:val="none"/>
        </w:rPr>
      </w:pPr>
      <w:r>
        <w:rPr>
          <w:rFonts w:hint="eastAsia"/>
          <w:sz w:val="24"/>
          <w:highlight w:val="none"/>
        </w:rPr>
        <w:t>1.18追加合同价款：指在合同履行中发生需要增加合同价款的情况，经发包人确认后按计算合同价款的方法增加的合同价款。</w:t>
      </w:r>
    </w:p>
    <w:p w14:paraId="7AE2FBD9">
      <w:pPr>
        <w:widowControl/>
        <w:spacing w:line="360" w:lineRule="auto"/>
        <w:ind w:firstLine="480" w:firstLineChars="200"/>
        <w:rPr>
          <w:b/>
          <w:sz w:val="24"/>
          <w:highlight w:val="none"/>
        </w:rPr>
      </w:pPr>
      <w:r>
        <w:rPr>
          <w:rFonts w:hint="eastAsia"/>
          <w:sz w:val="24"/>
          <w:highlight w:val="none"/>
        </w:rPr>
        <w:t>1.19费用：指不包含在合同价款之内的应当由发包人或承包人承担的经济支出。</w:t>
      </w:r>
    </w:p>
    <w:p w14:paraId="331E3AD1">
      <w:pPr>
        <w:widowControl/>
        <w:spacing w:line="360" w:lineRule="auto"/>
        <w:ind w:firstLine="480" w:firstLineChars="200"/>
        <w:rPr>
          <w:b/>
          <w:sz w:val="24"/>
          <w:highlight w:val="none"/>
        </w:rPr>
      </w:pPr>
      <w:r>
        <w:rPr>
          <w:rFonts w:hint="eastAsia"/>
          <w:sz w:val="24"/>
          <w:highlight w:val="none"/>
        </w:rPr>
        <w:t>1.20工期：指发包人承包人在协议书中约定，按总日历天数（包括法定节假日）计算的承包天数。</w:t>
      </w:r>
    </w:p>
    <w:p w14:paraId="21DFBAC6">
      <w:pPr>
        <w:widowControl/>
        <w:spacing w:line="360" w:lineRule="auto"/>
        <w:ind w:firstLine="480" w:firstLineChars="200"/>
        <w:rPr>
          <w:b/>
          <w:sz w:val="24"/>
          <w:highlight w:val="none"/>
        </w:rPr>
      </w:pPr>
      <w:r>
        <w:rPr>
          <w:rFonts w:hint="eastAsia"/>
          <w:sz w:val="24"/>
          <w:highlight w:val="none"/>
        </w:rPr>
        <w:t>1.21开工日期：指发包人承包人在协议书中约定，承包人开始施工的绝对或相对的日期。</w:t>
      </w:r>
    </w:p>
    <w:p w14:paraId="13C2FAA4">
      <w:pPr>
        <w:widowControl/>
        <w:spacing w:line="360" w:lineRule="auto"/>
        <w:ind w:firstLine="480" w:firstLineChars="200"/>
        <w:rPr>
          <w:b/>
          <w:sz w:val="24"/>
          <w:highlight w:val="none"/>
        </w:rPr>
      </w:pPr>
      <w:r>
        <w:rPr>
          <w:rFonts w:hint="eastAsia"/>
          <w:sz w:val="24"/>
          <w:highlight w:val="none"/>
        </w:rPr>
        <w:t>1.22竣工日期：指发包人承包人在协议书中约定，承包人完成承包范围内工程的绝对或相对的日期。</w:t>
      </w:r>
    </w:p>
    <w:p w14:paraId="19D98B63">
      <w:pPr>
        <w:widowControl/>
        <w:spacing w:line="360" w:lineRule="auto"/>
        <w:ind w:firstLine="480" w:firstLineChars="200"/>
        <w:rPr>
          <w:b/>
          <w:sz w:val="24"/>
          <w:highlight w:val="none"/>
        </w:rPr>
      </w:pPr>
      <w:r>
        <w:rPr>
          <w:rFonts w:hint="eastAsia"/>
          <w:sz w:val="24"/>
          <w:highlight w:val="none"/>
        </w:rPr>
        <w:t>1.23图纸：指由发包人提供或由承包人提供并经发包人批准，满足承包人施工需要的所有图纸（包括配套说明和有关资料）。</w:t>
      </w:r>
    </w:p>
    <w:p w14:paraId="002FF959">
      <w:pPr>
        <w:widowControl/>
        <w:spacing w:line="360" w:lineRule="auto"/>
        <w:ind w:firstLine="480" w:firstLineChars="200"/>
        <w:rPr>
          <w:b/>
          <w:sz w:val="24"/>
          <w:highlight w:val="none"/>
        </w:rPr>
      </w:pPr>
      <w:r>
        <w:rPr>
          <w:rFonts w:hint="eastAsia"/>
          <w:sz w:val="24"/>
          <w:highlight w:val="none"/>
        </w:rPr>
        <w:t>1.24施工场地：指由发包人提供的用于工程施工的场所以及发包人在图纸中具体指定的供施工使用的任何其他场所。</w:t>
      </w:r>
    </w:p>
    <w:p w14:paraId="18FB88AE">
      <w:pPr>
        <w:widowControl/>
        <w:spacing w:line="360" w:lineRule="auto"/>
        <w:ind w:firstLine="480" w:firstLineChars="200"/>
        <w:rPr>
          <w:b/>
          <w:sz w:val="24"/>
          <w:highlight w:val="none"/>
        </w:rPr>
      </w:pPr>
      <w:r>
        <w:rPr>
          <w:rFonts w:hint="eastAsia"/>
          <w:sz w:val="24"/>
          <w:highlight w:val="none"/>
        </w:rPr>
        <w:t>1.25书面形式：指合同书、信件和数据电文（包括电报、电传、传真、电子数据交换和电子邮件）等可以有形地表现所载内容的形式。</w:t>
      </w:r>
    </w:p>
    <w:p w14:paraId="71264780">
      <w:pPr>
        <w:widowControl/>
        <w:spacing w:line="360" w:lineRule="auto"/>
        <w:ind w:firstLine="480" w:firstLineChars="200"/>
        <w:rPr>
          <w:b/>
          <w:sz w:val="24"/>
          <w:highlight w:val="none"/>
        </w:rPr>
      </w:pPr>
      <w:r>
        <w:rPr>
          <w:rFonts w:hint="eastAsia"/>
          <w:sz w:val="24"/>
          <w:highlight w:val="none"/>
        </w:rPr>
        <w:t>1.26违约责任：指合同一方不履行合同义务或履行合同义务不符合约定所应承担的责任。</w:t>
      </w:r>
    </w:p>
    <w:p w14:paraId="2974C572">
      <w:pPr>
        <w:widowControl/>
        <w:spacing w:line="360" w:lineRule="auto"/>
        <w:ind w:firstLine="480" w:firstLineChars="200"/>
        <w:rPr>
          <w:b/>
          <w:sz w:val="24"/>
          <w:highlight w:val="none"/>
        </w:rPr>
      </w:pPr>
      <w:r>
        <w:rPr>
          <w:rFonts w:hint="eastAsia"/>
          <w:sz w:val="24"/>
          <w:highlight w:val="none"/>
        </w:rPr>
        <w:t>1.27索赔：指在合同履行过程中，对于并非自己的过错，而是应由对方承担责任的情况造成的实际损失，向对方提出经济补偿和（或）工期顺延的要求。</w:t>
      </w:r>
    </w:p>
    <w:p w14:paraId="160551CB">
      <w:pPr>
        <w:widowControl/>
        <w:spacing w:line="360" w:lineRule="auto"/>
        <w:ind w:firstLine="480" w:firstLineChars="200"/>
        <w:rPr>
          <w:b/>
          <w:sz w:val="24"/>
          <w:highlight w:val="none"/>
        </w:rPr>
      </w:pPr>
      <w:r>
        <w:rPr>
          <w:rFonts w:hint="eastAsia"/>
          <w:sz w:val="24"/>
          <w:highlight w:val="none"/>
        </w:rPr>
        <w:t>1.28不可抗力：指不能预见、不能避免并不能克服的客观情况。</w:t>
      </w:r>
    </w:p>
    <w:p w14:paraId="2B26550C">
      <w:pPr>
        <w:widowControl/>
        <w:spacing w:line="360" w:lineRule="auto"/>
        <w:ind w:firstLine="480" w:firstLineChars="200"/>
        <w:rPr>
          <w:b/>
          <w:sz w:val="24"/>
          <w:highlight w:val="none"/>
        </w:rPr>
      </w:pPr>
      <w:r>
        <w:rPr>
          <w:rFonts w:hint="eastAsia"/>
          <w:sz w:val="24"/>
          <w:highlight w:val="none"/>
        </w:rPr>
        <w:t>1.29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6937694A">
      <w:pPr>
        <w:widowControl/>
        <w:spacing w:line="360" w:lineRule="auto"/>
        <w:ind w:firstLine="480" w:firstLineChars="200"/>
        <w:outlineLvl w:val="0"/>
        <w:rPr>
          <w:b/>
          <w:sz w:val="24"/>
          <w:highlight w:val="none"/>
        </w:rPr>
      </w:pPr>
      <w:bookmarkStart w:id="233" w:name="_Toc385848070"/>
      <w:r>
        <w:rPr>
          <w:rFonts w:hint="eastAsia"/>
          <w:sz w:val="24"/>
          <w:highlight w:val="none"/>
        </w:rPr>
        <w:t>２、合同文件及解释顺序</w:t>
      </w:r>
      <w:bookmarkEnd w:id="233"/>
    </w:p>
    <w:p w14:paraId="2828FAC3">
      <w:pPr>
        <w:widowControl/>
        <w:spacing w:line="360" w:lineRule="auto"/>
        <w:ind w:firstLine="480" w:firstLineChars="200"/>
        <w:rPr>
          <w:b/>
          <w:sz w:val="24"/>
          <w:highlight w:val="none"/>
        </w:rPr>
      </w:pPr>
      <w:r>
        <w:rPr>
          <w:rFonts w:hint="eastAsia"/>
          <w:sz w:val="24"/>
          <w:highlight w:val="none"/>
        </w:rPr>
        <w:t>2.1合同文件应能相互解释，互为说明。除专用条款另有约定外，组成本合同的文件及优先解释顺序如下：</w:t>
      </w:r>
    </w:p>
    <w:p w14:paraId="18E4E850">
      <w:pPr>
        <w:widowControl/>
        <w:spacing w:line="360" w:lineRule="auto"/>
        <w:ind w:firstLine="480" w:firstLineChars="200"/>
        <w:rPr>
          <w:b/>
          <w:sz w:val="24"/>
          <w:highlight w:val="none"/>
        </w:rPr>
      </w:pPr>
      <w:r>
        <w:rPr>
          <w:sz w:val="24"/>
          <w:highlight w:val="none"/>
        </w:rPr>
        <w:t>1</w:t>
      </w:r>
      <w:r>
        <w:rPr>
          <w:rFonts w:hint="eastAsia"/>
          <w:sz w:val="24"/>
          <w:highlight w:val="none"/>
        </w:rPr>
        <w:t>、本合同协议书</w:t>
      </w:r>
    </w:p>
    <w:p w14:paraId="26107ADC">
      <w:pPr>
        <w:widowControl/>
        <w:spacing w:line="360" w:lineRule="auto"/>
        <w:ind w:firstLine="480" w:firstLineChars="200"/>
        <w:rPr>
          <w:b/>
          <w:sz w:val="24"/>
          <w:highlight w:val="none"/>
        </w:rPr>
      </w:pPr>
      <w:r>
        <w:rPr>
          <w:sz w:val="24"/>
          <w:highlight w:val="none"/>
        </w:rPr>
        <w:t>2</w:t>
      </w:r>
      <w:r>
        <w:rPr>
          <w:rFonts w:hint="eastAsia"/>
          <w:sz w:val="24"/>
          <w:highlight w:val="none"/>
        </w:rPr>
        <w:t>、本合同专用条款</w:t>
      </w:r>
    </w:p>
    <w:p w14:paraId="2C3968A1">
      <w:pPr>
        <w:widowControl/>
        <w:spacing w:line="360" w:lineRule="auto"/>
        <w:ind w:firstLine="480" w:firstLineChars="200"/>
        <w:rPr>
          <w:b/>
          <w:bCs/>
          <w:sz w:val="24"/>
          <w:highlight w:val="none"/>
        </w:rPr>
      </w:pPr>
      <w:r>
        <w:rPr>
          <w:sz w:val="24"/>
          <w:highlight w:val="none"/>
        </w:rPr>
        <w:t>3</w:t>
      </w:r>
      <w:r>
        <w:rPr>
          <w:rFonts w:hint="eastAsia"/>
          <w:sz w:val="24"/>
          <w:highlight w:val="none"/>
        </w:rPr>
        <w:t>、本合同通用条款</w:t>
      </w:r>
    </w:p>
    <w:p w14:paraId="753753F9">
      <w:pPr>
        <w:widowControl/>
        <w:spacing w:line="360" w:lineRule="auto"/>
        <w:ind w:firstLine="480" w:firstLineChars="200"/>
        <w:rPr>
          <w:b/>
          <w:sz w:val="24"/>
          <w:highlight w:val="none"/>
        </w:rPr>
      </w:pPr>
      <w:r>
        <w:rPr>
          <w:sz w:val="24"/>
          <w:highlight w:val="none"/>
        </w:rPr>
        <w:t>4</w:t>
      </w:r>
      <w:r>
        <w:rPr>
          <w:rFonts w:hint="eastAsia"/>
          <w:sz w:val="24"/>
          <w:highlight w:val="none"/>
        </w:rPr>
        <w:t>、中标通知书</w:t>
      </w:r>
    </w:p>
    <w:p w14:paraId="690668C6">
      <w:pPr>
        <w:widowControl/>
        <w:spacing w:line="360" w:lineRule="auto"/>
        <w:ind w:firstLine="480" w:firstLineChars="200"/>
        <w:rPr>
          <w:b/>
          <w:sz w:val="24"/>
          <w:highlight w:val="none"/>
        </w:rPr>
      </w:pPr>
      <w:r>
        <w:rPr>
          <w:sz w:val="24"/>
          <w:highlight w:val="none"/>
        </w:rPr>
        <w:t>5</w:t>
      </w:r>
      <w:r>
        <w:rPr>
          <w:rFonts w:hint="eastAsia"/>
          <w:sz w:val="24"/>
          <w:highlight w:val="none"/>
        </w:rPr>
        <w:t>、投标书、工程报价单或预算书及其附件</w:t>
      </w:r>
    </w:p>
    <w:p w14:paraId="642E18DE">
      <w:pPr>
        <w:widowControl/>
        <w:spacing w:line="360" w:lineRule="auto"/>
        <w:ind w:firstLine="480" w:firstLineChars="200"/>
        <w:rPr>
          <w:b/>
          <w:sz w:val="24"/>
          <w:highlight w:val="none"/>
        </w:rPr>
      </w:pPr>
      <w:r>
        <w:rPr>
          <w:sz w:val="24"/>
          <w:highlight w:val="none"/>
        </w:rPr>
        <w:t>6</w:t>
      </w:r>
      <w:r>
        <w:rPr>
          <w:rFonts w:hint="eastAsia"/>
          <w:sz w:val="24"/>
          <w:highlight w:val="none"/>
        </w:rPr>
        <w:t>、招标文件、答疑纪要及工程量清单　</w:t>
      </w:r>
    </w:p>
    <w:p w14:paraId="71F7C6A0">
      <w:pPr>
        <w:widowControl/>
        <w:spacing w:line="360" w:lineRule="auto"/>
        <w:ind w:firstLine="480" w:firstLineChars="200"/>
        <w:rPr>
          <w:b/>
          <w:sz w:val="24"/>
          <w:highlight w:val="none"/>
        </w:rPr>
      </w:pPr>
      <w:r>
        <w:rPr>
          <w:sz w:val="24"/>
          <w:highlight w:val="none"/>
        </w:rPr>
        <w:t>7</w:t>
      </w:r>
      <w:r>
        <w:rPr>
          <w:rFonts w:hint="eastAsia"/>
          <w:sz w:val="24"/>
          <w:highlight w:val="none"/>
        </w:rPr>
        <w:t>、图纸</w:t>
      </w:r>
    </w:p>
    <w:p w14:paraId="65DF85D4">
      <w:pPr>
        <w:widowControl/>
        <w:spacing w:line="360" w:lineRule="auto"/>
        <w:ind w:firstLine="480" w:firstLineChars="200"/>
        <w:rPr>
          <w:b/>
          <w:sz w:val="24"/>
          <w:highlight w:val="none"/>
        </w:rPr>
      </w:pPr>
      <w:r>
        <w:rPr>
          <w:sz w:val="24"/>
          <w:highlight w:val="none"/>
        </w:rPr>
        <w:t>8</w:t>
      </w:r>
      <w:r>
        <w:rPr>
          <w:rFonts w:hint="eastAsia"/>
          <w:sz w:val="24"/>
          <w:highlight w:val="none"/>
        </w:rPr>
        <w:t>、标准、规范及有关技术文件</w:t>
      </w:r>
    </w:p>
    <w:p w14:paraId="2C75F93B">
      <w:pPr>
        <w:widowControl/>
        <w:spacing w:line="360" w:lineRule="auto"/>
        <w:ind w:firstLine="480" w:firstLineChars="200"/>
        <w:rPr>
          <w:b/>
          <w:sz w:val="24"/>
          <w:highlight w:val="none"/>
        </w:rPr>
      </w:pPr>
      <w:r>
        <w:rPr>
          <w:rFonts w:hint="eastAsia"/>
          <w:sz w:val="24"/>
          <w:highlight w:val="none"/>
        </w:rPr>
        <w:t>双方为履行本合同的有关洽商、变更等书面协议、文件，视为本合同的组成部分。</w:t>
      </w:r>
    </w:p>
    <w:p w14:paraId="74D29952">
      <w:pPr>
        <w:widowControl/>
        <w:spacing w:line="360" w:lineRule="auto"/>
        <w:ind w:firstLine="480" w:firstLineChars="200"/>
        <w:rPr>
          <w:b/>
          <w:sz w:val="24"/>
          <w:highlight w:val="none"/>
        </w:rPr>
      </w:pPr>
      <w:r>
        <w:rPr>
          <w:rFonts w:hint="eastAsia"/>
          <w:sz w:val="24"/>
          <w:highlight w:val="none"/>
        </w:rPr>
        <w:t>2.2当合同文件内容含糊不清或不相一致时，在不影响工程正常进行的情况下，由发包人承包人协商解决。双方也可以提请负责监理的工程师做出解释。双方协商不成或不同意负责监理的工程师的解释时，按本通用条款第41条关于争议的约定处理。</w:t>
      </w:r>
    </w:p>
    <w:p w14:paraId="7C2C491A">
      <w:pPr>
        <w:widowControl/>
        <w:spacing w:line="360" w:lineRule="auto"/>
        <w:ind w:firstLine="480" w:firstLineChars="200"/>
        <w:outlineLvl w:val="0"/>
        <w:rPr>
          <w:b/>
          <w:sz w:val="24"/>
          <w:highlight w:val="none"/>
        </w:rPr>
      </w:pPr>
      <w:bookmarkStart w:id="234" w:name="_Toc385848071"/>
      <w:r>
        <w:rPr>
          <w:rFonts w:hint="eastAsia"/>
          <w:sz w:val="24"/>
          <w:highlight w:val="none"/>
        </w:rPr>
        <w:t>3、语言文字和适用法律、标准及规范</w:t>
      </w:r>
      <w:bookmarkEnd w:id="234"/>
    </w:p>
    <w:p w14:paraId="136EA293">
      <w:pPr>
        <w:widowControl/>
        <w:spacing w:line="360" w:lineRule="auto"/>
        <w:ind w:firstLine="480" w:firstLineChars="200"/>
        <w:rPr>
          <w:b/>
          <w:sz w:val="24"/>
          <w:highlight w:val="none"/>
        </w:rPr>
      </w:pPr>
      <w:r>
        <w:rPr>
          <w:rFonts w:hint="eastAsia"/>
          <w:sz w:val="24"/>
          <w:highlight w:val="none"/>
        </w:rPr>
        <w:t>3.1语言文字</w:t>
      </w:r>
    </w:p>
    <w:p w14:paraId="7D95554B">
      <w:pPr>
        <w:widowControl/>
        <w:spacing w:line="360" w:lineRule="auto"/>
        <w:ind w:firstLine="480" w:firstLineChars="200"/>
        <w:rPr>
          <w:b/>
          <w:sz w:val="24"/>
          <w:highlight w:val="none"/>
        </w:rPr>
      </w:pPr>
      <w:r>
        <w:rPr>
          <w:rFonts w:hint="eastAsia"/>
          <w:sz w:val="24"/>
          <w:highlight w:val="none"/>
        </w:rPr>
        <w:t>本合同文件使用汉语语言文字书写、解释和说明。如专用条款约定使用两种以上（含两种）语言文字时，汉语应为解释和说明本合同的标准语言文字。</w:t>
      </w:r>
    </w:p>
    <w:p w14:paraId="23EBF8DE">
      <w:pPr>
        <w:widowControl/>
        <w:spacing w:line="360" w:lineRule="auto"/>
        <w:ind w:firstLine="480" w:firstLineChars="200"/>
        <w:rPr>
          <w:b/>
          <w:sz w:val="24"/>
          <w:highlight w:val="none"/>
        </w:rPr>
      </w:pPr>
      <w:r>
        <w:rPr>
          <w:rFonts w:hint="eastAsia"/>
          <w:sz w:val="24"/>
          <w:highlight w:val="none"/>
        </w:rPr>
        <w:t>3.2适用法律和法规</w:t>
      </w:r>
    </w:p>
    <w:p w14:paraId="1C0685D9">
      <w:pPr>
        <w:widowControl/>
        <w:spacing w:line="360" w:lineRule="auto"/>
        <w:ind w:firstLine="480" w:firstLineChars="200"/>
        <w:rPr>
          <w:b/>
          <w:sz w:val="24"/>
          <w:highlight w:val="none"/>
        </w:rPr>
      </w:pPr>
      <w:r>
        <w:rPr>
          <w:rFonts w:hint="eastAsia"/>
          <w:sz w:val="24"/>
          <w:highlight w:val="none"/>
        </w:rPr>
        <w:t>本合同文件适用国家的法律和行政法规。需要明示的法律、行政法规，由双方在专用条款中约定。</w:t>
      </w:r>
    </w:p>
    <w:p w14:paraId="3C4CD4AC">
      <w:pPr>
        <w:widowControl/>
        <w:spacing w:line="360" w:lineRule="auto"/>
        <w:ind w:firstLine="480" w:firstLineChars="200"/>
        <w:rPr>
          <w:b/>
          <w:sz w:val="24"/>
          <w:highlight w:val="none"/>
        </w:rPr>
      </w:pPr>
      <w:r>
        <w:rPr>
          <w:rFonts w:hint="eastAsia"/>
          <w:sz w:val="24"/>
          <w:highlight w:val="none"/>
        </w:rPr>
        <w:t>3.3适用标准、规范</w:t>
      </w:r>
    </w:p>
    <w:p w14:paraId="79B333DC">
      <w:pPr>
        <w:widowControl/>
        <w:spacing w:line="360" w:lineRule="auto"/>
        <w:ind w:firstLine="480" w:firstLineChars="200"/>
        <w:rPr>
          <w:b/>
          <w:sz w:val="24"/>
          <w:highlight w:val="none"/>
        </w:rPr>
      </w:pPr>
      <w:r>
        <w:rPr>
          <w:rFonts w:hint="eastAsia"/>
          <w:sz w:val="24"/>
          <w:highlight w:val="none"/>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3FB0D7D3">
      <w:pPr>
        <w:widowControl/>
        <w:spacing w:line="360" w:lineRule="auto"/>
        <w:ind w:firstLine="480" w:firstLineChars="200"/>
        <w:rPr>
          <w:b/>
          <w:sz w:val="24"/>
          <w:highlight w:val="none"/>
        </w:rPr>
      </w:pPr>
      <w:r>
        <w:rPr>
          <w:rFonts w:hint="eastAsia"/>
          <w:sz w:val="24"/>
          <w:highlight w:val="none"/>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14:paraId="38DB5EDF">
      <w:pPr>
        <w:widowControl/>
        <w:spacing w:line="360" w:lineRule="auto"/>
        <w:ind w:firstLine="480" w:firstLineChars="200"/>
        <w:rPr>
          <w:b/>
          <w:sz w:val="24"/>
          <w:highlight w:val="none"/>
        </w:rPr>
      </w:pPr>
      <w:r>
        <w:rPr>
          <w:rFonts w:hint="eastAsia"/>
          <w:sz w:val="24"/>
          <w:highlight w:val="none"/>
        </w:rPr>
        <w:t>本条所发生的购买、翻译标准、规范或制定施工工艺的费用，由发包人承担。</w:t>
      </w:r>
    </w:p>
    <w:p w14:paraId="2ED34409">
      <w:pPr>
        <w:widowControl/>
        <w:spacing w:line="360" w:lineRule="auto"/>
        <w:ind w:firstLine="480" w:firstLineChars="200"/>
        <w:outlineLvl w:val="0"/>
        <w:rPr>
          <w:b/>
          <w:sz w:val="24"/>
          <w:highlight w:val="none"/>
        </w:rPr>
      </w:pPr>
      <w:bookmarkStart w:id="235" w:name="_Toc385848072"/>
      <w:r>
        <w:rPr>
          <w:rFonts w:hint="eastAsia"/>
          <w:sz w:val="24"/>
          <w:highlight w:val="none"/>
        </w:rPr>
        <w:t>４、图纸</w:t>
      </w:r>
      <w:bookmarkEnd w:id="235"/>
    </w:p>
    <w:p w14:paraId="1FB37D75">
      <w:pPr>
        <w:widowControl/>
        <w:spacing w:line="360" w:lineRule="auto"/>
        <w:ind w:firstLine="480" w:firstLineChars="200"/>
        <w:rPr>
          <w:b/>
          <w:sz w:val="24"/>
          <w:highlight w:val="none"/>
        </w:rPr>
      </w:pPr>
      <w:r>
        <w:rPr>
          <w:rFonts w:hint="eastAsia"/>
          <w:sz w:val="24"/>
          <w:highlight w:val="none"/>
        </w:rPr>
        <w:t>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14:paraId="2136A6D5">
      <w:pPr>
        <w:widowControl/>
        <w:spacing w:line="360" w:lineRule="auto"/>
        <w:ind w:firstLine="480" w:firstLineChars="200"/>
        <w:rPr>
          <w:b/>
          <w:sz w:val="24"/>
          <w:highlight w:val="none"/>
        </w:rPr>
      </w:pPr>
      <w:r>
        <w:rPr>
          <w:rFonts w:hint="eastAsia"/>
          <w:sz w:val="24"/>
          <w:highlight w:val="none"/>
        </w:rPr>
        <w:t>4.2承包人未经发包人同意，不得将本工程图纸转给第三人。工程质量保修期满后，除承包人存档需要的图纸外，应将全部图纸退还给发包人。</w:t>
      </w:r>
    </w:p>
    <w:p w14:paraId="7139EEA9">
      <w:pPr>
        <w:widowControl/>
        <w:spacing w:line="360" w:lineRule="auto"/>
        <w:ind w:firstLine="480" w:firstLineChars="200"/>
        <w:rPr>
          <w:b/>
          <w:sz w:val="24"/>
          <w:highlight w:val="none"/>
        </w:rPr>
      </w:pPr>
      <w:r>
        <w:rPr>
          <w:rFonts w:hint="eastAsia"/>
          <w:sz w:val="24"/>
          <w:highlight w:val="none"/>
        </w:rPr>
        <w:t>4.3承包人应在施工现场保留一套完整图纸，供工程师及有关人员进行工程检查时使用。</w:t>
      </w:r>
    </w:p>
    <w:p w14:paraId="51A443EA">
      <w:pPr>
        <w:widowControl/>
        <w:spacing w:line="360" w:lineRule="auto"/>
        <w:ind w:firstLine="480" w:firstLineChars="200"/>
        <w:outlineLvl w:val="0"/>
        <w:rPr>
          <w:sz w:val="24"/>
          <w:highlight w:val="none"/>
        </w:rPr>
      </w:pPr>
      <w:bookmarkStart w:id="236" w:name="_Toc385848073"/>
      <w:r>
        <w:rPr>
          <w:rFonts w:hint="eastAsia"/>
          <w:sz w:val="24"/>
          <w:highlight w:val="none"/>
        </w:rPr>
        <w:t>二、双方一般权利和义务</w:t>
      </w:r>
      <w:bookmarkEnd w:id="236"/>
    </w:p>
    <w:p w14:paraId="70DD10DB">
      <w:pPr>
        <w:widowControl/>
        <w:spacing w:line="360" w:lineRule="auto"/>
        <w:ind w:firstLine="480" w:firstLineChars="200"/>
        <w:outlineLvl w:val="0"/>
        <w:rPr>
          <w:b/>
          <w:sz w:val="24"/>
          <w:highlight w:val="none"/>
        </w:rPr>
      </w:pPr>
      <w:bookmarkStart w:id="237" w:name="_Toc385848074"/>
      <w:r>
        <w:rPr>
          <w:rFonts w:hint="eastAsia"/>
          <w:sz w:val="24"/>
          <w:highlight w:val="none"/>
        </w:rPr>
        <w:t>５、工程师</w:t>
      </w:r>
      <w:bookmarkEnd w:id="237"/>
    </w:p>
    <w:p w14:paraId="68BE45F5">
      <w:pPr>
        <w:widowControl/>
        <w:spacing w:line="360" w:lineRule="auto"/>
        <w:ind w:firstLine="480" w:firstLineChars="200"/>
        <w:rPr>
          <w:b/>
          <w:sz w:val="24"/>
          <w:highlight w:val="none"/>
        </w:rPr>
      </w:pPr>
      <w:r>
        <w:rPr>
          <w:rFonts w:hint="eastAsia"/>
          <w:sz w:val="24"/>
          <w:highlight w:val="none"/>
        </w:rPr>
        <w:t>5.1实行工程监理的，发包人应在实施监理前将委托的监理单位名称、监理内容及监理权限以书面形式通知承包人。</w:t>
      </w:r>
    </w:p>
    <w:p w14:paraId="5EA667E9">
      <w:pPr>
        <w:widowControl/>
        <w:spacing w:line="360" w:lineRule="auto"/>
        <w:ind w:firstLine="480" w:firstLineChars="200"/>
        <w:rPr>
          <w:b/>
          <w:sz w:val="24"/>
          <w:highlight w:val="none"/>
        </w:rPr>
      </w:pPr>
      <w:r>
        <w:rPr>
          <w:rFonts w:hint="eastAsia"/>
          <w:sz w:val="24"/>
          <w:highlight w:val="none"/>
        </w:rPr>
        <w:t>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14:paraId="3C3E7EC1">
      <w:pPr>
        <w:widowControl/>
        <w:spacing w:line="360" w:lineRule="auto"/>
        <w:ind w:firstLine="480" w:firstLineChars="200"/>
        <w:rPr>
          <w:b/>
          <w:sz w:val="24"/>
          <w:highlight w:val="none"/>
        </w:rPr>
      </w:pPr>
      <w:r>
        <w:rPr>
          <w:rFonts w:hint="eastAsia"/>
          <w:sz w:val="24"/>
          <w:highlight w:val="none"/>
        </w:rPr>
        <w:t>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14:paraId="4CC79195">
      <w:pPr>
        <w:widowControl/>
        <w:spacing w:line="360" w:lineRule="auto"/>
        <w:ind w:firstLine="480" w:firstLineChars="200"/>
        <w:rPr>
          <w:b/>
          <w:sz w:val="24"/>
          <w:highlight w:val="none"/>
        </w:rPr>
      </w:pPr>
      <w:r>
        <w:rPr>
          <w:rFonts w:hint="eastAsia"/>
          <w:sz w:val="24"/>
          <w:highlight w:val="none"/>
        </w:rPr>
        <w:t>5.4合同履行中，发生影响发包人承包人双方权利或义务的事件时，负责监理的工程师应依据合同在其职权范围内客观公正地进行处理。一方对工程师的处理有异议时，按本通用条款第41条关于争议的约定处理。</w:t>
      </w:r>
    </w:p>
    <w:p w14:paraId="0EC9D1A7">
      <w:pPr>
        <w:widowControl/>
        <w:spacing w:line="360" w:lineRule="auto"/>
        <w:ind w:firstLine="480" w:firstLineChars="200"/>
        <w:rPr>
          <w:b/>
          <w:sz w:val="24"/>
          <w:highlight w:val="none"/>
        </w:rPr>
      </w:pPr>
      <w:r>
        <w:rPr>
          <w:rFonts w:hint="eastAsia"/>
          <w:sz w:val="24"/>
          <w:highlight w:val="none"/>
        </w:rPr>
        <w:t>5.5除合同内有明确约定或经发包人同意外，负责监理的工程师无权解除本合同约定的承包人的任何权利与义务。</w:t>
      </w:r>
    </w:p>
    <w:p w14:paraId="67DE4C5C">
      <w:pPr>
        <w:widowControl/>
        <w:spacing w:line="360" w:lineRule="auto"/>
        <w:ind w:firstLine="480" w:firstLineChars="200"/>
        <w:rPr>
          <w:b/>
          <w:sz w:val="24"/>
          <w:highlight w:val="none"/>
        </w:rPr>
      </w:pPr>
      <w:r>
        <w:rPr>
          <w:rFonts w:hint="eastAsia"/>
          <w:sz w:val="24"/>
          <w:highlight w:val="none"/>
        </w:rPr>
        <w:t>5.6不实行工程监理的，本合同中工程师专指发包人派驻施工场地履行合同的代表，其具体职权由发包人在专用条款内写明。</w:t>
      </w:r>
    </w:p>
    <w:p w14:paraId="7DAAD68F">
      <w:pPr>
        <w:widowControl/>
        <w:spacing w:line="360" w:lineRule="auto"/>
        <w:ind w:firstLine="480" w:firstLineChars="200"/>
        <w:outlineLvl w:val="0"/>
        <w:rPr>
          <w:b/>
          <w:sz w:val="24"/>
          <w:highlight w:val="none"/>
        </w:rPr>
      </w:pPr>
      <w:bookmarkStart w:id="238" w:name="_Toc385848075"/>
      <w:r>
        <w:rPr>
          <w:rFonts w:hint="eastAsia"/>
          <w:sz w:val="24"/>
          <w:highlight w:val="none"/>
        </w:rPr>
        <w:t>６、工程师的委派和指令</w:t>
      </w:r>
      <w:bookmarkEnd w:id="238"/>
    </w:p>
    <w:p w14:paraId="5A9FE1BA">
      <w:pPr>
        <w:widowControl/>
        <w:spacing w:line="360" w:lineRule="auto"/>
        <w:ind w:firstLine="480" w:firstLineChars="200"/>
        <w:rPr>
          <w:b/>
          <w:sz w:val="24"/>
          <w:highlight w:val="none"/>
        </w:rPr>
      </w:pPr>
      <w:r>
        <w:rPr>
          <w:rFonts w:hint="eastAsia"/>
          <w:sz w:val="24"/>
          <w:highlight w:val="none"/>
        </w:rPr>
        <w:t>6.1工程师可委派工程师代表，行使合同约定的自己的职权，并可在认为必要时撤回委派。委派和撤回均应提前</w:t>
      </w:r>
      <w:r>
        <w:rPr>
          <w:sz w:val="24"/>
          <w:highlight w:val="none"/>
        </w:rPr>
        <w:t>7</w:t>
      </w:r>
      <w:r>
        <w:rPr>
          <w:rFonts w:hint="eastAsia"/>
          <w:sz w:val="24"/>
          <w:highlight w:val="none"/>
        </w:rPr>
        <w:t>天以书面形式通知承包人，负责监理的工程师还应将委派和撤回通知发包人。委派书和撤回通知作为本合同附件。</w:t>
      </w:r>
    </w:p>
    <w:p w14:paraId="43E6A0DD">
      <w:pPr>
        <w:widowControl/>
        <w:spacing w:line="360" w:lineRule="auto"/>
        <w:ind w:firstLine="480" w:firstLineChars="200"/>
        <w:rPr>
          <w:b/>
          <w:sz w:val="24"/>
          <w:highlight w:val="none"/>
        </w:rPr>
      </w:pPr>
      <w:r>
        <w:rPr>
          <w:rFonts w:hint="eastAsia"/>
          <w:sz w:val="24"/>
          <w:highlight w:val="none"/>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14:paraId="33F30297">
      <w:pPr>
        <w:widowControl/>
        <w:spacing w:line="360" w:lineRule="auto"/>
        <w:ind w:firstLine="480" w:firstLineChars="200"/>
        <w:rPr>
          <w:b/>
          <w:sz w:val="24"/>
          <w:highlight w:val="none"/>
        </w:rPr>
      </w:pPr>
      <w:r>
        <w:rPr>
          <w:rFonts w:hint="eastAsia"/>
          <w:sz w:val="24"/>
          <w:highlight w:val="none"/>
        </w:rPr>
        <w:t>除工程师或工程师代表外，发包人派驻工地的其他人员均无权向承包人发出任何指令。</w:t>
      </w:r>
    </w:p>
    <w:p w14:paraId="38E8E14F">
      <w:pPr>
        <w:widowControl/>
        <w:spacing w:line="360" w:lineRule="auto"/>
        <w:ind w:firstLine="480" w:firstLineChars="200"/>
        <w:rPr>
          <w:b/>
          <w:sz w:val="24"/>
          <w:highlight w:val="none"/>
        </w:rPr>
      </w:pPr>
      <w:r>
        <w:rPr>
          <w:rFonts w:hint="eastAsia"/>
          <w:sz w:val="24"/>
          <w:highlight w:val="none"/>
        </w:rPr>
        <w:t>6.2工程师的指令、通知由其本人签字后，以书面形式交给项目经理，项目经理在回执上签署姓名和收到时间后生效。确有必要时，工程师可发出口头指令，并在</w:t>
      </w:r>
      <w:r>
        <w:rPr>
          <w:sz w:val="24"/>
          <w:highlight w:val="none"/>
        </w:rPr>
        <w:t>48</w:t>
      </w:r>
      <w:r>
        <w:rPr>
          <w:rFonts w:hint="eastAsia"/>
          <w:sz w:val="24"/>
          <w:highlight w:val="none"/>
        </w:rPr>
        <w:t>小时内给予书面确认，承包人对工程师的指令应予执行。工程师不能及时给予书面确认的，承包人应于工程师发出口头指令后</w:t>
      </w:r>
      <w:r>
        <w:rPr>
          <w:sz w:val="24"/>
          <w:highlight w:val="none"/>
        </w:rPr>
        <w:t>7</w:t>
      </w:r>
      <w:r>
        <w:rPr>
          <w:rFonts w:hint="eastAsia"/>
          <w:sz w:val="24"/>
          <w:highlight w:val="none"/>
        </w:rPr>
        <w:t>天内提出书面确认要求。工程师在承包人提出确认要求后</w:t>
      </w:r>
      <w:r>
        <w:rPr>
          <w:sz w:val="24"/>
          <w:highlight w:val="none"/>
        </w:rPr>
        <w:t>48</w:t>
      </w:r>
      <w:r>
        <w:rPr>
          <w:rFonts w:hint="eastAsia"/>
          <w:sz w:val="24"/>
          <w:highlight w:val="none"/>
        </w:rPr>
        <w:t>小时内不予答复的，视为口头指令已被确认。</w:t>
      </w:r>
    </w:p>
    <w:p w14:paraId="581E2D26">
      <w:pPr>
        <w:widowControl/>
        <w:spacing w:line="360" w:lineRule="auto"/>
        <w:ind w:firstLine="480" w:firstLineChars="200"/>
        <w:rPr>
          <w:b/>
          <w:sz w:val="24"/>
          <w:highlight w:val="none"/>
        </w:rPr>
      </w:pPr>
      <w:r>
        <w:rPr>
          <w:rFonts w:hint="eastAsia"/>
          <w:sz w:val="24"/>
          <w:highlight w:val="none"/>
        </w:rPr>
        <w:t>承包人认为工程师指令不合理，应在收到指令后</w:t>
      </w:r>
      <w:r>
        <w:rPr>
          <w:sz w:val="24"/>
          <w:highlight w:val="none"/>
        </w:rPr>
        <w:t>24</w:t>
      </w:r>
      <w:r>
        <w:rPr>
          <w:rFonts w:hint="eastAsia"/>
          <w:sz w:val="24"/>
          <w:highlight w:val="none"/>
        </w:rPr>
        <w:t>小时内向工程师提出修改指令的书面报告，工程师在收到承包人报告后</w:t>
      </w:r>
      <w:r>
        <w:rPr>
          <w:sz w:val="24"/>
          <w:highlight w:val="none"/>
        </w:rPr>
        <w:t>24</w:t>
      </w:r>
      <w:r>
        <w:rPr>
          <w:rFonts w:hint="eastAsia"/>
          <w:sz w:val="24"/>
          <w:highlight w:val="none"/>
        </w:rPr>
        <w:t>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7095AC1C">
      <w:pPr>
        <w:widowControl/>
        <w:spacing w:line="360" w:lineRule="auto"/>
        <w:ind w:firstLine="480" w:firstLineChars="200"/>
        <w:rPr>
          <w:b/>
          <w:sz w:val="24"/>
          <w:highlight w:val="none"/>
        </w:rPr>
      </w:pPr>
      <w:r>
        <w:rPr>
          <w:rFonts w:hint="eastAsia"/>
          <w:sz w:val="24"/>
          <w:highlight w:val="none"/>
        </w:rPr>
        <w:t>本款规定同样适用于由工程师代表发出的指令、通知。</w:t>
      </w:r>
    </w:p>
    <w:p w14:paraId="2B066ABD">
      <w:pPr>
        <w:widowControl/>
        <w:spacing w:line="360" w:lineRule="auto"/>
        <w:ind w:firstLine="480" w:firstLineChars="200"/>
        <w:rPr>
          <w:b/>
          <w:sz w:val="24"/>
          <w:highlight w:val="none"/>
        </w:rPr>
      </w:pPr>
      <w:r>
        <w:rPr>
          <w:rFonts w:hint="eastAsia"/>
          <w:sz w:val="24"/>
          <w:highlight w:val="none"/>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14:paraId="6C280BA8">
      <w:pPr>
        <w:widowControl/>
        <w:spacing w:line="360" w:lineRule="auto"/>
        <w:ind w:firstLine="480" w:firstLineChars="200"/>
        <w:rPr>
          <w:b/>
          <w:sz w:val="24"/>
          <w:highlight w:val="none"/>
        </w:rPr>
      </w:pPr>
      <w:r>
        <w:rPr>
          <w:rFonts w:hint="eastAsia"/>
          <w:sz w:val="24"/>
          <w:highlight w:val="none"/>
        </w:rPr>
        <w:t>6.4如需更换工程师，发包人应至少提前</w:t>
      </w:r>
      <w:r>
        <w:rPr>
          <w:sz w:val="24"/>
          <w:highlight w:val="none"/>
        </w:rPr>
        <w:t>7</w:t>
      </w:r>
      <w:r>
        <w:rPr>
          <w:rFonts w:hint="eastAsia"/>
          <w:sz w:val="24"/>
          <w:highlight w:val="none"/>
        </w:rPr>
        <w:t>天以书面形式通知承包人，后任继续行使合同文件约定的前任的职权，履行前任的义务。</w:t>
      </w:r>
    </w:p>
    <w:p w14:paraId="25F3C1DC">
      <w:pPr>
        <w:widowControl/>
        <w:spacing w:line="360" w:lineRule="auto"/>
        <w:ind w:firstLine="480" w:firstLineChars="200"/>
        <w:outlineLvl w:val="0"/>
        <w:rPr>
          <w:b/>
          <w:sz w:val="24"/>
          <w:highlight w:val="none"/>
        </w:rPr>
      </w:pPr>
      <w:bookmarkStart w:id="239" w:name="_Toc385848076"/>
      <w:r>
        <w:rPr>
          <w:rFonts w:hint="eastAsia"/>
          <w:sz w:val="24"/>
          <w:highlight w:val="none"/>
        </w:rPr>
        <w:t>７、项目经理</w:t>
      </w:r>
      <w:bookmarkEnd w:id="239"/>
    </w:p>
    <w:p w14:paraId="0B92A0B0">
      <w:pPr>
        <w:widowControl/>
        <w:spacing w:line="360" w:lineRule="auto"/>
        <w:ind w:firstLine="480" w:firstLineChars="200"/>
        <w:rPr>
          <w:b/>
          <w:sz w:val="24"/>
          <w:highlight w:val="none"/>
        </w:rPr>
      </w:pPr>
      <w:r>
        <w:rPr>
          <w:rFonts w:hint="eastAsia"/>
          <w:sz w:val="24"/>
          <w:highlight w:val="none"/>
        </w:rPr>
        <w:t>7.1项目经理的姓名、职务在专用条款内写明。</w:t>
      </w:r>
    </w:p>
    <w:p w14:paraId="66EA03C3">
      <w:pPr>
        <w:widowControl/>
        <w:spacing w:line="360" w:lineRule="auto"/>
        <w:ind w:firstLine="480" w:firstLineChars="200"/>
        <w:rPr>
          <w:b/>
          <w:sz w:val="24"/>
          <w:highlight w:val="none"/>
        </w:rPr>
      </w:pPr>
      <w:r>
        <w:rPr>
          <w:rFonts w:hint="eastAsia"/>
          <w:sz w:val="24"/>
          <w:highlight w:val="none"/>
        </w:rPr>
        <w:t>7.2承包人依据合同发出的通知，以书面形式由项目经理签字后送交工程师，工程师在回执上签署姓名和收到时间后生效。</w:t>
      </w:r>
    </w:p>
    <w:p w14:paraId="410376C1">
      <w:pPr>
        <w:widowControl/>
        <w:spacing w:line="360" w:lineRule="auto"/>
        <w:ind w:firstLine="480" w:firstLineChars="200"/>
        <w:rPr>
          <w:b/>
          <w:sz w:val="24"/>
          <w:highlight w:val="none"/>
        </w:rPr>
      </w:pPr>
      <w:r>
        <w:rPr>
          <w:rFonts w:hint="eastAsia"/>
          <w:sz w:val="24"/>
          <w:highlight w:val="none"/>
        </w:rPr>
        <w:t>7.3项目经理按发包人认可的施工组织设计（施工方案）和工程师依据合同发出的指令组织施工。在情况紧急且无法与工程师联系时，项目经理应当采取保证人员生命和工程、财产安全的紧急措施，并在采取措施后</w:t>
      </w:r>
      <w:r>
        <w:rPr>
          <w:sz w:val="24"/>
          <w:highlight w:val="none"/>
        </w:rPr>
        <w:t>48</w:t>
      </w:r>
      <w:r>
        <w:rPr>
          <w:rFonts w:hint="eastAsia"/>
          <w:sz w:val="24"/>
          <w:highlight w:val="none"/>
        </w:rPr>
        <w:t>小时内向工程师送交报告。责任在发包人或第三人，由发包人承担由此发生的追加合同价款，相应顺延工期；责任在承包人，由承包人承担费用，不顺延工期。</w:t>
      </w:r>
    </w:p>
    <w:p w14:paraId="2265B0DD">
      <w:pPr>
        <w:widowControl/>
        <w:spacing w:line="360" w:lineRule="auto"/>
        <w:ind w:firstLine="480" w:firstLineChars="200"/>
        <w:rPr>
          <w:b/>
          <w:sz w:val="24"/>
          <w:highlight w:val="none"/>
        </w:rPr>
      </w:pPr>
      <w:r>
        <w:rPr>
          <w:rFonts w:hint="eastAsia"/>
          <w:sz w:val="24"/>
          <w:highlight w:val="none"/>
        </w:rPr>
        <w:t>7.4承包人如需要更换项目经理，应至少提前</w:t>
      </w:r>
      <w:r>
        <w:rPr>
          <w:sz w:val="24"/>
          <w:highlight w:val="none"/>
        </w:rPr>
        <w:t>7</w:t>
      </w:r>
      <w:r>
        <w:rPr>
          <w:rFonts w:hint="eastAsia"/>
          <w:sz w:val="24"/>
          <w:highlight w:val="none"/>
        </w:rPr>
        <w:t>天以书面形式通知发包人，</w:t>
      </w:r>
      <w:r>
        <w:rPr>
          <w:rFonts w:hint="eastAsia"/>
          <w:bCs/>
          <w:sz w:val="24"/>
          <w:highlight w:val="none"/>
        </w:rPr>
        <w:t>并</w:t>
      </w:r>
      <w:r>
        <w:rPr>
          <w:rFonts w:hint="eastAsia"/>
          <w:sz w:val="24"/>
          <w:highlight w:val="none"/>
        </w:rPr>
        <w:t>征得发包人同意。后任继续行使合同文件约定的前任的职权，履行前任的义务。</w:t>
      </w:r>
    </w:p>
    <w:p w14:paraId="51C7638C">
      <w:pPr>
        <w:widowControl/>
        <w:spacing w:line="360" w:lineRule="auto"/>
        <w:ind w:firstLine="480" w:firstLineChars="200"/>
        <w:rPr>
          <w:b/>
          <w:sz w:val="24"/>
          <w:highlight w:val="none"/>
        </w:rPr>
      </w:pPr>
      <w:r>
        <w:rPr>
          <w:rFonts w:hint="eastAsia"/>
          <w:sz w:val="24"/>
          <w:highlight w:val="none"/>
        </w:rPr>
        <w:t>7.5发包人可以与承包人协商，建议更换其认为不称职的项目经理。</w:t>
      </w:r>
    </w:p>
    <w:p w14:paraId="5ADE5E1C">
      <w:pPr>
        <w:widowControl/>
        <w:spacing w:line="360" w:lineRule="auto"/>
        <w:ind w:firstLine="480" w:firstLineChars="200"/>
        <w:outlineLvl w:val="0"/>
        <w:rPr>
          <w:b/>
          <w:sz w:val="24"/>
          <w:highlight w:val="none"/>
        </w:rPr>
      </w:pPr>
      <w:bookmarkStart w:id="240" w:name="_Toc385848077"/>
      <w:r>
        <w:rPr>
          <w:rFonts w:hint="eastAsia"/>
          <w:sz w:val="24"/>
          <w:highlight w:val="none"/>
        </w:rPr>
        <w:t>８、发包人工作</w:t>
      </w:r>
      <w:bookmarkEnd w:id="240"/>
    </w:p>
    <w:p w14:paraId="2DF66ECB">
      <w:pPr>
        <w:widowControl/>
        <w:spacing w:line="360" w:lineRule="auto"/>
        <w:ind w:firstLine="480" w:firstLineChars="200"/>
        <w:rPr>
          <w:b/>
          <w:sz w:val="24"/>
          <w:highlight w:val="none"/>
        </w:rPr>
      </w:pPr>
      <w:r>
        <w:rPr>
          <w:rFonts w:hint="eastAsia"/>
          <w:sz w:val="24"/>
          <w:highlight w:val="none"/>
        </w:rPr>
        <w:t>8.1发包人按专用条款约定的内容和时间完成以下工作：</w:t>
      </w:r>
    </w:p>
    <w:p w14:paraId="07F0F825">
      <w:pPr>
        <w:widowControl/>
        <w:spacing w:line="360" w:lineRule="auto"/>
        <w:ind w:firstLine="480" w:firstLineChars="200"/>
        <w:rPr>
          <w:b/>
          <w:sz w:val="24"/>
          <w:highlight w:val="none"/>
        </w:rPr>
      </w:pPr>
      <w:r>
        <w:rPr>
          <w:rFonts w:hint="eastAsia"/>
          <w:sz w:val="24"/>
          <w:highlight w:val="none"/>
        </w:rPr>
        <w:t>（</w:t>
      </w:r>
      <w:r>
        <w:rPr>
          <w:sz w:val="24"/>
          <w:highlight w:val="none"/>
        </w:rPr>
        <w:t>1</w:t>
      </w:r>
      <w:r>
        <w:rPr>
          <w:rFonts w:hint="eastAsia"/>
          <w:sz w:val="24"/>
          <w:highlight w:val="none"/>
        </w:rPr>
        <w:t>）办理土地征用、拆迁补偿、平整施工场地等工作，使施工场地具备施工条件，在开工后继续负责解决以上事项遗留问题；</w:t>
      </w:r>
    </w:p>
    <w:p w14:paraId="4CCA743B">
      <w:pPr>
        <w:widowControl/>
        <w:spacing w:line="360" w:lineRule="auto"/>
        <w:ind w:firstLine="480" w:firstLineChars="200"/>
        <w:rPr>
          <w:b/>
          <w:sz w:val="24"/>
          <w:highlight w:val="none"/>
        </w:rPr>
      </w:pPr>
      <w:r>
        <w:rPr>
          <w:rFonts w:hint="eastAsia"/>
          <w:sz w:val="24"/>
          <w:highlight w:val="none"/>
        </w:rPr>
        <w:t>（</w:t>
      </w:r>
      <w:r>
        <w:rPr>
          <w:sz w:val="24"/>
          <w:highlight w:val="none"/>
        </w:rPr>
        <w:t>2</w:t>
      </w:r>
      <w:r>
        <w:rPr>
          <w:rFonts w:hint="eastAsia"/>
          <w:sz w:val="24"/>
          <w:highlight w:val="none"/>
        </w:rPr>
        <w:t>）将施工所需水、电、电讯线路从施工场地外部接至专用条款约定地点，保证施工期间的需要；</w:t>
      </w:r>
    </w:p>
    <w:p w14:paraId="09591A50">
      <w:pPr>
        <w:widowControl/>
        <w:spacing w:line="360" w:lineRule="auto"/>
        <w:ind w:firstLine="480" w:firstLineChars="200"/>
        <w:rPr>
          <w:b/>
          <w:sz w:val="24"/>
          <w:highlight w:val="none"/>
        </w:rPr>
      </w:pPr>
      <w:r>
        <w:rPr>
          <w:rFonts w:hint="eastAsia"/>
          <w:sz w:val="24"/>
          <w:highlight w:val="none"/>
        </w:rPr>
        <w:t>（</w:t>
      </w:r>
      <w:r>
        <w:rPr>
          <w:sz w:val="24"/>
          <w:highlight w:val="none"/>
        </w:rPr>
        <w:t>3</w:t>
      </w:r>
      <w:r>
        <w:rPr>
          <w:rFonts w:hint="eastAsia"/>
          <w:sz w:val="24"/>
          <w:highlight w:val="none"/>
        </w:rPr>
        <w:t>）开通施工场地与城乡公共道路的通道，以及专用条款约定的施工场地内的主要道路，满足施工运输的需要，保证施工期间的畅通；</w:t>
      </w:r>
    </w:p>
    <w:p w14:paraId="20FBB030">
      <w:pPr>
        <w:widowControl/>
        <w:spacing w:line="360" w:lineRule="auto"/>
        <w:ind w:firstLine="480" w:firstLineChars="200"/>
        <w:rPr>
          <w:b/>
          <w:sz w:val="24"/>
          <w:highlight w:val="none"/>
        </w:rPr>
      </w:pPr>
      <w:r>
        <w:rPr>
          <w:rFonts w:hint="eastAsia"/>
          <w:sz w:val="24"/>
          <w:highlight w:val="none"/>
        </w:rPr>
        <w:t>（</w:t>
      </w:r>
      <w:r>
        <w:rPr>
          <w:sz w:val="24"/>
          <w:highlight w:val="none"/>
        </w:rPr>
        <w:t>4</w:t>
      </w:r>
      <w:r>
        <w:rPr>
          <w:rFonts w:hint="eastAsia"/>
          <w:sz w:val="24"/>
          <w:highlight w:val="none"/>
        </w:rPr>
        <w:t>）向承包人提供施工场地的工程地质和地下管线资料，对资料的真实准确性负责；</w:t>
      </w:r>
    </w:p>
    <w:p w14:paraId="25CEF4F9">
      <w:pPr>
        <w:widowControl/>
        <w:spacing w:line="360" w:lineRule="auto"/>
        <w:ind w:firstLine="480" w:firstLineChars="200"/>
        <w:rPr>
          <w:b/>
          <w:sz w:val="24"/>
          <w:highlight w:val="none"/>
        </w:rPr>
      </w:pPr>
      <w:r>
        <w:rPr>
          <w:rFonts w:hint="eastAsia"/>
          <w:sz w:val="24"/>
          <w:highlight w:val="none"/>
        </w:rPr>
        <w:t>（</w:t>
      </w:r>
      <w:r>
        <w:rPr>
          <w:sz w:val="24"/>
          <w:highlight w:val="none"/>
        </w:rPr>
        <w:t>5</w:t>
      </w:r>
      <w:r>
        <w:rPr>
          <w:rFonts w:hint="eastAsia"/>
          <w:sz w:val="24"/>
          <w:highlight w:val="none"/>
        </w:rPr>
        <w:t>）办理施工许可证及其它施工所需批件和临时用地、停水、停电、中断道路交通、爆破作业等的证件申请批准手续（证明承包人自身资质的证件除外）；</w:t>
      </w:r>
    </w:p>
    <w:p w14:paraId="14664493">
      <w:pPr>
        <w:widowControl/>
        <w:spacing w:line="360" w:lineRule="auto"/>
        <w:ind w:firstLine="480" w:firstLineChars="200"/>
        <w:rPr>
          <w:b/>
          <w:sz w:val="24"/>
          <w:highlight w:val="none"/>
        </w:rPr>
      </w:pPr>
      <w:r>
        <w:rPr>
          <w:rFonts w:hint="eastAsia"/>
          <w:sz w:val="24"/>
          <w:highlight w:val="none"/>
        </w:rPr>
        <w:t>（</w:t>
      </w:r>
      <w:r>
        <w:rPr>
          <w:sz w:val="24"/>
          <w:highlight w:val="none"/>
        </w:rPr>
        <w:t>6</w:t>
      </w:r>
      <w:r>
        <w:rPr>
          <w:rFonts w:hint="eastAsia"/>
          <w:sz w:val="24"/>
          <w:highlight w:val="none"/>
        </w:rPr>
        <w:t>）确定水准点与坐标控制点，以书面形式交给承包人，进行现场交验；</w:t>
      </w:r>
    </w:p>
    <w:p w14:paraId="0C231DAC">
      <w:pPr>
        <w:widowControl/>
        <w:spacing w:line="360" w:lineRule="auto"/>
        <w:ind w:firstLine="480" w:firstLineChars="200"/>
        <w:rPr>
          <w:b/>
          <w:sz w:val="24"/>
          <w:highlight w:val="none"/>
        </w:rPr>
      </w:pPr>
      <w:r>
        <w:rPr>
          <w:rFonts w:hint="eastAsia"/>
          <w:sz w:val="24"/>
          <w:highlight w:val="none"/>
        </w:rPr>
        <w:t>（</w:t>
      </w:r>
      <w:r>
        <w:rPr>
          <w:sz w:val="24"/>
          <w:highlight w:val="none"/>
        </w:rPr>
        <w:t>7</w:t>
      </w:r>
      <w:r>
        <w:rPr>
          <w:rFonts w:hint="eastAsia"/>
          <w:sz w:val="24"/>
          <w:highlight w:val="none"/>
        </w:rPr>
        <w:t>）组织承包人和设计单位进行图纸会审和设计交底；</w:t>
      </w:r>
    </w:p>
    <w:p w14:paraId="708322EB">
      <w:pPr>
        <w:widowControl/>
        <w:spacing w:line="360" w:lineRule="auto"/>
        <w:ind w:firstLine="480" w:firstLineChars="200"/>
        <w:rPr>
          <w:b/>
          <w:sz w:val="24"/>
          <w:highlight w:val="none"/>
        </w:rPr>
      </w:pPr>
      <w:r>
        <w:rPr>
          <w:rFonts w:hint="eastAsia"/>
          <w:sz w:val="24"/>
          <w:highlight w:val="none"/>
        </w:rPr>
        <w:t>（</w:t>
      </w:r>
      <w:r>
        <w:rPr>
          <w:sz w:val="24"/>
          <w:highlight w:val="none"/>
        </w:rPr>
        <w:t>8</w:t>
      </w:r>
      <w:r>
        <w:rPr>
          <w:rFonts w:hint="eastAsia"/>
          <w:sz w:val="24"/>
          <w:highlight w:val="none"/>
        </w:rPr>
        <w:t>）协调处理施工场地周围地下管线和邻近建筑物、构筑物（包括文物保护建筑）、古树名木的保护工作、承担有关费用；</w:t>
      </w:r>
    </w:p>
    <w:p w14:paraId="540E68EA">
      <w:pPr>
        <w:widowControl/>
        <w:spacing w:line="360" w:lineRule="auto"/>
        <w:ind w:firstLine="480" w:firstLineChars="200"/>
        <w:rPr>
          <w:b/>
          <w:sz w:val="24"/>
          <w:highlight w:val="none"/>
        </w:rPr>
      </w:pPr>
      <w:r>
        <w:rPr>
          <w:rFonts w:hint="eastAsia"/>
          <w:sz w:val="24"/>
          <w:highlight w:val="none"/>
        </w:rPr>
        <w:t>（</w:t>
      </w:r>
      <w:r>
        <w:rPr>
          <w:sz w:val="24"/>
          <w:highlight w:val="none"/>
        </w:rPr>
        <w:t>9</w:t>
      </w:r>
      <w:r>
        <w:rPr>
          <w:rFonts w:hint="eastAsia"/>
          <w:sz w:val="24"/>
          <w:highlight w:val="none"/>
        </w:rPr>
        <w:t>）发包人应做的其他工作，双方在专用条款内约定。</w:t>
      </w:r>
    </w:p>
    <w:p w14:paraId="2B014EDB">
      <w:pPr>
        <w:widowControl/>
        <w:spacing w:line="360" w:lineRule="auto"/>
        <w:ind w:firstLine="480" w:firstLineChars="200"/>
        <w:rPr>
          <w:b/>
          <w:sz w:val="24"/>
          <w:highlight w:val="none"/>
        </w:rPr>
      </w:pPr>
      <w:r>
        <w:rPr>
          <w:rFonts w:hint="eastAsia"/>
          <w:sz w:val="24"/>
          <w:highlight w:val="none"/>
        </w:rPr>
        <w:t>8.2发包人可以将</w:t>
      </w:r>
      <w:r>
        <w:rPr>
          <w:sz w:val="24"/>
          <w:highlight w:val="none"/>
        </w:rPr>
        <w:t>8.1</w:t>
      </w:r>
      <w:r>
        <w:rPr>
          <w:rFonts w:hint="eastAsia"/>
          <w:sz w:val="24"/>
          <w:highlight w:val="none"/>
        </w:rPr>
        <w:t>款部分工作委托承包人办理，双方在专用条款内约定，其费用由发包人承担。</w:t>
      </w:r>
    </w:p>
    <w:p w14:paraId="521DDE03">
      <w:pPr>
        <w:widowControl/>
        <w:spacing w:line="360" w:lineRule="auto"/>
        <w:ind w:firstLine="480" w:firstLineChars="200"/>
        <w:rPr>
          <w:b/>
          <w:sz w:val="24"/>
          <w:highlight w:val="none"/>
        </w:rPr>
      </w:pPr>
      <w:r>
        <w:rPr>
          <w:rFonts w:hint="eastAsia"/>
          <w:sz w:val="24"/>
          <w:highlight w:val="none"/>
        </w:rPr>
        <w:t>8.3发包人未能履行</w:t>
      </w:r>
      <w:r>
        <w:rPr>
          <w:sz w:val="24"/>
          <w:highlight w:val="none"/>
        </w:rPr>
        <w:t>8.1</w:t>
      </w:r>
      <w:r>
        <w:rPr>
          <w:rFonts w:hint="eastAsia"/>
          <w:sz w:val="24"/>
          <w:highlight w:val="none"/>
        </w:rPr>
        <w:t>款各项义务，导致工期延误或给承包人造成损失的，发包人赔偿承包人有关损失，顺延延误的工期。</w:t>
      </w:r>
    </w:p>
    <w:p w14:paraId="403B35B5">
      <w:pPr>
        <w:widowControl/>
        <w:spacing w:line="360" w:lineRule="auto"/>
        <w:ind w:firstLine="480" w:firstLineChars="200"/>
        <w:outlineLvl w:val="0"/>
        <w:rPr>
          <w:b/>
          <w:sz w:val="24"/>
          <w:highlight w:val="none"/>
        </w:rPr>
      </w:pPr>
      <w:bookmarkStart w:id="241" w:name="_Toc385848078"/>
      <w:r>
        <w:rPr>
          <w:rFonts w:hint="eastAsia"/>
          <w:sz w:val="24"/>
          <w:highlight w:val="none"/>
        </w:rPr>
        <w:t>９、承包人工作</w:t>
      </w:r>
      <w:bookmarkEnd w:id="241"/>
    </w:p>
    <w:p w14:paraId="71867346">
      <w:pPr>
        <w:widowControl/>
        <w:spacing w:line="360" w:lineRule="auto"/>
        <w:ind w:firstLine="480" w:firstLineChars="200"/>
        <w:rPr>
          <w:b/>
          <w:sz w:val="24"/>
          <w:highlight w:val="none"/>
        </w:rPr>
      </w:pPr>
      <w:r>
        <w:rPr>
          <w:rFonts w:hint="eastAsia"/>
          <w:sz w:val="24"/>
          <w:highlight w:val="none"/>
        </w:rPr>
        <w:t>9.1承包人按专用条款约定的内容和时间完成以下工作：</w:t>
      </w:r>
    </w:p>
    <w:p w14:paraId="73654444">
      <w:pPr>
        <w:widowControl/>
        <w:spacing w:line="360" w:lineRule="auto"/>
        <w:ind w:firstLine="480" w:firstLineChars="200"/>
        <w:rPr>
          <w:b/>
          <w:sz w:val="24"/>
          <w:highlight w:val="none"/>
        </w:rPr>
      </w:pPr>
      <w:r>
        <w:rPr>
          <w:rFonts w:hint="eastAsia"/>
          <w:sz w:val="24"/>
          <w:highlight w:val="none"/>
        </w:rPr>
        <w:t>（1）根据发包人委托，在其设计资质等级和业务允许的范围内，完成施工图设计或与工程配套的设计，经工程师确认后使用，发包人承担由此发生的费用；</w:t>
      </w:r>
    </w:p>
    <w:p w14:paraId="615F040A">
      <w:pPr>
        <w:widowControl/>
        <w:spacing w:line="360" w:lineRule="auto"/>
        <w:ind w:firstLine="480" w:firstLineChars="200"/>
        <w:rPr>
          <w:b/>
          <w:sz w:val="24"/>
          <w:highlight w:val="none"/>
        </w:rPr>
      </w:pPr>
      <w:r>
        <w:rPr>
          <w:rFonts w:hint="eastAsia"/>
          <w:sz w:val="24"/>
          <w:highlight w:val="none"/>
        </w:rPr>
        <w:t>（2）向工程师提供年、季、月度工程进度计划及相应进度统计报表；</w:t>
      </w:r>
    </w:p>
    <w:p w14:paraId="489EB9DC">
      <w:pPr>
        <w:widowControl/>
        <w:spacing w:line="360" w:lineRule="auto"/>
        <w:ind w:firstLine="480" w:firstLineChars="200"/>
        <w:rPr>
          <w:b/>
          <w:sz w:val="24"/>
          <w:highlight w:val="none"/>
        </w:rPr>
      </w:pPr>
      <w:r>
        <w:rPr>
          <w:rFonts w:hint="eastAsia"/>
          <w:sz w:val="24"/>
          <w:highlight w:val="none"/>
        </w:rPr>
        <w:t>（3）根据工程需要，提供和维修非夜间施工使用的照明、围栏设施；负责施工现场安全保卫；</w:t>
      </w:r>
    </w:p>
    <w:p w14:paraId="4E0538C7">
      <w:pPr>
        <w:widowControl/>
        <w:spacing w:line="360" w:lineRule="auto"/>
        <w:ind w:firstLine="480" w:firstLineChars="200"/>
        <w:rPr>
          <w:b/>
          <w:sz w:val="24"/>
          <w:highlight w:val="none"/>
        </w:rPr>
      </w:pPr>
      <w:r>
        <w:rPr>
          <w:rFonts w:hint="eastAsia"/>
          <w:sz w:val="24"/>
          <w:highlight w:val="none"/>
        </w:rPr>
        <w:t>（4）按专用条款约定的数量和要求，向发包人提供施工场地办公和生活的房屋及设施，发包人承担由此发生的费用；</w:t>
      </w:r>
    </w:p>
    <w:p w14:paraId="3A9A7791">
      <w:pPr>
        <w:widowControl/>
        <w:spacing w:line="360" w:lineRule="auto"/>
        <w:ind w:firstLine="480" w:firstLineChars="200"/>
        <w:rPr>
          <w:b/>
          <w:sz w:val="24"/>
          <w:highlight w:val="none"/>
        </w:rPr>
      </w:pPr>
      <w:r>
        <w:rPr>
          <w:rFonts w:hint="eastAsia"/>
          <w:sz w:val="24"/>
          <w:highlight w:val="none"/>
        </w:rPr>
        <w:t>（5）遵守政府有关主管部门对施工场地安全防护、文明施工、环境保护以及场地交通等的管理规定，按规定办理有关手续，并以书面形式通知发包人。</w:t>
      </w:r>
    </w:p>
    <w:p w14:paraId="7D8C5CF7">
      <w:pPr>
        <w:widowControl/>
        <w:spacing w:line="360" w:lineRule="auto"/>
        <w:ind w:firstLine="480" w:firstLineChars="200"/>
        <w:rPr>
          <w:b/>
          <w:sz w:val="24"/>
          <w:highlight w:val="none"/>
        </w:rPr>
      </w:pPr>
      <w:r>
        <w:rPr>
          <w:rFonts w:hint="eastAsia"/>
          <w:sz w:val="24"/>
          <w:highlight w:val="none"/>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1E83F33F">
      <w:pPr>
        <w:widowControl/>
        <w:spacing w:line="360" w:lineRule="auto"/>
        <w:ind w:firstLine="480" w:firstLineChars="200"/>
        <w:rPr>
          <w:b/>
          <w:bCs/>
          <w:sz w:val="24"/>
          <w:highlight w:val="none"/>
        </w:rPr>
      </w:pPr>
      <w:r>
        <w:rPr>
          <w:rFonts w:hint="eastAsia"/>
          <w:sz w:val="24"/>
          <w:highlight w:val="none"/>
        </w:rPr>
        <w:t>（7）按专用条款约定做好施工场地地下管线和邻近建筑物、构筑物（包括文物保护建筑）、古树名木的保护工作</w:t>
      </w:r>
      <w:r>
        <w:rPr>
          <w:rFonts w:hint="eastAsia"/>
          <w:bCs/>
          <w:sz w:val="24"/>
          <w:highlight w:val="none"/>
        </w:rPr>
        <w:t>；</w:t>
      </w:r>
    </w:p>
    <w:p w14:paraId="4AAF9976">
      <w:pPr>
        <w:widowControl/>
        <w:spacing w:line="360" w:lineRule="auto"/>
        <w:ind w:firstLine="480" w:firstLineChars="200"/>
        <w:rPr>
          <w:b/>
          <w:sz w:val="24"/>
          <w:highlight w:val="none"/>
        </w:rPr>
      </w:pPr>
      <w:r>
        <w:rPr>
          <w:rFonts w:hint="eastAsia"/>
          <w:sz w:val="24"/>
          <w:highlight w:val="none"/>
        </w:rPr>
        <w:t>（8）保证施工场地清洁符合环境卫生管理的有关规定，交工前清理现场达到专用条款约定的要求，承担因自身原因违反有关规定造成的损失和罚款；</w:t>
      </w:r>
    </w:p>
    <w:p w14:paraId="32F9BF8C">
      <w:pPr>
        <w:widowControl/>
        <w:spacing w:line="360" w:lineRule="auto"/>
        <w:ind w:firstLine="480" w:firstLineChars="200"/>
        <w:rPr>
          <w:b/>
          <w:sz w:val="24"/>
          <w:highlight w:val="none"/>
        </w:rPr>
      </w:pPr>
      <w:r>
        <w:rPr>
          <w:rFonts w:hint="eastAsia"/>
          <w:sz w:val="24"/>
          <w:highlight w:val="none"/>
        </w:rPr>
        <w:t>（9）承包人应做的其他工作，双方在专用条款内约定。</w:t>
      </w:r>
    </w:p>
    <w:p w14:paraId="1B7CC071">
      <w:pPr>
        <w:widowControl/>
        <w:spacing w:line="360" w:lineRule="auto"/>
        <w:ind w:firstLine="480" w:firstLineChars="200"/>
        <w:rPr>
          <w:b/>
          <w:sz w:val="24"/>
          <w:highlight w:val="none"/>
        </w:rPr>
      </w:pPr>
      <w:r>
        <w:rPr>
          <w:rFonts w:hint="eastAsia"/>
          <w:sz w:val="24"/>
          <w:highlight w:val="none"/>
        </w:rPr>
        <w:t>9.2承包人未能履行9.1款各项义务，造成发包人损失的，承包人赔偿发包人有关损失。</w:t>
      </w:r>
    </w:p>
    <w:p w14:paraId="463563D0">
      <w:pPr>
        <w:widowControl/>
        <w:spacing w:line="360" w:lineRule="auto"/>
        <w:ind w:firstLine="480" w:firstLineChars="200"/>
        <w:outlineLvl w:val="0"/>
        <w:rPr>
          <w:sz w:val="24"/>
          <w:highlight w:val="none"/>
        </w:rPr>
      </w:pPr>
      <w:bookmarkStart w:id="242" w:name="_Toc385848079"/>
      <w:r>
        <w:rPr>
          <w:rFonts w:hint="eastAsia"/>
          <w:sz w:val="24"/>
          <w:highlight w:val="none"/>
        </w:rPr>
        <w:t>三、施工组织设计和工期</w:t>
      </w:r>
      <w:bookmarkEnd w:id="242"/>
    </w:p>
    <w:p w14:paraId="71223200">
      <w:pPr>
        <w:widowControl/>
        <w:spacing w:line="360" w:lineRule="auto"/>
        <w:ind w:firstLine="480" w:firstLineChars="200"/>
        <w:rPr>
          <w:b/>
          <w:sz w:val="24"/>
          <w:highlight w:val="none"/>
        </w:rPr>
      </w:pPr>
      <w:r>
        <w:rPr>
          <w:rFonts w:hint="eastAsia"/>
          <w:sz w:val="24"/>
          <w:highlight w:val="none"/>
        </w:rPr>
        <w:t>10、进度计划</w:t>
      </w:r>
    </w:p>
    <w:p w14:paraId="565FABD4">
      <w:pPr>
        <w:widowControl/>
        <w:spacing w:line="360" w:lineRule="auto"/>
        <w:ind w:firstLine="480" w:firstLineChars="200"/>
        <w:rPr>
          <w:b/>
          <w:sz w:val="24"/>
          <w:highlight w:val="none"/>
        </w:rPr>
      </w:pPr>
      <w:r>
        <w:rPr>
          <w:rFonts w:hint="eastAsia"/>
          <w:sz w:val="24"/>
          <w:highlight w:val="none"/>
        </w:rPr>
        <w:t>10.1承包人应按专用条款约定的日期，将施工组织设计和工程进度计划提交工程师，工程师按专用条款约定的时间予以确认或提出修改意见，逾期不确认也不提出书面意见的，视为同意。</w:t>
      </w:r>
    </w:p>
    <w:p w14:paraId="63620BE5">
      <w:pPr>
        <w:widowControl/>
        <w:spacing w:line="360" w:lineRule="auto"/>
        <w:ind w:firstLine="480" w:firstLineChars="200"/>
        <w:rPr>
          <w:b/>
          <w:sz w:val="24"/>
          <w:highlight w:val="none"/>
        </w:rPr>
      </w:pPr>
      <w:r>
        <w:rPr>
          <w:rFonts w:hint="eastAsia"/>
          <w:sz w:val="24"/>
          <w:highlight w:val="none"/>
        </w:rPr>
        <w:t>10.2群体工程中单位工程分期进行施工的，承包人应按照发包人提供图纸及有关资料的时间，按单位工程编制进度计划，其具体内容双方在专用条款中约定。</w:t>
      </w:r>
    </w:p>
    <w:p w14:paraId="4C320F38">
      <w:pPr>
        <w:widowControl/>
        <w:spacing w:line="360" w:lineRule="auto"/>
        <w:ind w:firstLine="480" w:firstLineChars="200"/>
        <w:rPr>
          <w:b/>
          <w:sz w:val="24"/>
          <w:highlight w:val="none"/>
        </w:rPr>
      </w:pPr>
      <w:r>
        <w:rPr>
          <w:rFonts w:hint="eastAsia"/>
          <w:sz w:val="24"/>
          <w:highlight w:val="none"/>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14:paraId="269C070B">
      <w:pPr>
        <w:widowControl/>
        <w:spacing w:line="360" w:lineRule="auto"/>
        <w:ind w:firstLine="480" w:firstLineChars="200"/>
        <w:rPr>
          <w:b/>
          <w:sz w:val="24"/>
          <w:highlight w:val="none"/>
        </w:rPr>
      </w:pPr>
      <w:r>
        <w:rPr>
          <w:rFonts w:hint="eastAsia"/>
          <w:sz w:val="24"/>
          <w:highlight w:val="none"/>
        </w:rPr>
        <w:t>11、开工及延期开工</w:t>
      </w:r>
    </w:p>
    <w:p w14:paraId="3F059D69">
      <w:pPr>
        <w:widowControl/>
        <w:spacing w:line="360" w:lineRule="auto"/>
        <w:ind w:firstLine="480" w:firstLineChars="200"/>
        <w:rPr>
          <w:b/>
          <w:sz w:val="24"/>
          <w:highlight w:val="none"/>
        </w:rPr>
      </w:pPr>
      <w:r>
        <w:rPr>
          <w:rFonts w:hint="eastAsia"/>
          <w:sz w:val="24"/>
          <w:highlight w:val="none"/>
        </w:rPr>
        <w:t>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14:paraId="6D751C3E">
      <w:pPr>
        <w:widowControl/>
        <w:spacing w:line="360" w:lineRule="auto"/>
        <w:ind w:firstLine="480" w:firstLineChars="200"/>
        <w:rPr>
          <w:b/>
          <w:sz w:val="24"/>
          <w:highlight w:val="none"/>
        </w:rPr>
      </w:pPr>
      <w:r>
        <w:rPr>
          <w:rFonts w:hint="eastAsia"/>
          <w:sz w:val="24"/>
          <w:highlight w:val="none"/>
        </w:rPr>
        <w:t>11.2因发包人原因不能按照协议书约定的开工日期开工，工程师应以书面形式通知承包人，推迟开工日期。发包人赔偿承包人因延期开工造成的损失，并相应顺延工期。</w:t>
      </w:r>
    </w:p>
    <w:p w14:paraId="0DD59A63">
      <w:pPr>
        <w:widowControl/>
        <w:spacing w:line="360" w:lineRule="auto"/>
        <w:ind w:firstLine="480" w:firstLineChars="200"/>
        <w:rPr>
          <w:b/>
          <w:sz w:val="24"/>
          <w:highlight w:val="none"/>
        </w:rPr>
      </w:pPr>
      <w:r>
        <w:rPr>
          <w:rFonts w:hint="eastAsia"/>
          <w:sz w:val="24"/>
          <w:highlight w:val="none"/>
        </w:rPr>
        <w:t>12、暂停施工</w:t>
      </w:r>
    </w:p>
    <w:p w14:paraId="0FC22287">
      <w:pPr>
        <w:widowControl/>
        <w:spacing w:line="360" w:lineRule="auto"/>
        <w:ind w:firstLine="480" w:firstLineChars="200"/>
        <w:rPr>
          <w:b/>
          <w:sz w:val="24"/>
          <w:highlight w:val="none"/>
        </w:rPr>
      </w:pPr>
      <w:r>
        <w:rPr>
          <w:rFonts w:hint="eastAsia"/>
          <w:sz w:val="24"/>
          <w:highlight w:val="none"/>
        </w:rPr>
        <w:t>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7639263D">
      <w:pPr>
        <w:widowControl/>
        <w:spacing w:line="360" w:lineRule="auto"/>
        <w:ind w:firstLine="480" w:firstLineChars="200"/>
        <w:rPr>
          <w:b/>
          <w:sz w:val="24"/>
          <w:highlight w:val="none"/>
        </w:rPr>
      </w:pPr>
      <w:r>
        <w:rPr>
          <w:rFonts w:hint="eastAsia"/>
          <w:sz w:val="24"/>
          <w:highlight w:val="none"/>
        </w:rPr>
        <w:t>13、工期延误</w:t>
      </w:r>
    </w:p>
    <w:p w14:paraId="6D57F047">
      <w:pPr>
        <w:widowControl/>
        <w:spacing w:line="360" w:lineRule="auto"/>
        <w:ind w:firstLine="480" w:firstLineChars="200"/>
        <w:rPr>
          <w:b/>
          <w:sz w:val="24"/>
          <w:highlight w:val="none"/>
        </w:rPr>
      </w:pPr>
      <w:r>
        <w:rPr>
          <w:rFonts w:hint="eastAsia"/>
          <w:sz w:val="24"/>
          <w:highlight w:val="none"/>
        </w:rPr>
        <w:t>13.1因以下原因造成工期延误，经工程师确认，工期相应顺延：</w:t>
      </w:r>
    </w:p>
    <w:p w14:paraId="67717BFA">
      <w:pPr>
        <w:widowControl/>
        <w:spacing w:line="360" w:lineRule="auto"/>
        <w:ind w:firstLine="480" w:firstLineChars="200"/>
        <w:rPr>
          <w:b/>
          <w:sz w:val="24"/>
          <w:highlight w:val="none"/>
        </w:rPr>
      </w:pPr>
      <w:r>
        <w:rPr>
          <w:rFonts w:hint="eastAsia"/>
          <w:sz w:val="24"/>
          <w:highlight w:val="none"/>
        </w:rPr>
        <w:t>（1）发包人未能按专用条款的约定提供图纸及开工条件；</w:t>
      </w:r>
    </w:p>
    <w:p w14:paraId="74BB5C13">
      <w:pPr>
        <w:widowControl/>
        <w:spacing w:line="360" w:lineRule="auto"/>
        <w:ind w:firstLine="480" w:firstLineChars="200"/>
        <w:rPr>
          <w:b/>
          <w:sz w:val="24"/>
          <w:highlight w:val="none"/>
        </w:rPr>
      </w:pPr>
      <w:r>
        <w:rPr>
          <w:rFonts w:hint="eastAsia"/>
          <w:sz w:val="24"/>
          <w:highlight w:val="none"/>
        </w:rPr>
        <w:t>（2）发包人未能按约定日期支付工程预付款、进度款，致使施工不能正常进行；</w:t>
      </w:r>
    </w:p>
    <w:p w14:paraId="35D5BB12">
      <w:pPr>
        <w:widowControl/>
        <w:spacing w:line="360" w:lineRule="auto"/>
        <w:ind w:firstLine="480" w:firstLineChars="200"/>
        <w:rPr>
          <w:b/>
          <w:sz w:val="24"/>
          <w:highlight w:val="none"/>
        </w:rPr>
      </w:pPr>
      <w:r>
        <w:rPr>
          <w:rFonts w:hint="eastAsia"/>
          <w:sz w:val="24"/>
          <w:highlight w:val="none"/>
        </w:rPr>
        <w:t>（3）工程师未按合同约定提供所需指令、批准等，致使施工不能正常进行；</w:t>
      </w:r>
    </w:p>
    <w:p w14:paraId="5A756653">
      <w:pPr>
        <w:widowControl/>
        <w:spacing w:line="360" w:lineRule="auto"/>
        <w:ind w:firstLine="480" w:firstLineChars="200"/>
        <w:rPr>
          <w:b/>
          <w:sz w:val="24"/>
          <w:highlight w:val="none"/>
        </w:rPr>
      </w:pPr>
      <w:r>
        <w:rPr>
          <w:rFonts w:hint="eastAsia"/>
          <w:sz w:val="24"/>
          <w:highlight w:val="none"/>
        </w:rPr>
        <w:t>（4）设计变更和工程量增加；</w:t>
      </w:r>
    </w:p>
    <w:p w14:paraId="64775133">
      <w:pPr>
        <w:widowControl/>
        <w:spacing w:line="360" w:lineRule="auto"/>
        <w:ind w:firstLine="480" w:firstLineChars="200"/>
        <w:rPr>
          <w:b/>
          <w:sz w:val="24"/>
          <w:highlight w:val="none"/>
        </w:rPr>
      </w:pPr>
      <w:r>
        <w:rPr>
          <w:rFonts w:hint="eastAsia"/>
          <w:sz w:val="24"/>
          <w:highlight w:val="none"/>
        </w:rPr>
        <w:t>（5）一周内非承包人原因停水、停电、停气造成停工累计超过8小时；</w:t>
      </w:r>
    </w:p>
    <w:p w14:paraId="2C2161D5">
      <w:pPr>
        <w:widowControl/>
        <w:spacing w:line="360" w:lineRule="auto"/>
        <w:ind w:firstLine="480" w:firstLineChars="200"/>
        <w:rPr>
          <w:b/>
          <w:sz w:val="24"/>
          <w:highlight w:val="none"/>
        </w:rPr>
      </w:pPr>
      <w:r>
        <w:rPr>
          <w:rFonts w:hint="eastAsia"/>
          <w:sz w:val="24"/>
          <w:highlight w:val="none"/>
        </w:rPr>
        <w:t>（6）不可抗力；</w:t>
      </w:r>
    </w:p>
    <w:p w14:paraId="0C668525">
      <w:pPr>
        <w:widowControl/>
        <w:spacing w:line="360" w:lineRule="auto"/>
        <w:ind w:firstLine="480" w:firstLineChars="200"/>
        <w:rPr>
          <w:b/>
          <w:sz w:val="24"/>
          <w:highlight w:val="none"/>
        </w:rPr>
      </w:pPr>
      <w:r>
        <w:rPr>
          <w:rFonts w:hint="eastAsia"/>
          <w:sz w:val="24"/>
          <w:highlight w:val="none"/>
        </w:rPr>
        <w:t>（7）专用条款中约定或工程师同意工期顺延的其他情况。</w:t>
      </w:r>
    </w:p>
    <w:p w14:paraId="433B762F">
      <w:pPr>
        <w:widowControl/>
        <w:spacing w:line="360" w:lineRule="auto"/>
        <w:ind w:firstLine="480" w:firstLineChars="200"/>
        <w:rPr>
          <w:b/>
          <w:sz w:val="24"/>
          <w:highlight w:val="none"/>
        </w:rPr>
      </w:pPr>
      <w:r>
        <w:rPr>
          <w:rFonts w:hint="eastAsia"/>
          <w:sz w:val="24"/>
          <w:highlight w:val="none"/>
        </w:rPr>
        <w:t>13.2承包人在13.1款情况发生后14天内，就延误的工期以书面形式向工程师提出报告。工程师在收到报告后14天内予以确认，逾期不予确认也不提出修改意见，视为同意顺延工期。</w:t>
      </w:r>
    </w:p>
    <w:p w14:paraId="0BB92944">
      <w:pPr>
        <w:widowControl/>
        <w:spacing w:line="360" w:lineRule="auto"/>
        <w:ind w:firstLine="480" w:firstLineChars="200"/>
        <w:rPr>
          <w:b/>
          <w:sz w:val="24"/>
          <w:highlight w:val="none"/>
        </w:rPr>
      </w:pPr>
      <w:r>
        <w:rPr>
          <w:rFonts w:hint="eastAsia"/>
          <w:sz w:val="24"/>
          <w:highlight w:val="none"/>
        </w:rPr>
        <w:t>14、工程竣工</w:t>
      </w:r>
    </w:p>
    <w:p w14:paraId="5CCBA50C">
      <w:pPr>
        <w:widowControl/>
        <w:spacing w:line="360" w:lineRule="auto"/>
        <w:ind w:firstLine="480" w:firstLineChars="200"/>
        <w:rPr>
          <w:b/>
          <w:sz w:val="24"/>
          <w:highlight w:val="none"/>
        </w:rPr>
      </w:pPr>
      <w:r>
        <w:rPr>
          <w:rFonts w:hint="eastAsia"/>
          <w:sz w:val="24"/>
          <w:highlight w:val="none"/>
        </w:rPr>
        <w:t>14.1承包人必须按照协议书约定的竣工日期或工程师同意顺延的工期竣工。</w:t>
      </w:r>
    </w:p>
    <w:p w14:paraId="0A2628D0">
      <w:pPr>
        <w:widowControl/>
        <w:spacing w:line="360" w:lineRule="auto"/>
        <w:ind w:firstLine="480" w:firstLineChars="200"/>
        <w:rPr>
          <w:b/>
          <w:sz w:val="24"/>
          <w:highlight w:val="none"/>
        </w:rPr>
      </w:pPr>
      <w:r>
        <w:rPr>
          <w:rFonts w:hint="eastAsia"/>
          <w:sz w:val="24"/>
          <w:highlight w:val="none"/>
        </w:rPr>
        <w:t>14.2因承包人原因不能按照协议书约定的竣工日期或工程师同意顺延的工期竣工的，承包人承担违约责任。</w:t>
      </w:r>
    </w:p>
    <w:p w14:paraId="53140712">
      <w:pPr>
        <w:widowControl/>
        <w:spacing w:line="360" w:lineRule="auto"/>
        <w:ind w:firstLine="480" w:firstLineChars="200"/>
        <w:rPr>
          <w:b/>
          <w:sz w:val="24"/>
          <w:highlight w:val="none"/>
        </w:rPr>
      </w:pPr>
      <w:r>
        <w:rPr>
          <w:rFonts w:hint="eastAsia"/>
          <w:sz w:val="24"/>
          <w:highlight w:val="none"/>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14:paraId="1C21378E">
      <w:pPr>
        <w:widowControl/>
        <w:spacing w:line="360" w:lineRule="auto"/>
        <w:ind w:firstLine="480" w:firstLineChars="200"/>
        <w:outlineLvl w:val="0"/>
        <w:rPr>
          <w:sz w:val="24"/>
          <w:highlight w:val="none"/>
        </w:rPr>
      </w:pPr>
      <w:bookmarkStart w:id="243" w:name="_Toc385848080"/>
      <w:r>
        <w:rPr>
          <w:rFonts w:hint="eastAsia"/>
          <w:sz w:val="24"/>
          <w:highlight w:val="none"/>
        </w:rPr>
        <w:t>四、质量与检验</w:t>
      </w:r>
      <w:bookmarkEnd w:id="243"/>
    </w:p>
    <w:p w14:paraId="13806C8A">
      <w:pPr>
        <w:widowControl/>
        <w:spacing w:line="360" w:lineRule="auto"/>
        <w:ind w:firstLine="480" w:firstLineChars="200"/>
        <w:rPr>
          <w:b/>
          <w:sz w:val="24"/>
          <w:highlight w:val="none"/>
        </w:rPr>
      </w:pPr>
      <w:r>
        <w:rPr>
          <w:rFonts w:hint="eastAsia"/>
          <w:sz w:val="24"/>
          <w:highlight w:val="none"/>
        </w:rPr>
        <w:t>15、工程质量</w:t>
      </w:r>
    </w:p>
    <w:p w14:paraId="42C2DBA0">
      <w:pPr>
        <w:widowControl/>
        <w:spacing w:line="360" w:lineRule="auto"/>
        <w:ind w:firstLine="480" w:firstLineChars="200"/>
        <w:rPr>
          <w:b/>
          <w:sz w:val="24"/>
          <w:highlight w:val="none"/>
        </w:rPr>
      </w:pPr>
      <w:r>
        <w:rPr>
          <w:rFonts w:hint="eastAsia"/>
          <w:sz w:val="24"/>
          <w:highlight w:val="none"/>
        </w:rPr>
        <w:t>15.1工程质量应当达到协议书约定的质量标准，质量标准的评定以国家或行业的质量检验评定标准为依据。因承包人原因工程质量达不到约定的质量标准，承包人承担违约责任。</w:t>
      </w:r>
    </w:p>
    <w:p w14:paraId="321DBC4F">
      <w:pPr>
        <w:widowControl/>
        <w:spacing w:line="360" w:lineRule="auto"/>
        <w:ind w:firstLine="480" w:firstLineChars="200"/>
        <w:rPr>
          <w:b/>
          <w:sz w:val="24"/>
          <w:highlight w:val="none"/>
        </w:rPr>
      </w:pPr>
      <w:r>
        <w:rPr>
          <w:rFonts w:hint="eastAsia"/>
          <w:sz w:val="24"/>
          <w:highlight w:val="none"/>
        </w:rPr>
        <w:t>15.2双方对工程质量有争议，由双方同意的工程质量检测机构鉴定，所需费用及因此造成的损失，由责任方承担。双方均有责任，由双方根据其责任分别承担。</w:t>
      </w:r>
    </w:p>
    <w:p w14:paraId="79BD0766">
      <w:pPr>
        <w:widowControl/>
        <w:spacing w:line="360" w:lineRule="auto"/>
        <w:ind w:firstLine="480" w:firstLineChars="200"/>
        <w:rPr>
          <w:b/>
          <w:sz w:val="24"/>
          <w:highlight w:val="none"/>
        </w:rPr>
      </w:pPr>
      <w:r>
        <w:rPr>
          <w:rFonts w:hint="eastAsia"/>
          <w:sz w:val="24"/>
          <w:highlight w:val="none"/>
        </w:rPr>
        <w:t>16、检查和返工</w:t>
      </w:r>
    </w:p>
    <w:p w14:paraId="213C9854">
      <w:pPr>
        <w:widowControl/>
        <w:spacing w:line="360" w:lineRule="auto"/>
        <w:ind w:firstLine="480" w:firstLineChars="200"/>
        <w:rPr>
          <w:b/>
          <w:sz w:val="24"/>
          <w:highlight w:val="none"/>
        </w:rPr>
      </w:pPr>
      <w:r>
        <w:rPr>
          <w:rFonts w:hint="eastAsia"/>
          <w:sz w:val="24"/>
          <w:highlight w:val="none"/>
        </w:rPr>
        <w:t>16.1承包人应认真按照标准、规范和设计图纸要求以及工程师依据合同发出的指令施工，随时接受工程师的检查检验，为检查检验提供便利条件。</w:t>
      </w:r>
    </w:p>
    <w:p w14:paraId="463C42DC">
      <w:pPr>
        <w:widowControl/>
        <w:spacing w:line="360" w:lineRule="auto"/>
        <w:ind w:firstLine="480" w:firstLineChars="200"/>
        <w:rPr>
          <w:b/>
          <w:sz w:val="24"/>
          <w:highlight w:val="none"/>
        </w:rPr>
      </w:pPr>
      <w:r>
        <w:rPr>
          <w:rFonts w:hint="eastAsia"/>
          <w:sz w:val="24"/>
          <w:highlight w:val="none"/>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43832E84">
      <w:pPr>
        <w:widowControl/>
        <w:spacing w:line="360" w:lineRule="auto"/>
        <w:ind w:firstLine="480" w:firstLineChars="200"/>
        <w:rPr>
          <w:b/>
          <w:sz w:val="24"/>
          <w:highlight w:val="none"/>
        </w:rPr>
      </w:pPr>
      <w:r>
        <w:rPr>
          <w:rFonts w:hint="eastAsia"/>
          <w:sz w:val="24"/>
          <w:highlight w:val="none"/>
        </w:rPr>
        <w:t>16.3工程师的检查检验不应影响施工正常进行。如影响施工正常进行，检查检验不合格时，影响正常施工的费用由承包人承担。除此之外影响正常施工的追加合同价款由发包人承担，相应顺延工期。</w:t>
      </w:r>
    </w:p>
    <w:p w14:paraId="5BF18C4B">
      <w:pPr>
        <w:widowControl/>
        <w:spacing w:line="360" w:lineRule="auto"/>
        <w:ind w:firstLine="480" w:firstLineChars="200"/>
        <w:rPr>
          <w:b/>
          <w:sz w:val="24"/>
          <w:highlight w:val="none"/>
        </w:rPr>
      </w:pPr>
      <w:r>
        <w:rPr>
          <w:rFonts w:hint="eastAsia"/>
          <w:sz w:val="24"/>
          <w:highlight w:val="none"/>
        </w:rPr>
        <w:t>16.4因工程师指令失误或其他非承包人原因发生的追加合同价款，由发包人承担。</w:t>
      </w:r>
    </w:p>
    <w:p w14:paraId="3975A29B">
      <w:pPr>
        <w:widowControl/>
        <w:spacing w:line="360" w:lineRule="auto"/>
        <w:ind w:firstLine="480" w:firstLineChars="200"/>
        <w:rPr>
          <w:b/>
          <w:sz w:val="24"/>
          <w:highlight w:val="none"/>
        </w:rPr>
      </w:pPr>
      <w:r>
        <w:rPr>
          <w:rFonts w:hint="eastAsia"/>
          <w:sz w:val="24"/>
          <w:highlight w:val="none"/>
        </w:rPr>
        <w:t>17、隐蔽工程和中间验收</w:t>
      </w:r>
    </w:p>
    <w:p w14:paraId="7671A4E8">
      <w:pPr>
        <w:widowControl/>
        <w:spacing w:line="360" w:lineRule="auto"/>
        <w:ind w:firstLine="480" w:firstLineChars="200"/>
        <w:rPr>
          <w:b/>
          <w:sz w:val="24"/>
          <w:highlight w:val="none"/>
        </w:rPr>
      </w:pPr>
      <w:r>
        <w:rPr>
          <w:rFonts w:hint="eastAsia"/>
          <w:sz w:val="24"/>
          <w:highlight w:val="none"/>
        </w:rPr>
        <w:t>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14:paraId="0D4086B0">
      <w:pPr>
        <w:widowControl/>
        <w:spacing w:line="360" w:lineRule="auto"/>
        <w:ind w:firstLine="480" w:firstLineChars="200"/>
        <w:rPr>
          <w:b/>
          <w:sz w:val="24"/>
          <w:highlight w:val="none"/>
        </w:rPr>
      </w:pPr>
      <w:r>
        <w:rPr>
          <w:rFonts w:hint="eastAsia"/>
          <w:sz w:val="24"/>
          <w:highlight w:val="none"/>
        </w:rPr>
        <w:t>17.2工程师不能按时进行验收，应在验收前24小时以书面形式向承包人提出延期要求，延期不能超过48小时。工程师未能按以上时间提出延期要求，不进行验收，承包人可自行组织验收，工程师应承认验收记录。</w:t>
      </w:r>
    </w:p>
    <w:p w14:paraId="5BD20292">
      <w:pPr>
        <w:widowControl/>
        <w:spacing w:line="360" w:lineRule="auto"/>
        <w:ind w:firstLine="480" w:firstLineChars="200"/>
        <w:rPr>
          <w:b/>
          <w:sz w:val="24"/>
          <w:highlight w:val="none"/>
        </w:rPr>
      </w:pPr>
      <w:r>
        <w:rPr>
          <w:rFonts w:hint="eastAsia"/>
          <w:sz w:val="24"/>
          <w:highlight w:val="none"/>
        </w:rPr>
        <w:t>17.3经工程师验收，工程质量符合标准、规范和设计图纸等要求，验收24小时后，工程师不在验收记录上签字，视为工程师已经认可验收记录，承包人可进行隐蔽或继续施工。</w:t>
      </w:r>
    </w:p>
    <w:p w14:paraId="5B2DD39B">
      <w:pPr>
        <w:widowControl/>
        <w:spacing w:line="360" w:lineRule="auto"/>
        <w:ind w:firstLine="480" w:firstLineChars="200"/>
        <w:rPr>
          <w:b/>
          <w:sz w:val="24"/>
          <w:highlight w:val="none"/>
        </w:rPr>
      </w:pPr>
      <w:r>
        <w:rPr>
          <w:rFonts w:hint="eastAsia"/>
          <w:sz w:val="24"/>
          <w:highlight w:val="none"/>
        </w:rPr>
        <w:t>18、重新检验</w:t>
      </w:r>
    </w:p>
    <w:p w14:paraId="69544EDE">
      <w:pPr>
        <w:widowControl/>
        <w:spacing w:line="360" w:lineRule="auto"/>
        <w:ind w:firstLine="480" w:firstLineChars="200"/>
        <w:rPr>
          <w:b/>
          <w:sz w:val="24"/>
          <w:highlight w:val="none"/>
        </w:rPr>
      </w:pPr>
      <w:r>
        <w:rPr>
          <w:rFonts w:hint="eastAsia"/>
          <w:sz w:val="24"/>
          <w:highlight w:val="none"/>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14:paraId="79C059EE">
      <w:pPr>
        <w:widowControl/>
        <w:spacing w:line="360" w:lineRule="auto"/>
        <w:ind w:firstLine="480" w:firstLineChars="200"/>
        <w:rPr>
          <w:b/>
          <w:sz w:val="24"/>
          <w:highlight w:val="none"/>
        </w:rPr>
      </w:pPr>
      <w:r>
        <w:rPr>
          <w:rFonts w:hint="eastAsia"/>
          <w:sz w:val="24"/>
          <w:highlight w:val="none"/>
        </w:rPr>
        <w:t>19、工程试车</w:t>
      </w:r>
    </w:p>
    <w:p w14:paraId="350F2A3D">
      <w:pPr>
        <w:widowControl/>
        <w:spacing w:line="360" w:lineRule="auto"/>
        <w:ind w:firstLine="480" w:firstLineChars="200"/>
        <w:rPr>
          <w:b/>
          <w:sz w:val="24"/>
          <w:highlight w:val="none"/>
        </w:rPr>
      </w:pPr>
      <w:r>
        <w:rPr>
          <w:rFonts w:hint="eastAsia"/>
          <w:sz w:val="24"/>
          <w:highlight w:val="none"/>
        </w:rPr>
        <w:t>19.1双方约定需要试车的，试车内容应与承包人承包的安装范围相一致。</w:t>
      </w:r>
    </w:p>
    <w:p w14:paraId="5D8A0C5A">
      <w:pPr>
        <w:widowControl/>
        <w:spacing w:line="360" w:lineRule="auto"/>
        <w:ind w:firstLine="480" w:firstLineChars="200"/>
        <w:rPr>
          <w:b/>
          <w:sz w:val="24"/>
          <w:highlight w:val="none"/>
        </w:rPr>
      </w:pPr>
      <w:r>
        <w:rPr>
          <w:rFonts w:hint="eastAsia"/>
          <w:sz w:val="24"/>
          <w:highlight w:val="none"/>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14:paraId="7130CC7C">
      <w:pPr>
        <w:widowControl/>
        <w:spacing w:line="360" w:lineRule="auto"/>
        <w:ind w:firstLine="480" w:firstLineChars="200"/>
        <w:rPr>
          <w:b/>
          <w:sz w:val="24"/>
          <w:highlight w:val="none"/>
        </w:rPr>
      </w:pPr>
      <w:r>
        <w:rPr>
          <w:rFonts w:hint="eastAsia"/>
          <w:sz w:val="24"/>
          <w:highlight w:val="none"/>
        </w:rPr>
        <w:t>19.3工程师不能按时参加试车，须在开始试车前24小时以书面形式向承包人提出延期要求，延期不能超过48小时。工程师未能按以上时间提出延期要求，不参加试车，应承认试车记录。</w:t>
      </w:r>
    </w:p>
    <w:p w14:paraId="1D47B09B">
      <w:pPr>
        <w:widowControl/>
        <w:spacing w:line="360" w:lineRule="auto"/>
        <w:ind w:firstLine="480" w:firstLineChars="200"/>
        <w:rPr>
          <w:b/>
          <w:sz w:val="24"/>
          <w:highlight w:val="none"/>
        </w:rPr>
      </w:pPr>
      <w:r>
        <w:rPr>
          <w:rFonts w:hint="eastAsia"/>
          <w:sz w:val="24"/>
          <w:highlight w:val="none"/>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14:paraId="7C3D330C">
      <w:pPr>
        <w:widowControl/>
        <w:spacing w:line="360" w:lineRule="auto"/>
        <w:ind w:firstLine="480" w:firstLineChars="200"/>
        <w:rPr>
          <w:b/>
          <w:sz w:val="24"/>
          <w:highlight w:val="none"/>
        </w:rPr>
      </w:pPr>
      <w:r>
        <w:rPr>
          <w:rFonts w:hint="eastAsia"/>
          <w:sz w:val="24"/>
          <w:highlight w:val="none"/>
        </w:rPr>
        <w:t>19.5双方责任</w:t>
      </w:r>
    </w:p>
    <w:p w14:paraId="5886AFF7">
      <w:pPr>
        <w:widowControl/>
        <w:spacing w:line="360" w:lineRule="auto"/>
        <w:ind w:firstLine="480" w:firstLineChars="200"/>
        <w:rPr>
          <w:b/>
          <w:sz w:val="24"/>
          <w:highlight w:val="none"/>
        </w:rPr>
      </w:pPr>
      <w:r>
        <w:rPr>
          <w:rFonts w:hint="eastAsia"/>
          <w:sz w:val="24"/>
          <w:highlight w:val="none"/>
        </w:rPr>
        <w:t>（1）由于设计原因试车达不到验收要求，发包人应要求设计单位修改设计，承包人按修改后的设计重新安装。发包人承担修改设计、拆除及重新安装的全部费用和追加合同价款，工期相应顺延。</w:t>
      </w:r>
    </w:p>
    <w:p w14:paraId="7DF36D49">
      <w:pPr>
        <w:widowControl/>
        <w:spacing w:line="360" w:lineRule="auto"/>
        <w:ind w:firstLine="480" w:firstLineChars="200"/>
        <w:rPr>
          <w:b/>
          <w:sz w:val="24"/>
          <w:highlight w:val="none"/>
        </w:rPr>
      </w:pPr>
      <w:r>
        <w:rPr>
          <w:rFonts w:hint="eastAsia"/>
          <w:sz w:val="24"/>
          <w:highlight w:val="none"/>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或由发包人认质认价，承包人采购的，发包人承担上述各项追加合同价款，工期相应顺延。</w:t>
      </w:r>
    </w:p>
    <w:p w14:paraId="7966D9CA">
      <w:pPr>
        <w:widowControl/>
        <w:spacing w:line="360" w:lineRule="auto"/>
        <w:ind w:firstLine="480" w:firstLineChars="200"/>
        <w:rPr>
          <w:b/>
          <w:sz w:val="24"/>
          <w:highlight w:val="none"/>
        </w:rPr>
      </w:pPr>
      <w:r>
        <w:rPr>
          <w:rFonts w:hint="eastAsia"/>
          <w:sz w:val="24"/>
          <w:highlight w:val="none"/>
        </w:rPr>
        <w:t>（3）由于承包人施工原因试车达不到验收要求，承包人按工程师要求重新安装和试车，并承担重新安装和试车的费用，工期不予顺延。</w:t>
      </w:r>
    </w:p>
    <w:p w14:paraId="5C1070C5">
      <w:pPr>
        <w:widowControl/>
        <w:spacing w:line="360" w:lineRule="auto"/>
        <w:ind w:firstLine="480" w:firstLineChars="200"/>
        <w:rPr>
          <w:b/>
          <w:sz w:val="24"/>
          <w:highlight w:val="none"/>
        </w:rPr>
      </w:pPr>
      <w:r>
        <w:rPr>
          <w:rFonts w:hint="eastAsia"/>
          <w:sz w:val="24"/>
          <w:highlight w:val="none"/>
        </w:rPr>
        <w:t>（4）试车费用除已包括在合同价款之内或专用条款另有约定外，均由发包人承担。</w:t>
      </w:r>
    </w:p>
    <w:p w14:paraId="00D2D235">
      <w:pPr>
        <w:widowControl/>
        <w:spacing w:line="360" w:lineRule="auto"/>
        <w:ind w:firstLine="480" w:firstLineChars="200"/>
        <w:rPr>
          <w:b/>
          <w:sz w:val="24"/>
          <w:highlight w:val="none"/>
        </w:rPr>
      </w:pPr>
      <w:r>
        <w:rPr>
          <w:rFonts w:hint="eastAsia"/>
          <w:sz w:val="24"/>
          <w:highlight w:val="none"/>
        </w:rPr>
        <w:t>（5）工程师在试车合格后不在试车记录上签字，试车结束24小时后，视为工程师已经认可试车记录，承包人可继续施工或办理竣工手续。</w:t>
      </w:r>
    </w:p>
    <w:p w14:paraId="2C95AD06">
      <w:pPr>
        <w:widowControl/>
        <w:spacing w:line="360" w:lineRule="auto"/>
        <w:ind w:firstLine="480" w:firstLineChars="200"/>
        <w:rPr>
          <w:b/>
          <w:sz w:val="24"/>
          <w:highlight w:val="none"/>
        </w:rPr>
      </w:pPr>
      <w:r>
        <w:rPr>
          <w:rFonts w:hint="eastAsia"/>
          <w:sz w:val="24"/>
          <w:highlight w:val="none"/>
        </w:rPr>
        <w:t>19.6投料试车应在工程竣工验收后由发包人负责，如发包人要求在工程竣工验收前进行或需要承包人配合时，应征得承包人同意，另行签订补充协议。</w:t>
      </w:r>
    </w:p>
    <w:p w14:paraId="3FB193DB">
      <w:pPr>
        <w:widowControl/>
        <w:spacing w:line="360" w:lineRule="auto"/>
        <w:ind w:firstLine="480" w:firstLineChars="200"/>
        <w:outlineLvl w:val="0"/>
        <w:rPr>
          <w:sz w:val="24"/>
          <w:highlight w:val="none"/>
        </w:rPr>
      </w:pPr>
      <w:bookmarkStart w:id="244" w:name="_Toc385848081"/>
      <w:r>
        <w:rPr>
          <w:rFonts w:hint="eastAsia"/>
          <w:sz w:val="24"/>
          <w:highlight w:val="none"/>
        </w:rPr>
        <w:t>五、安全防护、文明施工</w:t>
      </w:r>
      <w:bookmarkEnd w:id="244"/>
    </w:p>
    <w:p w14:paraId="7B1073E0">
      <w:pPr>
        <w:widowControl/>
        <w:spacing w:line="360" w:lineRule="auto"/>
        <w:ind w:firstLine="480" w:firstLineChars="200"/>
        <w:rPr>
          <w:b/>
          <w:sz w:val="24"/>
          <w:highlight w:val="none"/>
        </w:rPr>
      </w:pPr>
      <w:r>
        <w:rPr>
          <w:sz w:val="24"/>
          <w:highlight w:val="none"/>
        </w:rPr>
        <w:t>20</w:t>
      </w:r>
      <w:r>
        <w:rPr>
          <w:rFonts w:hint="eastAsia"/>
          <w:sz w:val="24"/>
          <w:highlight w:val="none"/>
        </w:rPr>
        <w:t>、发包人责任</w:t>
      </w:r>
    </w:p>
    <w:p w14:paraId="0D9014C5">
      <w:pPr>
        <w:widowControl/>
        <w:spacing w:line="360" w:lineRule="auto"/>
        <w:ind w:firstLine="480" w:firstLineChars="200"/>
        <w:rPr>
          <w:b/>
          <w:sz w:val="24"/>
          <w:highlight w:val="none"/>
        </w:rPr>
      </w:pPr>
      <w:r>
        <w:rPr>
          <w:sz w:val="24"/>
          <w:highlight w:val="none"/>
        </w:rPr>
        <w:t>20</w:t>
      </w:r>
      <w:r>
        <w:rPr>
          <w:rFonts w:hint="eastAsia"/>
          <w:sz w:val="24"/>
          <w:highlight w:val="none"/>
        </w:rPr>
        <w:t>．</w:t>
      </w:r>
      <w:r>
        <w:rPr>
          <w:sz w:val="24"/>
          <w:highlight w:val="none"/>
        </w:rPr>
        <w:t>1</w:t>
      </w:r>
      <w:r>
        <w:rPr>
          <w:rFonts w:hint="eastAsia"/>
          <w:sz w:val="24"/>
          <w:highlight w:val="none"/>
        </w:rPr>
        <w:t>　发包人应遵守安全防护和文明施工的规定，督促承包人落实安全防护、文明施工措施，并按规定支付安全防护、文明施工措施费。</w:t>
      </w:r>
    </w:p>
    <w:p w14:paraId="41BBBE05">
      <w:pPr>
        <w:widowControl/>
        <w:spacing w:line="360" w:lineRule="auto"/>
        <w:ind w:firstLine="480" w:firstLineChars="200"/>
        <w:rPr>
          <w:b/>
          <w:sz w:val="24"/>
          <w:highlight w:val="none"/>
        </w:rPr>
      </w:pPr>
      <w:r>
        <w:rPr>
          <w:sz w:val="24"/>
          <w:highlight w:val="none"/>
        </w:rPr>
        <w:t>20</w:t>
      </w:r>
      <w:r>
        <w:rPr>
          <w:rFonts w:hint="eastAsia"/>
          <w:sz w:val="24"/>
          <w:highlight w:val="none"/>
        </w:rPr>
        <w:t>．</w:t>
      </w:r>
      <w:r>
        <w:rPr>
          <w:sz w:val="24"/>
          <w:highlight w:val="none"/>
        </w:rPr>
        <w:t>2</w:t>
      </w:r>
      <w:r>
        <w:rPr>
          <w:rFonts w:hint="eastAsia"/>
          <w:sz w:val="24"/>
          <w:highlight w:val="none"/>
        </w:rPr>
        <w:t>　发包人应对其在施工现场人员进行安全防护、文明施工教育，并对他们的安全负责。</w:t>
      </w:r>
    </w:p>
    <w:p w14:paraId="50FCC9AC">
      <w:pPr>
        <w:widowControl/>
        <w:spacing w:line="360" w:lineRule="auto"/>
        <w:ind w:firstLine="480" w:firstLineChars="200"/>
        <w:rPr>
          <w:b/>
          <w:sz w:val="24"/>
          <w:highlight w:val="none"/>
        </w:rPr>
      </w:pPr>
      <w:r>
        <w:rPr>
          <w:sz w:val="24"/>
          <w:highlight w:val="none"/>
        </w:rPr>
        <w:t>20</w:t>
      </w:r>
      <w:r>
        <w:rPr>
          <w:rFonts w:hint="eastAsia"/>
          <w:sz w:val="24"/>
          <w:highlight w:val="none"/>
        </w:rPr>
        <w:t>．</w:t>
      </w:r>
      <w:r>
        <w:rPr>
          <w:sz w:val="24"/>
          <w:highlight w:val="none"/>
        </w:rPr>
        <w:t>3</w:t>
      </w:r>
      <w:r>
        <w:rPr>
          <w:rFonts w:hint="eastAsia"/>
          <w:sz w:val="24"/>
          <w:highlight w:val="none"/>
        </w:rPr>
        <w:t>　在合同工程实施、完成及保修期间，发包人不得要求承包人违反安全生产、文明施工规定和强制性标准规范进行施工；不得明示或暗示承包人购买、租赁、使用不符合安全施工要求的安全防护用具、机械设备、施工机具及配件、消防设施和器材。</w:t>
      </w:r>
    </w:p>
    <w:p w14:paraId="23E3529C">
      <w:pPr>
        <w:widowControl/>
        <w:spacing w:line="360" w:lineRule="auto"/>
        <w:ind w:firstLine="480" w:firstLineChars="200"/>
        <w:rPr>
          <w:b/>
          <w:sz w:val="24"/>
          <w:highlight w:val="none"/>
        </w:rPr>
      </w:pPr>
      <w:r>
        <w:rPr>
          <w:rFonts w:hint="eastAsia"/>
          <w:sz w:val="24"/>
          <w:highlight w:val="none"/>
        </w:rPr>
        <w:t>20．4　发包人违反上述规定或由于发包人原因导致安全事故的，由发包人承担相应责任和费用，顺延延误的工期。</w:t>
      </w:r>
    </w:p>
    <w:p w14:paraId="530BEB9E">
      <w:pPr>
        <w:widowControl/>
        <w:spacing w:line="360" w:lineRule="auto"/>
        <w:ind w:firstLine="480" w:firstLineChars="200"/>
        <w:rPr>
          <w:b/>
          <w:sz w:val="24"/>
          <w:highlight w:val="none"/>
        </w:rPr>
      </w:pPr>
      <w:r>
        <w:rPr>
          <w:rFonts w:hint="eastAsia"/>
          <w:sz w:val="24"/>
          <w:highlight w:val="none"/>
        </w:rPr>
        <w:t>21、承包人责任</w:t>
      </w:r>
    </w:p>
    <w:p w14:paraId="662C9E1C">
      <w:pPr>
        <w:widowControl/>
        <w:spacing w:line="360" w:lineRule="auto"/>
        <w:ind w:firstLine="480" w:firstLineChars="200"/>
        <w:rPr>
          <w:b/>
          <w:sz w:val="24"/>
          <w:highlight w:val="none"/>
        </w:rPr>
      </w:pPr>
      <w:r>
        <w:rPr>
          <w:rFonts w:hint="eastAsia"/>
          <w:sz w:val="24"/>
          <w:highlight w:val="none"/>
        </w:rPr>
        <w:t>21.1　承包人应遵守安全防护和文明施工的规定，建立健全安全防护和文明施工的制度，对其在施工现场人员进行安全防护、文明施工教育，并对他们的安全负责。</w:t>
      </w:r>
    </w:p>
    <w:p w14:paraId="2D391E74">
      <w:pPr>
        <w:widowControl/>
        <w:spacing w:line="360" w:lineRule="auto"/>
        <w:ind w:firstLine="480" w:firstLineChars="200"/>
        <w:rPr>
          <w:b/>
          <w:sz w:val="24"/>
          <w:highlight w:val="none"/>
        </w:rPr>
      </w:pPr>
      <w:r>
        <w:rPr>
          <w:rFonts w:hint="eastAsia"/>
          <w:sz w:val="24"/>
          <w:highlight w:val="none"/>
        </w:rPr>
        <w:t>21.2　完善安全防护和文明施工条件，严格按照安全防护和文明施工的规定组织施工，采取必要的安全防护措施，消除事故隐患，自觉接受和配合依法实施的监督检查。</w:t>
      </w:r>
    </w:p>
    <w:p w14:paraId="3084DA6A">
      <w:pPr>
        <w:widowControl/>
        <w:spacing w:line="360" w:lineRule="auto"/>
        <w:ind w:firstLine="480" w:firstLineChars="200"/>
        <w:rPr>
          <w:b/>
          <w:sz w:val="24"/>
          <w:highlight w:val="none"/>
        </w:rPr>
      </w:pPr>
      <w:r>
        <w:rPr>
          <w:rFonts w:hint="eastAsia"/>
          <w:sz w:val="24"/>
          <w:highlight w:val="none"/>
        </w:rPr>
        <w:t>21.3　在合同工程实施、完成及保修期间，承包人应做好施工现场的安全警示标志、道路及场地的硬化与必要的绿化、安全通道的合理布置、材料与设备的存放与保管、消防设施的齐全有效、现场垃圾的存放与清运、施工现场的照明与防护以及政府有关部门关于安全防护、文明施工规定的其它工作等。</w:t>
      </w:r>
    </w:p>
    <w:p w14:paraId="3E394DB1">
      <w:pPr>
        <w:widowControl/>
        <w:spacing w:line="360" w:lineRule="auto"/>
        <w:ind w:firstLine="480" w:firstLineChars="200"/>
        <w:rPr>
          <w:b/>
          <w:sz w:val="24"/>
          <w:highlight w:val="none"/>
        </w:rPr>
      </w:pPr>
      <w:r>
        <w:rPr>
          <w:rFonts w:hint="eastAsia"/>
          <w:sz w:val="24"/>
          <w:highlight w:val="none"/>
        </w:rPr>
        <w:t>21.4　应按规定的范围使用安全文明措施费，保证专款专用，不得挪作它用。</w:t>
      </w:r>
    </w:p>
    <w:p w14:paraId="7EBB628C">
      <w:pPr>
        <w:widowControl/>
        <w:spacing w:line="360" w:lineRule="auto"/>
        <w:ind w:firstLine="480" w:firstLineChars="200"/>
        <w:rPr>
          <w:b/>
          <w:sz w:val="24"/>
          <w:highlight w:val="none"/>
        </w:rPr>
      </w:pPr>
      <w:r>
        <w:rPr>
          <w:rFonts w:hint="eastAsia"/>
          <w:sz w:val="24"/>
          <w:highlight w:val="none"/>
        </w:rPr>
        <w:t>21.5　承包人对合同工程的安全施工负责，并应及时、如实报告生产安全事故。承包人违反上述规定或由于承包人原因造成的安全事故，由承包人承担相应责任和费用，工期不予顺延。</w:t>
      </w:r>
    </w:p>
    <w:p w14:paraId="46C0CB3D">
      <w:pPr>
        <w:widowControl/>
        <w:spacing w:line="360" w:lineRule="auto"/>
        <w:ind w:firstLine="480" w:firstLineChars="200"/>
        <w:rPr>
          <w:b/>
          <w:sz w:val="24"/>
          <w:highlight w:val="none"/>
        </w:rPr>
      </w:pPr>
      <w:r>
        <w:rPr>
          <w:rFonts w:hint="eastAsia"/>
          <w:sz w:val="24"/>
          <w:highlight w:val="none"/>
        </w:rPr>
        <w:t>22、合同工程临近动力设备、输电线路、地下管道、密封防震车间、易燃易爆地段、建（构）筑物以及临街交通要道施工时，按有关规定应当采取防护措施的，施工开始前承包人应向工程师提出安全防护措施，经工程师认可后实施。防护措施费由发包人承担。</w:t>
      </w:r>
    </w:p>
    <w:p w14:paraId="1326BC80">
      <w:pPr>
        <w:widowControl/>
        <w:spacing w:line="360" w:lineRule="auto"/>
        <w:ind w:firstLine="480" w:firstLineChars="200"/>
        <w:rPr>
          <w:b/>
          <w:sz w:val="24"/>
          <w:highlight w:val="none"/>
        </w:rPr>
      </w:pPr>
      <w:r>
        <w:rPr>
          <w:rFonts w:hint="eastAsia"/>
          <w:sz w:val="24"/>
          <w:highlight w:val="none"/>
        </w:rPr>
        <w:t>23、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14:paraId="1D8A453B">
      <w:pPr>
        <w:widowControl/>
        <w:spacing w:line="360" w:lineRule="auto"/>
        <w:ind w:firstLine="480" w:firstLineChars="200"/>
        <w:rPr>
          <w:b/>
          <w:sz w:val="24"/>
          <w:highlight w:val="none"/>
        </w:rPr>
      </w:pPr>
      <w:r>
        <w:rPr>
          <w:rFonts w:hint="eastAsia"/>
          <w:sz w:val="24"/>
          <w:highlight w:val="none"/>
        </w:rPr>
        <w:t>24、事故处理</w:t>
      </w:r>
    </w:p>
    <w:p w14:paraId="64F7002F">
      <w:pPr>
        <w:widowControl/>
        <w:spacing w:line="360" w:lineRule="auto"/>
        <w:ind w:firstLine="480" w:firstLineChars="200"/>
        <w:rPr>
          <w:b/>
          <w:sz w:val="24"/>
          <w:highlight w:val="none"/>
        </w:rPr>
      </w:pPr>
      <w:r>
        <w:rPr>
          <w:rFonts w:hint="eastAsia"/>
          <w:sz w:val="24"/>
          <w:highlight w:val="none"/>
        </w:rPr>
        <w:t>24.1发生伤亡及其他安全事故，承包人应按有关规定立即上报有关部门并通知工程师，同时按政府有关部门要求处理，由事故责任方承担发生的费用。</w:t>
      </w:r>
    </w:p>
    <w:p w14:paraId="135DB201">
      <w:pPr>
        <w:widowControl/>
        <w:spacing w:line="360" w:lineRule="auto"/>
        <w:ind w:firstLine="480" w:firstLineChars="200"/>
        <w:rPr>
          <w:b/>
          <w:sz w:val="24"/>
          <w:highlight w:val="none"/>
        </w:rPr>
      </w:pPr>
      <w:r>
        <w:rPr>
          <w:rFonts w:hint="eastAsia"/>
          <w:sz w:val="24"/>
          <w:highlight w:val="none"/>
        </w:rPr>
        <w:t>24.2发包人承包人对事故责任有争议时，应按政府有关部门的认定处理。</w:t>
      </w:r>
    </w:p>
    <w:p w14:paraId="2C28164E">
      <w:pPr>
        <w:widowControl/>
        <w:spacing w:line="360" w:lineRule="auto"/>
        <w:ind w:firstLine="480" w:firstLineChars="200"/>
        <w:outlineLvl w:val="0"/>
        <w:rPr>
          <w:sz w:val="24"/>
          <w:highlight w:val="none"/>
        </w:rPr>
      </w:pPr>
      <w:bookmarkStart w:id="245" w:name="_Toc385848082"/>
      <w:r>
        <w:rPr>
          <w:rFonts w:hint="eastAsia"/>
          <w:sz w:val="24"/>
          <w:highlight w:val="none"/>
        </w:rPr>
        <w:t>六、合同价款</w:t>
      </w:r>
      <w:bookmarkEnd w:id="245"/>
    </w:p>
    <w:p w14:paraId="3E18C426">
      <w:pPr>
        <w:widowControl/>
        <w:spacing w:line="360" w:lineRule="auto"/>
        <w:ind w:firstLine="480" w:firstLineChars="200"/>
        <w:rPr>
          <w:b/>
          <w:highlight w:val="none"/>
        </w:rPr>
      </w:pPr>
      <w:r>
        <w:rPr>
          <w:rFonts w:hint="eastAsia"/>
          <w:sz w:val="24"/>
          <w:highlight w:val="none"/>
        </w:rPr>
        <w:t>25、工程的计量规则和计价办法以《陕西省建设工程工程量清单计价规则》及相关规定为准，工程师应按照合同约定，依据上述规定进行工程计量和计价。</w:t>
      </w:r>
    </w:p>
    <w:p w14:paraId="73D78F98">
      <w:pPr>
        <w:widowControl/>
        <w:spacing w:line="360" w:lineRule="auto"/>
        <w:ind w:firstLine="480" w:firstLineChars="200"/>
        <w:rPr>
          <w:b/>
          <w:sz w:val="24"/>
          <w:highlight w:val="none"/>
        </w:rPr>
      </w:pPr>
      <w:r>
        <w:rPr>
          <w:rFonts w:hint="eastAsia"/>
          <w:sz w:val="24"/>
          <w:highlight w:val="none"/>
        </w:rPr>
        <w:t>26、合同价款约定</w:t>
      </w:r>
    </w:p>
    <w:p w14:paraId="0F499D25">
      <w:pPr>
        <w:widowControl/>
        <w:spacing w:line="360" w:lineRule="auto"/>
        <w:ind w:firstLine="480" w:firstLineChars="200"/>
        <w:rPr>
          <w:b/>
          <w:sz w:val="24"/>
          <w:highlight w:val="none"/>
        </w:rPr>
      </w:pPr>
      <w:r>
        <w:rPr>
          <w:rFonts w:hint="eastAsia"/>
          <w:sz w:val="24"/>
          <w:highlight w:val="none"/>
        </w:rPr>
        <w:t>26.1招标工程的合同价款由发包人承包人依据中标通知书中的中标价格在协议书内约定。非招标工程的合同价款由发包人承包人依据双方确认的工程预算书在协议书内约定。</w:t>
      </w:r>
    </w:p>
    <w:p w14:paraId="20880353">
      <w:pPr>
        <w:widowControl/>
        <w:spacing w:line="360" w:lineRule="auto"/>
        <w:ind w:firstLine="480" w:firstLineChars="200"/>
        <w:rPr>
          <w:b/>
          <w:sz w:val="24"/>
          <w:highlight w:val="none"/>
        </w:rPr>
      </w:pPr>
      <w:r>
        <w:rPr>
          <w:rFonts w:hint="eastAsia"/>
          <w:sz w:val="24"/>
          <w:highlight w:val="none"/>
        </w:rPr>
        <w:t>26.2合同价款在协议书内约定后，任何一方不得擅自改变。下列三种确定合同价款的方式，双方可在专用条款内约定采用其中一种：</w:t>
      </w:r>
    </w:p>
    <w:p w14:paraId="767C9654">
      <w:pPr>
        <w:widowControl/>
        <w:spacing w:line="360" w:lineRule="auto"/>
        <w:ind w:firstLine="480" w:firstLineChars="200"/>
        <w:rPr>
          <w:b/>
          <w:sz w:val="24"/>
          <w:highlight w:val="none"/>
        </w:rPr>
      </w:pPr>
      <w:r>
        <w:rPr>
          <w:rFonts w:hint="eastAsia"/>
          <w:sz w:val="24"/>
          <w:highlight w:val="none"/>
        </w:rPr>
        <w:t>（1）固定总价合同。合同工期较短且工程合同总价较低的工程，可以采用固定总价合同方式。</w:t>
      </w:r>
    </w:p>
    <w:p w14:paraId="5074D4D2">
      <w:pPr>
        <w:widowControl/>
        <w:spacing w:line="360" w:lineRule="auto"/>
        <w:ind w:firstLine="480" w:firstLineChars="200"/>
        <w:rPr>
          <w:b/>
          <w:sz w:val="24"/>
          <w:highlight w:val="none"/>
        </w:rPr>
      </w:pPr>
      <w:r>
        <w:rPr>
          <w:rFonts w:hint="eastAsia"/>
          <w:sz w:val="24"/>
          <w:highlight w:val="none"/>
        </w:rPr>
        <w:t>（2）固定综合单价合同。一般适用于工程量清单计价项目。双方在专用条款内约定综合单价包含的风险范围，在约定的风险范围内综合单价不再调整。风险范围以外的综合单价调整方法应当在专用条款内约定。</w:t>
      </w:r>
    </w:p>
    <w:p w14:paraId="4DC88C40">
      <w:pPr>
        <w:widowControl/>
        <w:spacing w:line="360" w:lineRule="auto"/>
        <w:ind w:firstLine="480" w:firstLineChars="200"/>
        <w:rPr>
          <w:b/>
          <w:sz w:val="24"/>
          <w:highlight w:val="none"/>
        </w:rPr>
      </w:pPr>
      <w:r>
        <w:rPr>
          <w:rFonts w:hint="eastAsia"/>
          <w:sz w:val="24"/>
          <w:highlight w:val="none"/>
        </w:rPr>
        <w:t>（3）可调价格合同。可调价格包括可调综合单价和措施项目费用等，双方应在专用条款内约定综合单价和措施项目费的调整方法。</w:t>
      </w:r>
    </w:p>
    <w:p w14:paraId="0BF3FE2A">
      <w:pPr>
        <w:widowControl/>
        <w:spacing w:line="360" w:lineRule="auto"/>
        <w:ind w:firstLine="480" w:firstLineChars="200"/>
        <w:rPr>
          <w:b/>
          <w:sz w:val="24"/>
          <w:highlight w:val="none"/>
        </w:rPr>
      </w:pPr>
      <w:r>
        <w:rPr>
          <w:rFonts w:hint="eastAsia"/>
          <w:sz w:val="24"/>
          <w:highlight w:val="none"/>
        </w:rPr>
        <w:t>27、合同价款调整</w:t>
      </w:r>
    </w:p>
    <w:p w14:paraId="7174B360">
      <w:pPr>
        <w:widowControl/>
        <w:spacing w:line="360" w:lineRule="auto"/>
        <w:ind w:firstLine="480" w:firstLineChars="200"/>
        <w:rPr>
          <w:b/>
          <w:sz w:val="24"/>
          <w:highlight w:val="none"/>
        </w:rPr>
      </w:pPr>
      <w:r>
        <w:rPr>
          <w:rFonts w:hint="eastAsia"/>
          <w:sz w:val="24"/>
          <w:highlight w:val="none"/>
        </w:rPr>
        <w:t>27.1价格中工程量、综合单价、措施项目费用的调整因素包括：</w:t>
      </w:r>
    </w:p>
    <w:p w14:paraId="241FD5CB">
      <w:pPr>
        <w:widowControl/>
        <w:spacing w:line="360" w:lineRule="auto"/>
        <w:ind w:firstLine="480" w:firstLineChars="200"/>
        <w:rPr>
          <w:b/>
          <w:sz w:val="24"/>
          <w:highlight w:val="none"/>
        </w:rPr>
      </w:pPr>
      <w:r>
        <w:rPr>
          <w:rFonts w:hint="eastAsia"/>
          <w:sz w:val="24"/>
          <w:highlight w:val="none"/>
        </w:rPr>
        <w:t>（1）法律、行政法规和国家有关政策变化影响合同价款；</w:t>
      </w:r>
    </w:p>
    <w:p w14:paraId="3267BCDF">
      <w:pPr>
        <w:widowControl/>
        <w:spacing w:line="360" w:lineRule="auto"/>
        <w:ind w:firstLine="480" w:firstLineChars="200"/>
        <w:rPr>
          <w:b/>
          <w:sz w:val="24"/>
          <w:highlight w:val="none"/>
        </w:rPr>
      </w:pPr>
      <w:r>
        <w:rPr>
          <w:rFonts w:hint="eastAsia"/>
          <w:sz w:val="24"/>
          <w:highlight w:val="none"/>
        </w:rPr>
        <w:t>（2）工程造价管理机构的价格调整；</w:t>
      </w:r>
    </w:p>
    <w:p w14:paraId="442E94EC">
      <w:pPr>
        <w:widowControl/>
        <w:spacing w:line="360" w:lineRule="auto"/>
        <w:ind w:firstLine="480" w:firstLineChars="200"/>
        <w:rPr>
          <w:b/>
          <w:sz w:val="24"/>
          <w:highlight w:val="none"/>
        </w:rPr>
      </w:pPr>
      <w:r>
        <w:rPr>
          <w:rFonts w:hint="eastAsia"/>
          <w:sz w:val="24"/>
          <w:highlight w:val="none"/>
        </w:rPr>
        <w:t>（3）经批准的设计变更；</w:t>
      </w:r>
    </w:p>
    <w:p w14:paraId="0117EE2E">
      <w:pPr>
        <w:widowControl/>
        <w:spacing w:line="360" w:lineRule="auto"/>
        <w:ind w:firstLine="480" w:firstLineChars="200"/>
        <w:rPr>
          <w:b/>
          <w:sz w:val="24"/>
          <w:highlight w:val="none"/>
        </w:rPr>
      </w:pPr>
      <w:r>
        <w:rPr>
          <w:rFonts w:hint="eastAsia"/>
          <w:sz w:val="24"/>
          <w:highlight w:val="none"/>
        </w:rPr>
        <w:t>（4）发包人更改经审定批准的施工组织设计（修正错误除外）造成费用变化；</w:t>
      </w:r>
    </w:p>
    <w:p w14:paraId="68DCEC0B">
      <w:pPr>
        <w:widowControl/>
        <w:spacing w:line="360" w:lineRule="auto"/>
        <w:ind w:firstLine="480" w:firstLineChars="200"/>
        <w:rPr>
          <w:b/>
          <w:sz w:val="24"/>
          <w:highlight w:val="none"/>
        </w:rPr>
      </w:pPr>
      <w:r>
        <w:rPr>
          <w:rFonts w:hint="eastAsia"/>
          <w:sz w:val="24"/>
          <w:highlight w:val="none"/>
        </w:rPr>
        <w:t>（5）工程量清单的工程数量与实际工程量不符，按实际工程量进行调整计算；</w:t>
      </w:r>
    </w:p>
    <w:p w14:paraId="537FCCB3">
      <w:pPr>
        <w:widowControl/>
        <w:spacing w:line="360" w:lineRule="auto"/>
        <w:ind w:firstLine="480" w:firstLineChars="200"/>
        <w:rPr>
          <w:b/>
          <w:sz w:val="24"/>
          <w:highlight w:val="none"/>
        </w:rPr>
      </w:pPr>
      <w:r>
        <w:rPr>
          <w:rFonts w:hint="eastAsia"/>
          <w:sz w:val="24"/>
          <w:highlight w:val="none"/>
        </w:rPr>
        <w:t>（6）费用索赔事件或发包人负责的其他情况；</w:t>
      </w:r>
    </w:p>
    <w:p w14:paraId="5ED27A9A">
      <w:pPr>
        <w:widowControl/>
        <w:spacing w:line="360" w:lineRule="auto"/>
        <w:ind w:firstLine="480" w:firstLineChars="200"/>
        <w:rPr>
          <w:b/>
          <w:sz w:val="24"/>
          <w:highlight w:val="none"/>
        </w:rPr>
      </w:pPr>
      <w:r>
        <w:rPr>
          <w:rFonts w:hint="eastAsia"/>
          <w:sz w:val="24"/>
          <w:highlight w:val="none"/>
        </w:rPr>
        <w:t>（7）双方在专用条款中约定的其他因素。</w:t>
      </w:r>
    </w:p>
    <w:p w14:paraId="155B799A">
      <w:pPr>
        <w:widowControl/>
        <w:spacing w:line="360" w:lineRule="auto"/>
        <w:ind w:firstLine="480" w:firstLineChars="200"/>
        <w:rPr>
          <w:b/>
          <w:sz w:val="24"/>
          <w:highlight w:val="none"/>
        </w:rPr>
      </w:pPr>
      <w:r>
        <w:rPr>
          <w:rFonts w:hint="eastAsia"/>
          <w:sz w:val="24"/>
          <w:highlight w:val="none"/>
        </w:rPr>
        <w:t>27.2承包人应当在27.1款情况发生后14天内，将调整原因、金额以书面形式通知工程师，工程师确认调整金额后作为追加合同价款，与工程款同期支付。工程师收到承包人通知后14天内不予确认也不提出修改意见，视为已经同意该项调整。承包人未在规定时间内通知发包人、或者未在规定时间内提出调整报告，发包人可以根据有关资料，决定是否调整和调整的金额并书面通知承包人，承包人如有异议，且协商达不成一致时，按第41条关于争议的约定处理。</w:t>
      </w:r>
    </w:p>
    <w:p w14:paraId="1255D007">
      <w:pPr>
        <w:widowControl/>
        <w:spacing w:line="360" w:lineRule="auto"/>
        <w:ind w:firstLine="480" w:firstLineChars="200"/>
        <w:rPr>
          <w:b/>
          <w:sz w:val="24"/>
          <w:highlight w:val="none"/>
        </w:rPr>
      </w:pPr>
      <w:r>
        <w:rPr>
          <w:rFonts w:hint="eastAsia"/>
          <w:sz w:val="24"/>
          <w:highlight w:val="none"/>
        </w:rPr>
        <w:t>28、工程预付款</w:t>
      </w:r>
    </w:p>
    <w:p w14:paraId="5C36CC11">
      <w:pPr>
        <w:widowControl/>
        <w:spacing w:line="360" w:lineRule="auto"/>
        <w:ind w:firstLine="480" w:firstLineChars="200"/>
        <w:rPr>
          <w:b/>
          <w:sz w:val="24"/>
          <w:highlight w:val="none"/>
        </w:rPr>
      </w:pPr>
      <w:r>
        <w:rPr>
          <w:rFonts w:hint="eastAsia"/>
          <w:sz w:val="24"/>
          <w:highlight w:val="none"/>
        </w:rPr>
        <w:t>28.1双方应当在专用条款内约定发包人向承包人预付工程款的比例、时间和抵扣方式，开工后按约定的时间和比例逐次扣回。预付款的预付比例不得低于合同总价的10%，也不得高于合同总价的30%。预付时间应在双方签订合同后的一个月内或不迟于约定的开工日期前7天。发包人不按约定预付，承包人在约定预付时间7天后10天内向发包人发出要求预付的通知，发包人收到通知后仍不能按要求预付，承包人可在发出通知后14天后停止施工，发包人应从约定应付之日起向承包人支付应付款的贷款利息（利率按同期银行贷款利率计），并承担违约责任。</w:t>
      </w:r>
    </w:p>
    <w:p w14:paraId="721DC3EE">
      <w:pPr>
        <w:widowControl/>
        <w:spacing w:line="360" w:lineRule="auto"/>
        <w:ind w:firstLine="480" w:firstLineChars="200"/>
        <w:rPr>
          <w:b/>
          <w:sz w:val="24"/>
          <w:highlight w:val="none"/>
        </w:rPr>
      </w:pPr>
      <w:r>
        <w:rPr>
          <w:rFonts w:hint="eastAsia"/>
          <w:sz w:val="24"/>
          <w:highlight w:val="none"/>
        </w:rPr>
        <w:t>28.2安全防护和文明施工措施费应在专用条款中约定预付方式。合同工期在一年以内的，预付比例不得低于总额的70%；合同工期在一年以上的（含一年），预付比例不得低于总额的50%。</w:t>
      </w:r>
    </w:p>
    <w:p w14:paraId="1B20EF2B">
      <w:pPr>
        <w:widowControl/>
        <w:spacing w:line="360" w:lineRule="auto"/>
        <w:ind w:firstLine="480" w:firstLineChars="200"/>
        <w:rPr>
          <w:b/>
          <w:sz w:val="24"/>
          <w:highlight w:val="none"/>
        </w:rPr>
      </w:pPr>
      <w:r>
        <w:rPr>
          <w:rFonts w:hint="eastAsia"/>
          <w:sz w:val="24"/>
          <w:highlight w:val="none"/>
        </w:rPr>
        <w:t>29、已完工程量确认</w:t>
      </w:r>
    </w:p>
    <w:p w14:paraId="09321AB2">
      <w:pPr>
        <w:widowControl/>
        <w:spacing w:line="360" w:lineRule="auto"/>
        <w:ind w:firstLine="480" w:firstLineChars="200"/>
        <w:rPr>
          <w:b/>
          <w:sz w:val="24"/>
          <w:highlight w:val="none"/>
        </w:rPr>
      </w:pPr>
      <w:r>
        <w:rPr>
          <w:rFonts w:hint="eastAsia"/>
          <w:sz w:val="24"/>
          <w:highlight w:val="none"/>
        </w:rPr>
        <w:t>29.1承包人应按专用条款约定的方法和时间，向工程师提交已完工程量的报告。工程师接到报告后14天内按设计图纸核实已完工程量（以下称计量），并在计量前24小时通知承包人，承包人为计量提供便利条件并派人参加。承包人收到通知后不参加计量，计量结果有效，作为工程价款支付的依据。</w:t>
      </w:r>
    </w:p>
    <w:p w14:paraId="54AD1BEA">
      <w:pPr>
        <w:widowControl/>
        <w:spacing w:line="360" w:lineRule="auto"/>
        <w:ind w:firstLine="480" w:firstLineChars="200"/>
        <w:rPr>
          <w:b/>
          <w:sz w:val="24"/>
          <w:highlight w:val="none"/>
        </w:rPr>
      </w:pPr>
      <w:r>
        <w:rPr>
          <w:rFonts w:hint="eastAsia"/>
          <w:sz w:val="24"/>
          <w:highlight w:val="none"/>
        </w:rPr>
        <w:t>29.2工程师收到承包人报告后14天内未进行计量，从第15天起，承包人报告中开列的工程量即视为被确认，作为工程价款支付的依据。工程师不按约定时间通知承包人，致使承包人未能参加计量，计量结果无效。</w:t>
      </w:r>
    </w:p>
    <w:p w14:paraId="07884773">
      <w:pPr>
        <w:widowControl/>
        <w:spacing w:line="360" w:lineRule="auto"/>
        <w:ind w:firstLine="480" w:firstLineChars="200"/>
        <w:rPr>
          <w:b/>
          <w:sz w:val="24"/>
          <w:highlight w:val="none"/>
        </w:rPr>
      </w:pPr>
      <w:r>
        <w:rPr>
          <w:rFonts w:hint="eastAsia"/>
          <w:sz w:val="24"/>
          <w:highlight w:val="none"/>
        </w:rPr>
        <w:t>29.3对承包人超出设计图纸（含设计变更）范围和因承包人原因造成返工的工程量，工程师不予计量。</w:t>
      </w:r>
    </w:p>
    <w:p w14:paraId="0625A8B8">
      <w:pPr>
        <w:widowControl/>
        <w:spacing w:line="360" w:lineRule="auto"/>
        <w:ind w:firstLine="480" w:firstLineChars="200"/>
        <w:rPr>
          <w:b/>
          <w:sz w:val="24"/>
          <w:highlight w:val="none"/>
        </w:rPr>
      </w:pPr>
      <w:r>
        <w:rPr>
          <w:rFonts w:hint="eastAsia"/>
          <w:sz w:val="24"/>
          <w:highlight w:val="none"/>
        </w:rPr>
        <w:t>30、工程进度款结算与支付</w:t>
      </w:r>
    </w:p>
    <w:p w14:paraId="42CB6CA1">
      <w:pPr>
        <w:widowControl/>
        <w:spacing w:line="360" w:lineRule="auto"/>
        <w:ind w:firstLine="480" w:firstLineChars="200"/>
        <w:rPr>
          <w:b/>
          <w:sz w:val="24"/>
          <w:highlight w:val="none"/>
        </w:rPr>
      </w:pPr>
      <w:r>
        <w:rPr>
          <w:rFonts w:hint="eastAsia"/>
          <w:sz w:val="24"/>
          <w:highlight w:val="none"/>
        </w:rPr>
        <w:t>30.1　双方应在专用条款内约定工程进度款结算支付方式。结算支付方式分为按月结算支付与分阶段结算支付。</w:t>
      </w:r>
    </w:p>
    <w:p w14:paraId="5E047B28">
      <w:pPr>
        <w:widowControl/>
        <w:spacing w:line="360" w:lineRule="auto"/>
        <w:ind w:firstLine="480" w:firstLineChars="200"/>
        <w:rPr>
          <w:b/>
          <w:sz w:val="24"/>
          <w:highlight w:val="none"/>
        </w:rPr>
      </w:pPr>
      <w:r>
        <w:rPr>
          <w:rFonts w:hint="eastAsia"/>
          <w:sz w:val="24"/>
          <w:highlight w:val="none"/>
        </w:rPr>
        <w:t>30.2在确认计量结果后14天内，发包人应向承包人支付不低于应付款额75%、不高于应付款额90%的工程进度款。按约定时间发包人应扣回的预付款，与工程进度款同期结算抵扣。</w:t>
      </w:r>
    </w:p>
    <w:p w14:paraId="25BC4C89">
      <w:pPr>
        <w:widowControl/>
        <w:spacing w:line="360" w:lineRule="auto"/>
        <w:ind w:firstLine="480" w:firstLineChars="200"/>
        <w:rPr>
          <w:b/>
          <w:sz w:val="24"/>
          <w:highlight w:val="none"/>
        </w:rPr>
      </w:pPr>
      <w:r>
        <w:rPr>
          <w:rFonts w:hint="eastAsia"/>
          <w:sz w:val="24"/>
          <w:highlight w:val="none"/>
        </w:rPr>
        <w:t>30.3本通用条款第27条确定调整的合同价款，第35条工程变更调整的合同价款及其他条款中约定的追加合同价款，应与工程进度款同期调整支付。</w:t>
      </w:r>
    </w:p>
    <w:p w14:paraId="11D89361">
      <w:pPr>
        <w:widowControl/>
        <w:spacing w:line="360" w:lineRule="auto"/>
        <w:ind w:firstLine="480" w:firstLineChars="200"/>
        <w:rPr>
          <w:b/>
          <w:sz w:val="24"/>
          <w:highlight w:val="none"/>
        </w:rPr>
      </w:pPr>
      <w:r>
        <w:rPr>
          <w:rFonts w:hint="eastAsia"/>
          <w:sz w:val="24"/>
          <w:highlight w:val="none"/>
        </w:rPr>
        <w:t>30.4发包人超过约定的支付时间不支付工程进度款，承包人应及时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利率按同期银行贷款利率计）。</w:t>
      </w:r>
    </w:p>
    <w:p w14:paraId="1ABA22D2">
      <w:pPr>
        <w:widowControl/>
        <w:spacing w:line="360" w:lineRule="auto"/>
        <w:ind w:firstLine="480" w:firstLineChars="200"/>
        <w:rPr>
          <w:b/>
          <w:sz w:val="24"/>
          <w:highlight w:val="none"/>
        </w:rPr>
      </w:pPr>
      <w:r>
        <w:rPr>
          <w:rFonts w:hint="eastAsia"/>
          <w:sz w:val="24"/>
          <w:highlight w:val="none"/>
        </w:rPr>
        <w:t>30.5发包人不按合同约定支付工程进度款，双方又未达成延期付款协议，导致施工无法进行，承包人可停止施工，由发包人承担违约责任。</w:t>
      </w:r>
    </w:p>
    <w:p w14:paraId="56E2C42C">
      <w:pPr>
        <w:widowControl/>
        <w:spacing w:line="360" w:lineRule="auto"/>
        <w:ind w:firstLine="480" w:firstLineChars="200"/>
        <w:outlineLvl w:val="0"/>
        <w:rPr>
          <w:b/>
          <w:sz w:val="24"/>
          <w:highlight w:val="none"/>
        </w:rPr>
      </w:pPr>
      <w:bookmarkStart w:id="246" w:name="_Toc385848083"/>
      <w:r>
        <w:rPr>
          <w:rFonts w:hint="eastAsia"/>
          <w:sz w:val="24"/>
          <w:highlight w:val="none"/>
        </w:rPr>
        <w:t>七、材料设备供应</w:t>
      </w:r>
      <w:bookmarkEnd w:id="246"/>
    </w:p>
    <w:p w14:paraId="6371571D">
      <w:pPr>
        <w:widowControl/>
        <w:spacing w:line="360" w:lineRule="auto"/>
        <w:ind w:firstLine="480" w:firstLineChars="200"/>
        <w:rPr>
          <w:b/>
          <w:sz w:val="24"/>
          <w:highlight w:val="none"/>
        </w:rPr>
      </w:pPr>
      <w:r>
        <w:rPr>
          <w:rFonts w:hint="eastAsia"/>
          <w:sz w:val="24"/>
          <w:highlight w:val="none"/>
        </w:rPr>
        <w:t>31、发包人供应材料设备</w:t>
      </w:r>
    </w:p>
    <w:p w14:paraId="32EFE4A6">
      <w:pPr>
        <w:widowControl/>
        <w:spacing w:line="360" w:lineRule="auto"/>
        <w:ind w:firstLine="480" w:firstLineChars="200"/>
        <w:rPr>
          <w:b/>
          <w:sz w:val="24"/>
          <w:highlight w:val="none"/>
        </w:rPr>
      </w:pPr>
      <w:r>
        <w:rPr>
          <w:rFonts w:hint="eastAsia"/>
          <w:sz w:val="24"/>
          <w:highlight w:val="none"/>
        </w:rPr>
        <w:t>31.1实行发包人供应材料设备的，双方应当约定发包人供应材料设备的一览表，作为本合同附件（附件2）。一览表包括发包人供应材料设备的品种、规格、型号、数量、单价、质量等级、提供时间和地点。</w:t>
      </w:r>
    </w:p>
    <w:p w14:paraId="695C29FF">
      <w:pPr>
        <w:widowControl/>
        <w:spacing w:line="360" w:lineRule="auto"/>
        <w:ind w:firstLine="480" w:firstLineChars="200"/>
        <w:rPr>
          <w:b/>
          <w:sz w:val="24"/>
          <w:highlight w:val="none"/>
        </w:rPr>
      </w:pPr>
      <w:r>
        <w:rPr>
          <w:rFonts w:hint="eastAsia"/>
          <w:sz w:val="24"/>
          <w:highlight w:val="none"/>
        </w:rPr>
        <w:t>31.2发包人按一览表约定的内容提供材料设备，并向承包人提供产品合格证明，对其质量负责。发包人在所供材料设备到货前24小时，以书面形式通知承包人，由承包人派人与发包人共同清点。</w:t>
      </w:r>
    </w:p>
    <w:p w14:paraId="2C7CC6CE">
      <w:pPr>
        <w:widowControl/>
        <w:spacing w:line="360" w:lineRule="auto"/>
        <w:ind w:firstLine="480" w:firstLineChars="200"/>
        <w:rPr>
          <w:b/>
          <w:sz w:val="24"/>
          <w:highlight w:val="none"/>
        </w:rPr>
      </w:pPr>
      <w:r>
        <w:rPr>
          <w:rFonts w:hint="eastAsia"/>
          <w:sz w:val="24"/>
          <w:highlight w:val="none"/>
        </w:rPr>
        <w:t>31.3发包人供应的材料设备，承包人派人参加清点后由承包人妥善保管，发包人支付相应保管费用。因承包人原因发生丢失损坏，由承包人负责赔偿。发包人未通知承包人清点，承包人不负责材料设备的保管，丢失损坏由发包人负责。</w:t>
      </w:r>
    </w:p>
    <w:p w14:paraId="5736CAAF">
      <w:pPr>
        <w:widowControl/>
        <w:spacing w:line="360" w:lineRule="auto"/>
        <w:ind w:firstLine="480" w:firstLineChars="200"/>
        <w:rPr>
          <w:b/>
          <w:sz w:val="24"/>
          <w:highlight w:val="none"/>
        </w:rPr>
      </w:pPr>
      <w:r>
        <w:rPr>
          <w:rFonts w:hint="eastAsia"/>
          <w:sz w:val="24"/>
          <w:highlight w:val="none"/>
        </w:rPr>
        <w:t>31.4发包人供应的材料设备与一览表不符时，发包人承担有关责任。发包人应承担责任的具体内容，双方根据下列情况在专用条款内约定：</w:t>
      </w:r>
    </w:p>
    <w:p w14:paraId="6498F1EF">
      <w:pPr>
        <w:widowControl/>
        <w:spacing w:line="360" w:lineRule="auto"/>
        <w:ind w:firstLine="480" w:firstLineChars="200"/>
        <w:rPr>
          <w:b/>
          <w:sz w:val="24"/>
          <w:highlight w:val="none"/>
        </w:rPr>
      </w:pPr>
      <w:r>
        <w:rPr>
          <w:rFonts w:hint="eastAsia"/>
          <w:sz w:val="24"/>
          <w:highlight w:val="none"/>
        </w:rPr>
        <w:t>（1）材料设备单价与一览表不符，由发包人承担所有价差；</w:t>
      </w:r>
    </w:p>
    <w:p w14:paraId="1A7AFA5A">
      <w:pPr>
        <w:widowControl/>
        <w:spacing w:line="360" w:lineRule="auto"/>
        <w:ind w:firstLine="480" w:firstLineChars="200"/>
        <w:rPr>
          <w:b/>
          <w:sz w:val="24"/>
          <w:highlight w:val="none"/>
        </w:rPr>
      </w:pPr>
      <w:r>
        <w:rPr>
          <w:rFonts w:hint="eastAsia"/>
          <w:sz w:val="24"/>
          <w:highlight w:val="none"/>
        </w:rPr>
        <w:t>（2）材料设备的品种、规格、型号、质量等级与一览表不符，承包人可拒绝接收保管，由发包人运出施工场地并重新采购；</w:t>
      </w:r>
    </w:p>
    <w:p w14:paraId="55E07EBD">
      <w:pPr>
        <w:widowControl/>
        <w:spacing w:line="360" w:lineRule="auto"/>
        <w:ind w:firstLine="480" w:firstLineChars="200"/>
        <w:rPr>
          <w:b/>
          <w:sz w:val="24"/>
          <w:highlight w:val="none"/>
        </w:rPr>
      </w:pPr>
      <w:r>
        <w:rPr>
          <w:rFonts w:hint="eastAsia"/>
          <w:sz w:val="24"/>
          <w:highlight w:val="none"/>
        </w:rPr>
        <w:t>（3）发包人供应的材料规格、型号与一览表不符，经发包人同意，承包人可代为调剂串换，由发包人承担相应费用；</w:t>
      </w:r>
    </w:p>
    <w:p w14:paraId="2E2A3991">
      <w:pPr>
        <w:widowControl/>
        <w:spacing w:line="360" w:lineRule="auto"/>
        <w:ind w:firstLine="480" w:firstLineChars="200"/>
        <w:rPr>
          <w:b/>
          <w:sz w:val="24"/>
          <w:highlight w:val="none"/>
        </w:rPr>
      </w:pPr>
      <w:r>
        <w:rPr>
          <w:rFonts w:hint="eastAsia"/>
          <w:sz w:val="24"/>
          <w:highlight w:val="none"/>
        </w:rPr>
        <w:t>（4）到货地点与一览表不符，由发包人负责运至一览表指定地点；</w:t>
      </w:r>
    </w:p>
    <w:p w14:paraId="64DD3A90">
      <w:pPr>
        <w:widowControl/>
        <w:spacing w:line="360" w:lineRule="auto"/>
        <w:ind w:firstLine="480" w:firstLineChars="200"/>
        <w:rPr>
          <w:b/>
          <w:sz w:val="24"/>
          <w:highlight w:val="none"/>
        </w:rPr>
      </w:pPr>
      <w:r>
        <w:rPr>
          <w:rFonts w:hint="eastAsia"/>
          <w:sz w:val="24"/>
          <w:highlight w:val="none"/>
        </w:rPr>
        <w:t>（5）供应数量少于一览表约定的数量时，由发包人补齐，多于一览表约定数量时，发包人负责将多出部分运出施工场地；</w:t>
      </w:r>
    </w:p>
    <w:p w14:paraId="3F987A61">
      <w:pPr>
        <w:widowControl/>
        <w:spacing w:line="360" w:lineRule="auto"/>
        <w:ind w:firstLine="480" w:firstLineChars="200"/>
        <w:rPr>
          <w:b/>
          <w:sz w:val="24"/>
          <w:highlight w:val="none"/>
        </w:rPr>
      </w:pPr>
      <w:r>
        <w:rPr>
          <w:rFonts w:hint="eastAsia"/>
          <w:sz w:val="24"/>
          <w:highlight w:val="none"/>
        </w:rPr>
        <w:t>（6）到货时间早于一览表约定时间，由发包人承担因此发生的保管费用；到货时间迟于一览表约定的供应时间，发包人赔偿由此造成的承包人损失，造成工期延误的，相应顺延工期；</w:t>
      </w:r>
    </w:p>
    <w:p w14:paraId="46934028">
      <w:pPr>
        <w:widowControl/>
        <w:spacing w:line="360" w:lineRule="auto"/>
        <w:ind w:firstLine="480" w:firstLineChars="200"/>
        <w:rPr>
          <w:b/>
          <w:sz w:val="24"/>
          <w:highlight w:val="none"/>
        </w:rPr>
      </w:pPr>
      <w:r>
        <w:rPr>
          <w:rFonts w:hint="eastAsia"/>
          <w:sz w:val="24"/>
          <w:highlight w:val="none"/>
        </w:rPr>
        <w:t>31.5发包人供应的材料设备使用前，由承包人负责检验或试验，不合格的不得使用，检验或试验费用由发包人承担。</w:t>
      </w:r>
    </w:p>
    <w:p w14:paraId="37F8A7EF">
      <w:pPr>
        <w:widowControl/>
        <w:spacing w:line="360" w:lineRule="auto"/>
        <w:ind w:firstLine="480" w:firstLineChars="200"/>
        <w:rPr>
          <w:b/>
          <w:sz w:val="24"/>
          <w:highlight w:val="none"/>
        </w:rPr>
      </w:pPr>
      <w:r>
        <w:rPr>
          <w:rFonts w:hint="eastAsia"/>
          <w:sz w:val="24"/>
          <w:highlight w:val="none"/>
        </w:rPr>
        <w:t>31.6发包人供应材料设备的结算方法，双方在专用条款内约定。</w:t>
      </w:r>
    </w:p>
    <w:p w14:paraId="7C366E9D">
      <w:pPr>
        <w:widowControl/>
        <w:spacing w:line="360" w:lineRule="auto"/>
        <w:ind w:firstLine="480" w:firstLineChars="200"/>
        <w:rPr>
          <w:b/>
          <w:sz w:val="24"/>
          <w:highlight w:val="none"/>
        </w:rPr>
      </w:pPr>
      <w:r>
        <w:rPr>
          <w:rFonts w:hint="eastAsia"/>
          <w:sz w:val="24"/>
          <w:highlight w:val="none"/>
        </w:rPr>
        <w:t>32、承包人采购材料设备</w:t>
      </w:r>
    </w:p>
    <w:p w14:paraId="4A39BDA4">
      <w:pPr>
        <w:widowControl/>
        <w:spacing w:line="360" w:lineRule="auto"/>
        <w:ind w:firstLine="480" w:firstLineChars="200"/>
        <w:rPr>
          <w:b/>
          <w:sz w:val="24"/>
          <w:highlight w:val="none"/>
        </w:rPr>
      </w:pPr>
      <w:r>
        <w:rPr>
          <w:rFonts w:hint="eastAsia"/>
          <w:sz w:val="24"/>
          <w:highlight w:val="none"/>
        </w:rPr>
        <w:t>32.1承包人负责采购材料设备的，应按照专用条款约定及设计和有关标准要求采购，并提供产品合格证明，对材料设备质量负责。承包人在材料设备到货前24小时通知工程师清点。</w:t>
      </w:r>
    </w:p>
    <w:p w14:paraId="4DC649DE">
      <w:pPr>
        <w:widowControl/>
        <w:spacing w:line="360" w:lineRule="auto"/>
        <w:ind w:firstLine="480" w:firstLineChars="200"/>
        <w:rPr>
          <w:b/>
          <w:sz w:val="24"/>
          <w:highlight w:val="none"/>
        </w:rPr>
      </w:pPr>
      <w:r>
        <w:rPr>
          <w:rFonts w:hint="eastAsia"/>
          <w:sz w:val="24"/>
          <w:highlight w:val="none"/>
        </w:rPr>
        <w:t>32.2承包人采购的材料设备与设计标准要求不符时，承包人应按工程师要求的时间运出施工场地，重新采购符合要求的产品，承担由此发生的费用，由此延误的工期不予顺延。</w:t>
      </w:r>
    </w:p>
    <w:p w14:paraId="1AA94C3D">
      <w:pPr>
        <w:widowControl/>
        <w:spacing w:line="360" w:lineRule="auto"/>
        <w:ind w:firstLine="480" w:firstLineChars="200"/>
        <w:rPr>
          <w:b/>
          <w:sz w:val="24"/>
          <w:highlight w:val="none"/>
        </w:rPr>
      </w:pPr>
      <w:r>
        <w:rPr>
          <w:rFonts w:hint="eastAsia"/>
          <w:sz w:val="24"/>
          <w:highlight w:val="none"/>
        </w:rPr>
        <w:t>32.3承包人采购的材料设备在使用前，承包人应按工程师的要求进行检验或试验，不合格的不得使用，检验或试验费用由承包人承担。</w:t>
      </w:r>
    </w:p>
    <w:p w14:paraId="699919C6">
      <w:pPr>
        <w:widowControl/>
        <w:spacing w:line="360" w:lineRule="auto"/>
        <w:ind w:firstLine="480" w:firstLineChars="200"/>
        <w:rPr>
          <w:b/>
          <w:sz w:val="24"/>
          <w:highlight w:val="none"/>
        </w:rPr>
      </w:pPr>
      <w:r>
        <w:rPr>
          <w:rFonts w:hint="eastAsia"/>
          <w:sz w:val="24"/>
          <w:highlight w:val="none"/>
        </w:rPr>
        <w:t>32.4工程师发现承包人采购并使用不符合设计和标准要求的材料设备时，应要求承包人负责修复、拆除或重新采购，由承包人承担发生的费用，由此延误的工期不予顺延。</w:t>
      </w:r>
    </w:p>
    <w:p w14:paraId="0EA850DB">
      <w:pPr>
        <w:widowControl/>
        <w:spacing w:line="360" w:lineRule="auto"/>
        <w:ind w:firstLine="480" w:firstLineChars="200"/>
        <w:rPr>
          <w:b/>
          <w:sz w:val="24"/>
          <w:highlight w:val="none"/>
        </w:rPr>
      </w:pPr>
      <w:r>
        <w:rPr>
          <w:rFonts w:hint="eastAsia"/>
          <w:sz w:val="24"/>
          <w:highlight w:val="none"/>
        </w:rPr>
        <w:t>32.5承包人需要使用代用材料时，应经工程师认可后才能使用，由此增减的合同价款双方以书面形式议定。</w:t>
      </w:r>
    </w:p>
    <w:p w14:paraId="1C0637F9">
      <w:pPr>
        <w:widowControl/>
        <w:spacing w:line="360" w:lineRule="auto"/>
        <w:ind w:firstLine="480" w:firstLineChars="200"/>
        <w:rPr>
          <w:b/>
          <w:sz w:val="24"/>
          <w:highlight w:val="none"/>
        </w:rPr>
      </w:pPr>
      <w:r>
        <w:rPr>
          <w:rFonts w:hint="eastAsia"/>
          <w:sz w:val="24"/>
          <w:highlight w:val="none"/>
        </w:rPr>
        <w:t>32.6由承包人采购的材料设备，发包人不得指定生产厂或</w:t>
      </w:r>
      <w:r>
        <w:rPr>
          <w:rFonts w:hint="eastAsia"/>
          <w:sz w:val="24"/>
          <w:highlight w:val="none"/>
          <w:lang w:eastAsia="zh-CN"/>
        </w:rPr>
        <w:t>投标人</w:t>
      </w:r>
      <w:r>
        <w:rPr>
          <w:rFonts w:hint="eastAsia"/>
          <w:sz w:val="24"/>
          <w:highlight w:val="none"/>
        </w:rPr>
        <w:t>。</w:t>
      </w:r>
    </w:p>
    <w:p w14:paraId="7C0B43E1">
      <w:pPr>
        <w:widowControl/>
        <w:spacing w:line="360" w:lineRule="auto"/>
        <w:ind w:firstLine="480" w:firstLineChars="200"/>
        <w:rPr>
          <w:b/>
          <w:sz w:val="24"/>
          <w:highlight w:val="none"/>
        </w:rPr>
      </w:pPr>
      <w:r>
        <w:rPr>
          <w:rFonts w:hint="eastAsia"/>
          <w:sz w:val="24"/>
          <w:highlight w:val="none"/>
        </w:rPr>
        <w:t>八、工程变更</w:t>
      </w:r>
    </w:p>
    <w:p w14:paraId="46C7CFAF">
      <w:pPr>
        <w:widowControl/>
        <w:spacing w:line="360" w:lineRule="auto"/>
        <w:ind w:firstLine="480" w:firstLineChars="200"/>
        <w:rPr>
          <w:b/>
          <w:sz w:val="24"/>
          <w:highlight w:val="none"/>
        </w:rPr>
      </w:pPr>
      <w:r>
        <w:rPr>
          <w:rFonts w:hint="eastAsia"/>
          <w:sz w:val="24"/>
          <w:highlight w:val="none"/>
        </w:rPr>
        <w:t>33、工程设计变更</w:t>
      </w:r>
    </w:p>
    <w:p w14:paraId="53B697EF">
      <w:pPr>
        <w:widowControl/>
        <w:spacing w:line="360" w:lineRule="auto"/>
        <w:ind w:firstLine="480" w:firstLineChars="200"/>
        <w:rPr>
          <w:b/>
          <w:sz w:val="24"/>
          <w:highlight w:val="none"/>
        </w:rPr>
      </w:pPr>
      <w:r>
        <w:rPr>
          <w:rFonts w:hint="eastAsia"/>
          <w:sz w:val="24"/>
          <w:highlight w:val="none"/>
        </w:rPr>
        <w:t>33.1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14:paraId="3548321B">
      <w:pPr>
        <w:widowControl/>
        <w:spacing w:line="360" w:lineRule="auto"/>
        <w:ind w:firstLine="480" w:firstLineChars="200"/>
        <w:rPr>
          <w:b/>
          <w:sz w:val="24"/>
          <w:highlight w:val="none"/>
        </w:rPr>
      </w:pPr>
      <w:r>
        <w:rPr>
          <w:rFonts w:hint="eastAsia"/>
          <w:sz w:val="24"/>
          <w:highlight w:val="none"/>
        </w:rPr>
        <w:t>（1）更改工程有关部分的标高、基线、位置和尺寸；</w:t>
      </w:r>
    </w:p>
    <w:p w14:paraId="135DD788">
      <w:pPr>
        <w:widowControl/>
        <w:spacing w:line="360" w:lineRule="auto"/>
        <w:ind w:firstLine="480" w:firstLineChars="200"/>
        <w:rPr>
          <w:b/>
          <w:sz w:val="24"/>
          <w:highlight w:val="none"/>
        </w:rPr>
      </w:pPr>
      <w:r>
        <w:rPr>
          <w:rFonts w:hint="eastAsia"/>
          <w:sz w:val="24"/>
          <w:highlight w:val="none"/>
        </w:rPr>
        <w:t>（2）增减合同中约定的工程量；</w:t>
      </w:r>
    </w:p>
    <w:p w14:paraId="417AC12E">
      <w:pPr>
        <w:widowControl/>
        <w:spacing w:line="360" w:lineRule="auto"/>
        <w:ind w:firstLine="480" w:firstLineChars="200"/>
        <w:rPr>
          <w:b/>
          <w:sz w:val="24"/>
          <w:highlight w:val="none"/>
        </w:rPr>
      </w:pPr>
      <w:r>
        <w:rPr>
          <w:rFonts w:hint="eastAsia"/>
          <w:sz w:val="24"/>
          <w:highlight w:val="none"/>
        </w:rPr>
        <w:t>（3）改变有关工程的施工时间和顺序；</w:t>
      </w:r>
    </w:p>
    <w:p w14:paraId="6916DDE6">
      <w:pPr>
        <w:widowControl/>
        <w:spacing w:line="360" w:lineRule="auto"/>
        <w:ind w:firstLine="480" w:firstLineChars="200"/>
        <w:rPr>
          <w:b/>
          <w:sz w:val="24"/>
          <w:highlight w:val="none"/>
        </w:rPr>
      </w:pPr>
      <w:r>
        <w:rPr>
          <w:rFonts w:hint="eastAsia"/>
          <w:sz w:val="24"/>
          <w:highlight w:val="none"/>
        </w:rPr>
        <w:t>（4）其他有关工程变更需要的附加工作。</w:t>
      </w:r>
    </w:p>
    <w:p w14:paraId="1ADB5DDA">
      <w:pPr>
        <w:widowControl/>
        <w:spacing w:line="360" w:lineRule="auto"/>
        <w:ind w:firstLine="480" w:firstLineChars="200"/>
        <w:rPr>
          <w:b/>
          <w:sz w:val="24"/>
          <w:highlight w:val="none"/>
        </w:rPr>
      </w:pPr>
      <w:r>
        <w:rPr>
          <w:rFonts w:hint="eastAsia"/>
          <w:sz w:val="24"/>
          <w:highlight w:val="none"/>
        </w:rPr>
        <w:t>因变更导致合同价款的增减及造成的承包人损失，由发包人承担，延误的工期相应顺延。</w:t>
      </w:r>
    </w:p>
    <w:p w14:paraId="1B899E2A">
      <w:pPr>
        <w:widowControl/>
        <w:spacing w:line="360" w:lineRule="auto"/>
        <w:ind w:firstLine="480" w:firstLineChars="200"/>
        <w:rPr>
          <w:b/>
          <w:sz w:val="24"/>
          <w:highlight w:val="none"/>
        </w:rPr>
      </w:pPr>
      <w:r>
        <w:rPr>
          <w:rFonts w:hint="eastAsia"/>
          <w:sz w:val="24"/>
          <w:highlight w:val="none"/>
        </w:rPr>
        <w:t>33.2施工中承包人不得对原工程设计进行变更。因承包人擅自变更设计发生的费用和由此导致发包人的直接损失，由承包人承担，延误的工期不予顺延。</w:t>
      </w:r>
    </w:p>
    <w:p w14:paraId="3C1D36F4">
      <w:pPr>
        <w:widowControl/>
        <w:spacing w:line="360" w:lineRule="auto"/>
        <w:ind w:firstLine="480" w:firstLineChars="200"/>
        <w:rPr>
          <w:b/>
          <w:sz w:val="24"/>
          <w:highlight w:val="none"/>
        </w:rPr>
      </w:pPr>
      <w:r>
        <w:rPr>
          <w:rFonts w:hint="eastAsia"/>
          <w:sz w:val="24"/>
          <w:highlight w:val="none"/>
        </w:rPr>
        <w:t>33.3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工程师同意采用承包人合理化建议，所发生的费用和获得的收益，发包人承包人另行约定分担或分享。</w:t>
      </w:r>
    </w:p>
    <w:p w14:paraId="43312FB1">
      <w:pPr>
        <w:widowControl/>
        <w:spacing w:line="360" w:lineRule="auto"/>
        <w:ind w:firstLine="480" w:firstLineChars="200"/>
        <w:rPr>
          <w:b/>
          <w:sz w:val="24"/>
          <w:highlight w:val="none"/>
        </w:rPr>
      </w:pPr>
      <w:r>
        <w:rPr>
          <w:rFonts w:hint="eastAsia"/>
          <w:sz w:val="24"/>
          <w:highlight w:val="none"/>
        </w:rPr>
        <w:t>34、其他变更</w:t>
      </w:r>
    </w:p>
    <w:p w14:paraId="75840A25">
      <w:pPr>
        <w:widowControl/>
        <w:spacing w:line="360" w:lineRule="auto"/>
        <w:ind w:firstLine="480" w:firstLineChars="200"/>
        <w:rPr>
          <w:b/>
          <w:sz w:val="24"/>
          <w:highlight w:val="none"/>
        </w:rPr>
      </w:pPr>
      <w:r>
        <w:rPr>
          <w:rFonts w:hint="eastAsia"/>
          <w:sz w:val="24"/>
          <w:highlight w:val="none"/>
        </w:rPr>
        <w:t>合同履行中发包人要求变更工程质量标准及发生其他实质性变更，由双方协商解决。</w:t>
      </w:r>
    </w:p>
    <w:p w14:paraId="24874825">
      <w:pPr>
        <w:widowControl/>
        <w:spacing w:line="360" w:lineRule="auto"/>
        <w:ind w:firstLine="480" w:firstLineChars="200"/>
        <w:rPr>
          <w:b/>
          <w:sz w:val="24"/>
          <w:highlight w:val="none"/>
        </w:rPr>
      </w:pPr>
      <w:r>
        <w:rPr>
          <w:rFonts w:hint="eastAsia"/>
          <w:sz w:val="24"/>
          <w:highlight w:val="none"/>
        </w:rPr>
        <w:t>35、确定变更价款</w:t>
      </w:r>
    </w:p>
    <w:p w14:paraId="0BFF70D4">
      <w:pPr>
        <w:widowControl/>
        <w:spacing w:line="360" w:lineRule="auto"/>
        <w:ind w:firstLine="480" w:firstLineChars="200"/>
        <w:rPr>
          <w:b/>
          <w:sz w:val="24"/>
          <w:highlight w:val="none"/>
        </w:rPr>
      </w:pPr>
      <w:r>
        <w:rPr>
          <w:rFonts w:hint="eastAsia"/>
          <w:sz w:val="24"/>
          <w:highlight w:val="none"/>
        </w:rPr>
        <w:t>35.1承包人在工程变更确定后14天内，提出变更工程价款的报告，经工程师确认后调整合同价款。变更合同价款按下列方法进行：</w:t>
      </w:r>
    </w:p>
    <w:p w14:paraId="57A73B65">
      <w:pPr>
        <w:widowControl/>
        <w:spacing w:line="360" w:lineRule="auto"/>
        <w:ind w:firstLine="480" w:firstLineChars="200"/>
        <w:rPr>
          <w:b/>
          <w:sz w:val="24"/>
          <w:highlight w:val="none"/>
        </w:rPr>
      </w:pPr>
      <w:r>
        <w:rPr>
          <w:rFonts w:hint="eastAsia"/>
          <w:sz w:val="24"/>
          <w:highlight w:val="none"/>
        </w:rPr>
        <w:t>（1）合同中已有适用于变更工程的综合单价或价格，按合同已有的综合单价或价格变更合同价款；</w:t>
      </w:r>
    </w:p>
    <w:p w14:paraId="0536F45A">
      <w:pPr>
        <w:widowControl/>
        <w:spacing w:line="360" w:lineRule="auto"/>
        <w:ind w:firstLine="480" w:firstLineChars="200"/>
        <w:rPr>
          <w:b/>
          <w:sz w:val="24"/>
          <w:highlight w:val="none"/>
        </w:rPr>
      </w:pPr>
      <w:r>
        <w:rPr>
          <w:rFonts w:hint="eastAsia"/>
          <w:sz w:val="24"/>
          <w:highlight w:val="none"/>
        </w:rPr>
        <w:t>（2）合同中只有类似于变更工程的综合单价或价格，可以参照类似综合单价或价格变更合同价款；</w:t>
      </w:r>
    </w:p>
    <w:p w14:paraId="48F5724D">
      <w:pPr>
        <w:widowControl/>
        <w:spacing w:line="360" w:lineRule="auto"/>
        <w:ind w:firstLine="480" w:firstLineChars="200"/>
        <w:rPr>
          <w:b/>
          <w:sz w:val="24"/>
          <w:highlight w:val="none"/>
        </w:rPr>
      </w:pPr>
      <w:r>
        <w:rPr>
          <w:rFonts w:hint="eastAsia"/>
          <w:sz w:val="24"/>
          <w:highlight w:val="none"/>
        </w:rPr>
        <w:t>（3）合同中没有适用或类似于变更工程的综合单价或价格，由承包人或发包人提出综合单价或价格，经双方确认后执行。</w:t>
      </w:r>
    </w:p>
    <w:p w14:paraId="5980F77D">
      <w:pPr>
        <w:widowControl/>
        <w:spacing w:line="360" w:lineRule="auto"/>
        <w:ind w:firstLine="480" w:firstLineChars="200"/>
        <w:rPr>
          <w:b/>
          <w:sz w:val="24"/>
          <w:highlight w:val="none"/>
        </w:rPr>
      </w:pPr>
      <w:r>
        <w:rPr>
          <w:rFonts w:hint="eastAsia"/>
          <w:sz w:val="24"/>
          <w:highlight w:val="none"/>
        </w:rPr>
        <w:t>35.2承包人在双方确定变更后14天内应向工程师提出变更工程价款报告，否则发包人可根据所掌握的资料决定是否调整合同价款和调整的具体金额，并书面通知承包人。</w:t>
      </w:r>
    </w:p>
    <w:p w14:paraId="00C4DBE2">
      <w:pPr>
        <w:widowControl/>
        <w:spacing w:line="360" w:lineRule="auto"/>
        <w:ind w:firstLine="480" w:firstLineChars="200"/>
        <w:rPr>
          <w:b/>
          <w:sz w:val="24"/>
          <w:highlight w:val="none"/>
        </w:rPr>
      </w:pPr>
      <w:r>
        <w:rPr>
          <w:rFonts w:hint="eastAsia"/>
          <w:sz w:val="24"/>
          <w:highlight w:val="none"/>
        </w:rPr>
        <w:t>35.3工程师应在收到变更工程价款报告之日起14天内予以确认，工程师无正当理由不确认也未提出协商意见时，自变更工程价款报告送达之日起14天后视为变更工程价款报告已被确认。</w:t>
      </w:r>
    </w:p>
    <w:p w14:paraId="3082C97B">
      <w:pPr>
        <w:widowControl/>
        <w:spacing w:line="360" w:lineRule="auto"/>
        <w:ind w:firstLine="480" w:firstLineChars="200"/>
        <w:rPr>
          <w:b/>
          <w:sz w:val="24"/>
          <w:highlight w:val="none"/>
        </w:rPr>
      </w:pPr>
      <w:r>
        <w:rPr>
          <w:rFonts w:hint="eastAsia"/>
          <w:sz w:val="24"/>
          <w:highlight w:val="none"/>
        </w:rPr>
        <w:t>35.4发承包双方对变更价款不能达成一致时，按本通用条款第41条关于争议的约定处理。</w:t>
      </w:r>
    </w:p>
    <w:p w14:paraId="2E17FE56">
      <w:pPr>
        <w:widowControl/>
        <w:spacing w:line="360" w:lineRule="auto"/>
        <w:ind w:firstLine="480" w:firstLineChars="200"/>
        <w:rPr>
          <w:b/>
          <w:sz w:val="24"/>
          <w:highlight w:val="none"/>
        </w:rPr>
      </w:pPr>
      <w:r>
        <w:rPr>
          <w:rFonts w:hint="eastAsia"/>
          <w:sz w:val="24"/>
          <w:highlight w:val="none"/>
        </w:rPr>
        <w:t>35.5因承包人自身原因导致的工程变更，承包人无权要求追加合同价款。</w:t>
      </w:r>
    </w:p>
    <w:p w14:paraId="51EE39D7">
      <w:pPr>
        <w:widowControl/>
        <w:spacing w:line="360" w:lineRule="auto"/>
        <w:ind w:firstLine="480" w:firstLineChars="200"/>
        <w:rPr>
          <w:b/>
          <w:sz w:val="24"/>
          <w:highlight w:val="none"/>
        </w:rPr>
      </w:pPr>
      <w:r>
        <w:rPr>
          <w:rFonts w:hint="eastAsia"/>
          <w:sz w:val="24"/>
          <w:highlight w:val="none"/>
        </w:rPr>
        <w:t>九、竣工验收与结算</w:t>
      </w:r>
    </w:p>
    <w:p w14:paraId="02AC9EC9">
      <w:pPr>
        <w:widowControl/>
        <w:spacing w:line="360" w:lineRule="auto"/>
        <w:ind w:firstLine="480" w:firstLineChars="200"/>
        <w:rPr>
          <w:b/>
          <w:sz w:val="24"/>
          <w:highlight w:val="none"/>
        </w:rPr>
      </w:pPr>
      <w:r>
        <w:rPr>
          <w:rFonts w:hint="eastAsia"/>
          <w:sz w:val="24"/>
          <w:highlight w:val="none"/>
        </w:rPr>
        <w:t>36、竣工验收</w:t>
      </w:r>
    </w:p>
    <w:p w14:paraId="1D3F78E0">
      <w:pPr>
        <w:widowControl/>
        <w:spacing w:line="360" w:lineRule="auto"/>
        <w:ind w:firstLine="480" w:firstLineChars="200"/>
        <w:rPr>
          <w:b/>
          <w:sz w:val="24"/>
          <w:highlight w:val="none"/>
        </w:rPr>
      </w:pPr>
      <w:r>
        <w:rPr>
          <w:rFonts w:hint="eastAsia"/>
          <w:sz w:val="24"/>
          <w:highlight w:val="none"/>
        </w:rPr>
        <w:t>36.1工程具备竣工验收条件，承包人按国家工程竣工验收有关规定，向发包人提供完整竣工资料及竣工验收报告。双方约定由承包人提供竣工图的，应当在专用条款内约定提供的日期和份数。</w:t>
      </w:r>
    </w:p>
    <w:p w14:paraId="3656151D">
      <w:pPr>
        <w:widowControl/>
        <w:spacing w:line="360" w:lineRule="auto"/>
        <w:ind w:firstLine="480" w:firstLineChars="200"/>
        <w:rPr>
          <w:b/>
          <w:sz w:val="24"/>
          <w:highlight w:val="none"/>
        </w:rPr>
      </w:pPr>
      <w:r>
        <w:rPr>
          <w:rFonts w:hint="eastAsia"/>
          <w:sz w:val="24"/>
          <w:highlight w:val="none"/>
        </w:rPr>
        <w:t>36.2发包人收到竣工验收报告后28天内组织有关单位验收，并在验收后14天内给予认可或提出修改意见。承包人按要求修改，并承担由自身原因造成修改的费用。</w:t>
      </w:r>
    </w:p>
    <w:p w14:paraId="44B3EB17">
      <w:pPr>
        <w:widowControl/>
        <w:spacing w:line="360" w:lineRule="auto"/>
        <w:ind w:firstLine="480" w:firstLineChars="200"/>
        <w:rPr>
          <w:b/>
          <w:sz w:val="24"/>
          <w:highlight w:val="none"/>
        </w:rPr>
      </w:pPr>
      <w:r>
        <w:rPr>
          <w:rFonts w:hint="eastAsia"/>
          <w:sz w:val="24"/>
          <w:highlight w:val="none"/>
        </w:rPr>
        <w:t>36.3发包人收到承包人送交的竣工验收报告后28天内不组织验收，或验收后14天内不提出修改意见，视为竣工验收报告已被认可。</w:t>
      </w:r>
    </w:p>
    <w:p w14:paraId="30435B1A">
      <w:pPr>
        <w:widowControl/>
        <w:spacing w:line="360" w:lineRule="auto"/>
        <w:ind w:firstLine="480" w:firstLineChars="200"/>
        <w:rPr>
          <w:b/>
          <w:sz w:val="24"/>
          <w:highlight w:val="none"/>
        </w:rPr>
      </w:pPr>
      <w:r>
        <w:rPr>
          <w:rFonts w:hint="eastAsia"/>
          <w:sz w:val="24"/>
          <w:highlight w:val="none"/>
        </w:rPr>
        <w:t>36.4工程竣工验收通过，承包人送交竣工验收报告的日期为实际竣工日期。工程按发包人要求修改后通过竣工验收的，实际竣工日期为承包人修改后提请发包人验收的日期。</w:t>
      </w:r>
    </w:p>
    <w:p w14:paraId="65C358A6">
      <w:pPr>
        <w:widowControl/>
        <w:spacing w:line="360" w:lineRule="auto"/>
        <w:ind w:firstLine="480" w:firstLineChars="200"/>
        <w:rPr>
          <w:b/>
          <w:sz w:val="24"/>
          <w:highlight w:val="none"/>
        </w:rPr>
      </w:pPr>
      <w:r>
        <w:rPr>
          <w:rFonts w:hint="eastAsia"/>
          <w:sz w:val="24"/>
          <w:highlight w:val="none"/>
        </w:rPr>
        <w:t>36.5发包人收到承包人竣工验收报告后28天内不组织验收，从第29天起承担工程保管及一切意外责任。</w:t>
      </w:r>
    </w:p>
    <w:p w14:paraId="406130B4">
      <w:pPr>
        <w:widowControl/>
        <w:spacing w:line="360" w:lineRule="auto"/>
        <w:ind w:firstLine="480" w:firstLineChars="200"/>
        <w:rPr>
          <w:b/>
          <w:sz w:val="24"/>
          <w:highlight w:val="none"/>
        </w:rPr>
      </w:pPr>
      <w:r>
        <w:rPr>
          <w:rFonts w:hint="eastAsia"/>
          <w:sz w:val="24"/>
          <w:highlight w:val="none"/>
        </w:rPr>
        <w:t>36.6中间交工工程的范围和竣工时间，双方在专用条款内约定，其验收程序按本通用条款36.1款至36.4款办理。</w:t>
      </w:r>
    </w:p>
    <w:p w14:paraId="1CB80B16">
      <w:pPr>
        <w:widowControl/>
        <w:spacing w:line="360" w:lineRule="auto"/>
        <w:ind w:firstLine="480" w:firstLineChars="200"/>
        <w:rPr>
          <w:b/>
          <w:sz w:val="24"/>
          <w:highlight w:val="none"/>
        </w:rPr>
      </w:pPr>
      <w:r>
        <w:rPr>
          <w:rFonts w:hint="eastAsia"/>
          <w:sz w:val="24"/>
          <w:highlight w:val="none"/>
        </w:rPr>
        <w:t>36.7因特殊原因，发包人要求部分单位工程或工程部位甩项竣工的，双方另行签订甩项竣工协议，明确双方责任和工程价款的支付方法。</w:t>
      </w:r>
    </w:p>
    <w:p w14:paraId="09BA89EA">
      <w:pPr>
        <w:widowControl/>
        <w:spacing w:line="360" w:lineRule="auto"/>
        <w:ind w:firstLine="480" w:firstLineChars="200"/>
        <w:rPr>
          <w:b/>
          <w:sz w:val="24"/>
          <w:highlight w:val="none"/>
        </w:rPr>
      </w:pPr>
      <w:r>
        <w:rPr>
          <w:rFonts w:hint="eastAsia"/>
          <w:sz w:val="24"/>
          <w:highlight w:val="none"/>
        </w:rPr>
        <w:t>36.8工程未经竣工验收或竣工验收未通过的，发包人不得使用。发包人强行使用时，由此发生的质量及其他问题，由发包人承担责任。</w:t>
      </w:r>
    </w:p>
    <w:p w14:paraId="1D5CA35C">
      <w:pPr>
        <w:widowControl/>
        <w:spacing w:line="360" w:lineRule="auto"/>
        <w:ind w:firstLine="480" w:firstLineChars="200"/>
        <w:rPr>
          <w:b/>
          <w:sz w:val="24"/>
          <w:highlight w:val="none"/>
        </w:rPr>
      </w:pPr>
      <w:r>
        <w:rPr>
          <w:rFonts w:hint="eastAsia"/>
          <w:sz w:val="24"/>
          <w:highlight w:val="none"/>
        </w:rPr>
        <w:t>37、竣工结算</w:t>
      </w:r>
    </w:p>
    <w:p w14:paraId="62FBFABB">
      <w:pPr>
        <w:widowControl/>
        <w:spacing w:line="360" w:lineRule="auto"/>
        <w:ind w:firstLine="480" w:firstLineChars="200"/>
        <w:rPr>
          <w:b/>
          <w:sz w:val="24"/>
          <w:highlight w:val="none"/>
        </w:rPr>
      </w:pPr>
      <w:r>
        <w:rPr>
          <w:rFonts w:hint="eastAsia"/>
          <w:sz w:val="24"/>
          <w:highlight w:val="none"/>
        </w:rPr>
        <w:t>37.1工程竣工结算分为单位工程竣工结算、单项工程竣工结算和建设项目竣工总结算。</w:t>
      </w:r>
    </w:p>
    <w:p w14:paraId="5FED95C0">
      <w:pPr>
        <w:widowControl/>
        <w:spacing w:line="360" w:lineRule="auto"/>
        <w:ind w:firstLine="480" w:firstLineChars="200"/>
        <w:rPr>
          <w:b/>
          <w:sz w:val="24"/>
          <w:highlight w:val="none"/>
        </w:rPr>
      </w:pPr>
      <w:r>
        <w:rPr>
          <w:rFonts w:hint="eastAsia"/>
          <w:sz w:val="24"/>
          <w:highlight w:val="none"/>
        </w:rPr>
        <w:t>37.2承包人应在工程通过竣工验收后，工程竣工结算报告金额在500万元以下的工程一般在20天以内、工程竣工结算报告金额在500万元以上的工程一般在60天以内向发包人递交竣工结算报告及完整的结算资料，双方按照协议书约定的合同价款及专用条款约定的合同价款调整内容，进行工程竣工结算。</w:t>
      </w:r>
    </w:p>
    <w:p w14:paraId="29005A4A">
      <w:pPr>
        <w:widowControl/>
        <w:spacing w:line="360" w:lineRule="auto"/>
        <w:ind w:firstLine="480" w:firstLineChars="200"/>
        <w:rPr>
          <w:b/>
          <w:sz w:val="24"/>
          <w:highlight w:val="none"/>
        </w:rPr>
      </w:pPr>
      <w:r>
        <w:rPr>
          <w:rFonts w:hint="eastAsia"/>
          <w:sz w:val="24"/>
          <w:highlight w:val="none"/>
        </w:rPr>
        <w:t>建设项目总结算在最后一个单项工程竣工结算审查确认后，一般在15天以内向发包人提交竣工结算汇总资料。</w:t>
      </w:r>
    </w:p>
    <w:p w14:paraId="4367A589">
      <w:pPr>
        <w:widowControl/>
        <w:spacing w:line="360" w:lineRule="auto"/>
        <w:ind w:firstLine="480" w:firstLineChars="200"/>
        <w:rPr>
          <w:b/>
          <w:sz w:val="24"/>
          <w:highlight w:val="none"/>
        </w:rPr>
      </w:pPr>
      <w:r>
        <w:rPr>
          <w:rFonts w:hint="eastAsia"/>
          <w:sz w:val="24"/>
          <w:highlight w:val="none"/>
        </w:rPr>
        <w:t>37.3发包人收到承包人递交的单位单项工程竣工结算报告及结算资料后，工程竣工结算报告金额在500万元以下的工程一般在20天以内、工程竣工结算报告金额在500万元以上的工程一般在60天以内（合同约定有期限的，从其约定）进行审查，给予确认或者提出修改意见。发包人确认竣工结算报告后向承包人支付工程竣工结算价款。</w:t>
      </w:r>
    </w:p>
    <w:p w14:paraId="6B255868">
      <w:pPr>
        <w:widowControl/>
        <w:spacing w:line="360" w:lineRule="auto"/>
        <w:ind w:firstLine="480" w:firstLineChars="200"/>
        <w:rPr>
          <w:b/>
          <w:sz w:val="24"/>
          <w:highlight w:val="none"/>
        </w:rPr>
      </w:pPr>
      <w:r>
        <w:rPr>
          <w:rFonts w:hint="eastAsia"/>
          <w:sz w:val="24"/>
          <w:highlight w:val="none"/>
        </w:rPr>
        <w:t>37.4承包人收到竣工结算价款后14天内将竣工工程交付发包人。</w:t>
      </w:r>
    </w:p>
    <w:p w14:paraId="0BD524EF">
      <w:pPr>
        <w:widowControl/>
        <w:spacing w:line="360" w:lineRule="auto"/>
        <w:ind w:firstLine="480" w:firstLineChars="200"/>
        <w:rPr>
          <w:b/>
          <w:sz w:val="24"/>
          <w:highlight w:val="none"/>
        </w:rPr>
      </w:pPr>
      <w:r>
        <w:rPr>
          <w:rFonts w:hint="eastAsia"/>
          <w:sz w:val="24"/>
          <w:highlight w:val="none"/>
        </w:rPr>
        <w:t>37.5发包人收到承包人建设项目竣工总结算汇总资料后30天内，审查完成。</w:t>
      </w:r>
    </w:p>
    <w:p w14:paraId="747C96B2">
      <w:pPr>
        <w:widowControl/>
        <w:spacing w:line="360" w:lineRule="auto"/>
        <w:ind w:firstLine="480" w:firstLineChars="200"/>
        <w:rPr>
          <w:b/>
          <w:sz w:val="24"/>
          <w:highlight w:val="none"/>
        </w:rPr>
      </w:pPr>
      <w:r>
        <w:rPr>
          <w:rFonts w:hint="eastAsia"/>
          <w:sz w:val="24"/>
          <w:highlight w:val="none"/>
        </w:rPr>
        <w:t>37.6发包人收到竣工结算报告及结算资料后，在本条规定期限内对结算报告及资料没有提出意见则视同认可。</w:t>
      </w:r>
    </w:p>
    <w:p w14:paraId="2CA48702">
      <w:pPr>
        <w:widowControl/>
        <w:spacing w:line="360" w:lineRule="auto"/>
        <w:ind w:firstLine="480" w:firstLineChars="200"/>
        <w:rPr>
          <w:b/>
          <w:sz w:val="24"/>
          <w:highlight w:val="none"/>
        </w:rPr>
      </w:pPr>
      <w:r>
        <w:rPr>
          <w:rFonts w:hint="eastAsia"/>
          <w:sz w:val="24"/>
          <w:highlight w:val="none"/>
        </w:rPr>
        <w:t>37.7承包人如未在规定时间内提供完整的工程竣工结算资料，经发包人催促后14天内仍未提供或没有明确答复，发包人有权根据已有资料进行审查，责任由承包人自负。发包人要求交付工程的，承包人应当交付；发包人不要求交付工程的，承包人承担保管责任。</w:t>
      </w:r>
    </w:p>
    <w:p w14:paraId="3D83DEE5">
      <w:pPr>
        <w:widowControl/>
        <w:spacing w:line="360" w:lineRule="auto"/>
        <w:ind w:firstLine="480" w:firstLineChars="200"/>
        <w:rPr>
          <w:b/>
          <w:sz w:val="24"/>
          <w:highlight w:val="none"/>
        </w:rPr>
      </w:pPr>
      <w:r>
        <w:rPr>
          <w:rFonts w:hint="eastAsia"/>
          <w:sz w:val="24"/>
          <w:highlight w:val="none"/>
        </w:rPr>
        <w:t>37.8根据确认的竣工结算报告，承包人向发包人申请支付工程竣工结算款。发包人应在收到申请后15天内支付结算款，到期没有支付的应承担违约责任。承包人可以催告发包人支付结算价款，如达成延期支付协议的，发包人应按同期银行贷款利率支付拖欠工程价款的利息。如未达成延期支付协议，承包人可以与发包人协商将该工程折价或申请人民法院将该工程依法拍卖，承包人就该工程折价或者拍卖的价款优先受偿。</w:t>
      </w:r>
    </w:p>
    <w:p w14:paraId="61AC3CF7">
      <w:pPr>
        <w:widowControl/>
        <w:spacing w:line="360" w:lineRule="auto"/>
        <w:ind w:firstLine="480" w:firstLineChars="200"/>
        <w:rPr>
          <w:b/>
          <w:sz w:val="24"/>
          <w:highlight w:val="none"/>
        </w:rPr>
      </w:pPr>
      <w:r>
        <w:rPr>
          <w:rFonts w:hint="eastAsia"/>
          <w:sz w:val="24"/>
          <w:highlight w:val="none"/>
        </w:rPr>
        <w:t>37.9发包人承包人对工程竣工结算价款发生争议时，按本通用条款第41条关于争议的约定处理。</w:t>
      </w:r>
    </w:p>
    <w:p w14:paraId="65769878">
      <w:pPr>
        <w:widowControl/>
        <w:spacing w:line="360" w:lineRule="auto"/>
        <w:ind w:firstLine="480" w:firstLineChars="200"/>
        <w:rPr>
          <w:b/>
          <w:sz w:val="24"/>
          <w:highlight w:val="none"/>
        </w:rPr>
      </w:pPr>
      <w:r>
        <w:rPr>
          <w:rFonts w:hint="eastAsia"/>
          <w:sz w:val="24"/>
          <w:highlight w:val="none"/>
        </w:rPr>
        <w:t>38、质量保证</w:t>
      </w:r>
    </w:p>
    <w:p w14:paraId="2C5DA06B">
      <w:pPr>
        <w:widowControl/>
        <w:spacing w:line="360" w:lineRule="auto"/>
        <w:ind w:firstLine="480" w:firstLineChars="200"/>
        <w:rPr>
          <w:b/>
          <w:sz w:val="24"/>
          <w:highlight w:val="none"/>
        </w:rPr>
      </w:pPr>
      <w:r>
        <w:rPr>
          <w:rFonts w:hint="eastAsia"/>
          <w:sz w:val="24"/>
          <w:highlight w:val="none"/>
        </w:rPr>
        <w:t>38.1承包人应按法律、行政法规或国家关于工程质量保修的有关规定，对交付发包人使用的工程在质量保修期内承担质量保修责任。</w:t>
      </w:r>
    </w:p>
    <w:p w14:paraId="0F4E61BB">
      <w:pPr>
        <w:widowControl/>
        <w:spacing w:line="360" w:lineRule="auto"/>
        <w:ind w:firstLine="480" w:firstLineChars="200"/>
        <w:rPr>
          <w:b/>
          <w:sz w:val="24"/>
          <w:highlight w:val="none"/>
        </w:rPr>
      </w:pPr>
      <w:r>
        <w:rPr>
          <w:rFonts w:hint="eastAsia"/>
          <w:sz w:val="24"/>
          <w:highlight w:val="none"/>
        </w:rPr>
        <w:t>38.2质量保修工作的实施。承包人与发包人签订质量保修书，作为本合同附件（附件３）。发包人应明确保证金预留、返还等内容，并与承包人在合同条款中对涉及保证金的下列事项进行约定：</w:t>
      </w:r>
    </w:p>
    <w:p w14:paraId="7CE1DD53">
      <w:pPr>
        <w:widowControl/>
        <w:spacing w:line="360" w:lineRule="auto"/>
        <w:ind w:firstLine="480" w:firstLineChars="200"/>
        <w:rPr>
          <w:b/>
          <w:sz w:val="24"/>
          <w:highlight w:val="none"/>
        </w:rPr>
      </w:pPr>
      <w:r>
        <w:rPr>
          <w:rFonts w:hint="eastAsia"/>
          <w:sz w:val="24"/>
          <w:highlight w:val="none"/>
        </w:rPr>
        <w:t>（1）保证金预留、返还方式；</w:t>
      </w:r>
    </w:p>
    <w:p w14:paraId="36373050">
      <w:pPr>
        <w:widowControl/>
        <w:spacing w:line="360" w:lineRule="auto"/>
        <w:ind w:firstLine="480" w:firstLineChars="200"/>
        <w:rPr>
          <w:b/>
          <w:sz w:val="24"/>
          <w:highlight w:val="none"/>
        </w:rPr>
      </w:pPr>
      <w:r>
        <w:rPr>
          <w:rFonts w:hint="eastAsia"/>
          <w:sz w:val="24"/>
          <w:highlight w:val="none"/>
        </w:rPr>
        <w:t>（2）保证金预留比例、期限；</w:t>
      </w:r>
    </w:p>
    <w:p w14:paraId="71583781">
      <w:pPr>
        <w:widowControl/>
        <w:spacing w:line="360" w:lineRule="auto"/>
        <w:ind w:firstLine="480" w:firstLineChars="200"/>
        <w:rPr>
          <w:b/>
          <w:sz w:val="24"/>
          <w:highlight w:val="none"/>
        </w:rPr>
      </w:pPr>
      <w:r>
        <w:rPr>
          <w:rFonts w:hint="eastAsia"/>
          <w:sz w:val="24"/>
          <w:highlight w:val="none"/>
        </w:rPr>
        <w:t>（3）保证金是否计付利息，如计利息，利息的计算方式；</w:t>
      </w:r>
    </w:p>
    <w:p w14:paraId="6EC34A4C">
      <w:pPr>
        <w:widowControl/>
        <w:spacing w:line="360" w:lineRule="auto"/>
        <w:ind w:firstLine="480" w:firstLineChars="200"/>
        <w:rPr>
          <w:b/>
          <w:sz w:val="24"/>
          <w:highlight w:val="none"/>
        </w:rPr>
      </w:pPr>
      <w:r>
        <w:rPr>
          <w:rFonts w:hint="eastAsia"/>
          <w:sz w:val="24"/>
          <w:highlight w:val="none"/>
        </w:rPr>
        <w:t>（4）缺陷责任期的期限及计算方式；</w:t>
      </w:r>
    </w:p>
    <w:p w14:paraId="7B67EC8A">
      <w:pPr>
        <w:widowControl/>
        <w:spacing w:line="360" w:lineRule="auto"/>
        <w:ind w:firstLine="480" w:firstLineChars="200"/>
        <w:rPr>
          <w:b/>
          <w:sz w:val="24"/>
          <w:highlight w:val="none"/>
        </w:rPr>
      </w:pPr>
      <w:r>
        <w:rPr>
          <w:rFonts w:hint="eastAsia"/>
          <w:sz w:val="24"/>
          <w:highlight w:val="none"/>
        </w:rPr>
        <w:t>（5）保证金预留、返还及工程维修质量、费用等争议的处理程序；</w:t>
      </w:r>
    </w:p>
    <w:p w14:paraId="78EDF6AD">
      <w:pPr>
        <w:widowControl/>
        <w:spacing w:line="360" w:lineRule="auto"/>
        <w:ind w:firstLine="480" w:firstLineChars="200"/>
        <w:rPr>
          <w:b/>
          <w:sz w:val="24"/>
          <w:highlight w:val="none"/>
        </w:rPr>
      </w:pPr>
      <w:r>
        <w:rPr>
          <w:rFonts w:hint="eastAsia"/>
          <w:sz w:val="24"/>
          <w:highlight w:val="none"/>
        </w:rPr>
        <w:t>（6）缺陷责任期内出现缺陷的索赔方式。</w:t>
      </w:r>
    </w:p>
    <w:p w14:paraId="1DD8C45C">
      <w:pPr>
        <w:widowControl/>
        <w:spacing w:line="360" w:lineRule="auto"/>
        <w:ind w:firstLine="480" w:firstLineChars="200"/>
        <w:rPr>
          <w:b/>
          <w:sz w:val="24"/>
          <w:highlight w:val="none"/>
        </w:rPr>
      </w:pPr>
      <w:r>
        <w:rPr>
          <w:rFonts w:hint="eastAsia"/>
          <w:sz w:val="24"/>
          <w:highlight w:val="none"/>
        </w:rPr>
        <w:t>38.3质量保修书的主要内容包括：</w:t>
      </w:r>
    </w:p>
    <w:p w14:paraId="75506E22">
      <w:pPr>
        <w:widowControl/>
        <w:spacing w:line="360" w:lineRule="auto"/>
        <w:ind w:firstLine="480" w:firstLineChars="200"/>
        <w:rPr>
          <w:b/>
          <w:sz w:val="24"/>
          <w:highlight w:val="none"/>
        </w:rPr>
      </w:pPr>
      <w:r>
        <w:rPr>
          <w:rFonts w:hint="eastAsia"/>
          <w:sz w:val="24"/>
          <w:highlight w:val="none"/>
        </w:rPr>
        <w:t>（1）质量保修项目内容及范围；</w:t>
      </w:r>
    </w:p>
    <w:p w14:paraId="7291A85C">
      <w:pPr>
        <w:widowControl/>
        <w:spacing w:line="360" w:lineRule="auto"/>
        <w:ind w:firstLine="480" w:firstLineChars="200"/>
        <w:rPr>
          <w:b/>
          <w:sz w:val="24"/>
          <w:highlight w:val="none"/>
        </w:rPr>
      </w:pPr>
      <w:r>
        <w:rPr>
          <w:rFonts w:hint="eastAsia"/>
          <w:sz w:val="24"/>
          <w:highlight w:val="none"/>
        </w:rPr>
        <w:t>（2）质量保修期；</w:t>
      </w:r>
    </w:p>
    <w:p w14:paraId="17DA751B">
      <w:pPr>
        <w:widowControl/>
        <w:spacing w:line="360" w:lineRule="auto"/>
        <w:ind w:firstLine="480" w:firstLineChars="200"/>
        <w:rPr>
          <w:b/>
          <w:sz w:val="24"/>
          <w:highlight w:val="none"/>
        </w:rPr>
      </w:pPr>
      <w:r>
        <w:rPr>
          <w:rFonts w:hint="eastAsia"/>
          <w:sz w:val="24"/>
          <w:highlight w:val="none"/>
        </w:rPr>
        <w:t>（3）质量保修责任；</w:t>
      </w:r>
    </w:p>
    <w:p w14:paraId="6CF7160B">
      <w:pPr>
        <w:widowControl/>
        <w:spacing w:line="360" w:lineRule="auto"/>
        <w:ind w:firstLine="480" w:firstLineChars="200"/>
        <w:rPr>
          <w:b/>
          <w:sz w:val="24"/>
          <w:highlight w:val="none"/>
        </w:rPr>
      </w:pPr>
      <w:r>
        <w:rPr>
          <w:rFonts w:hint="eastAsia"/>
          <w:sz w:val="24"/>
          <w:highlight w:val="none"/>
        </w:rPr>
        <w:t>（4）质量保修金的支付方法。</w:t>
      </w:r>
    </w:p>
    <w:p w14:paraId="5AFAD78A">
      <w:pPr>
        <w:widowControl/>
        <w:spacing w:line="360" w:lineRule="auto"/>
        <w:ind w:firstLine="480" w:firstLineChars="200"/>
        <w:rPr>
          <w:b/>
          <w:sz w:val="24"/>
          <w:highlight w:val="none"/>
        </w:rPr>
      </w:pPr>
      <w:r>
        <w:rPr>
          <w:rFonts w:hint="eastAsia"/>
          <w:sz w:val="24"/>
          <w:highlight w:val="none"/>
        </w:rPr>
        <w:t>38.4质量保证金按工程价款结算总额3%以内的比例预留。</w:t>
      </w:r>
    </w:p>
    <w:p w14:paraId="092EAA22">
      <w:pPr>
        <w:widowControl/>
        <w:spacing w:line="360" w:lineRule="auto"/>
        <w:ind w:firstLine="480" w:firstLineChars="200"/>
        <w:rPr>
          <w:b/>
          <w:sz w:val="24"/>
          <w:highlight w:val="none"/>
        </w:rPr>
      </w:pPr>
      <w:r>
        <w:rPr>
          <w:rFonts w:hint="eastAsia"/>
          <w:sz w:val="24"/>
          <w:highlight w:val="none"/>
        </w:rPr>
        <w:t>十、违约、索赔和争议</w:t>
      </w:r>
    </w:p>
    <w:p w14:paraId="4F70AB08">
      <w:pPr>
        <w:widowControl/>
        <w:spacing w:line="360" w:lineRule="auto"/>
        <w:ind w:firstLine="480" w:firstLineChars="200"/>
        <w:rPr>
          <w:b/>
          <w:sz w:val="24"/>
          <w:highlight w:val="none"/>
        </w:rPr>
      </w:pPr>
      <w:r>
        <w:rPr>
          <w:rFonts w:hint="eastAsia"/>
          <w:sz w:val="24"/>
          <w:highlight w:val="none"/>
        </w:rPr>
        <w:t>39、违约</w:t>
      </w:r>
    </w:p>
    <w:p w14:paraId="53DAC47B">
      <w:pPr>
        <w:widowControl/>
        <w:spacing w:line="360" w:lineRule="auto"/>
        <w:ind w:firstLine="480" w:firstLineChars="200"/>
        <w:rPr>
          <w:b/>
          <w:sz w:val="24"/>
          <w:highlight w:val="none"/>
        </w:rPr>
      </w:pPr>
      <w:r>
        <w:rPr>
          <w:rFonts w:hint="eastAsia"/>
          <w:sz w:val="24"/>
          <w:highlight w:val="none"/>
        </w:rPr>
        <w:t>39.1发包人违约。当发生下列情况时：</w:t>
      </w:r>
    </w:p>
    <w:p w14:paraId="0D89049B">
      <w:pPr>
        <w:widowControl/>
        <w:spacing w:line="360" w:lineRule="auto"/>
        <w:ind w:firstLine="480" w:firstLineChars="200"/>
        <w:rPr>
          <w:b/>
          <w:sz w:val="24"/>
          <w:highlight w:val="none"/>
        </w:rPr>
      </w:pPr>
      <w:r>
        <w:rPr>
          <w:rFonts w:hint="eastAsia"/>
          <w:sz w:val="24"/>
          <w:highlight w:val="none"/>
        </w:rPr>
        <w:t>（1）本通用条款第28.1款提到的发包人不按时支付工程预付款；</w:t>
      </w:r>
    </w:p>
    <w:p w14:paraId="29AD6C2A">
      <w:pPr>
        <w:widowControl/>
        <w:spacing w:line="360" w:lineRule="auto"/>
        <w:ind w:firstLine="480" w:firstLineChars="200"/>
        <w:rPr>
          <w:b/>
          <w:sz w:val="24"/>
          <w:highlight w:val="none"/>
        </w:rPr>
      </w:pPr>
      <w:r>
        <w:rPr>
          <w:rFonts w:hint="eastAsia"/>
          <w:sz w:val="24"/>
          <w:highlight w:val="none"/>
        </w:rPr>
        <w:t>（2）本通用条款第30.5款提到的发包人不按合同约定支付工程款，导致施工无法进行；</w:t>
      </w:r>
    </w:p>
    <w:p w14:paraId="2AD27FA3">
      <w:pPr>
        <w:widowControl/>
        <w:spacing w:line="360" w:lineRule="auto"/>
        <w:ind w:firstLine="480" w:firstLineChars="200"/>
        <w:rPr>
          <w:b/>
          <w:sz w:val="24"/>
          <w:highlight w:val="none"/>
        </w:rPr>
      </w:pPr>
      <w:r>
        <w:rPr>
          <w:rFonts w:hint="eastAsia"/>
          <w:sz w:val="24"/>
          <w:highlight w:val="none"/>
        </w:rPr>
        <w:t>（3）本通用条款第37.6款提到的发包人无正当理由不支付工程竣工结算价款；</w:t>
      </w:r>
    </w:p>
    <w:p w14:paraId="576369EB">
      <w:pPr>
        <w:widowControl/>
        <w:spacing w:line="360" w:lineRule="auto"/>
        <w:ind w:firstLine="480" w:firstLineChars="200"/>
        <w:rPr>
          <w:b/>
          <w:sz w:val="24"/>
          <w:highlight w:val="none"/>
        </w:rPr>
      </w:pPr>
      <w:r>
        <w:rPr>
          <w:rFonts w:hint="eastAsia"/>
          <w:sz w:val="24"/>
          <w:highlight w:val="none"/>
        </w:rPr>
        <w:t>（4）发包人不履行合同义务或不按合同约定履行义务的其他情况。</w:t>
      </w:r>
    </w:p>
    <w:p w14:paraId="16D563C4">
      <w:pPr>
        <w:widowControl/>
        <w:spacing w:line="360" w:lineRule="auto"/>
        <w:ind w:firstLine="480" w:firstLineChars="200"/>
        <w:rPr>
          <w:b/>
          <w:sz w:val="24"/>
          <w:highlight w:val="none"/>
        </w:rPr>
      </w:pPr>
      <w:r>
        <w:rPr>
          <w:rFonts w:hint="eastAsia"/>
          <w:sz w:val="24"/>
          <w:highlight w:val="none"/>
        </w:rPr>
        <w:t>发包人承担违约责任，赔偿因其违约给承包人造成的经济损失，顺延延误的工期。双方在专用条款内约定发包人赔偿承包人损失的计算方法或者发包人应当支付违约金的数额和计算方法。</w:t>
      </w:r>
    </w:p>
    <w:p w14:paraId="7E11C4F6">
      <w:pPr>
        <w:widowControl/>
        <w:spacing w:line="360" w:lineRule="auto"/>
        <w:ind w:firstLine="480" w:firstLineChars="200"/>
        <w:rPr>
          <w:b/>
          <w:sz w:val="24"/>
          <w:highlight w:val="none"/>
        </w:rPr>
      </w:pPr>
      <w:r>
        <w:rPr>
          <w:rFonts w:hint="eastAsia"/>
          <w:sz w:val="24"/>
          <w:highlight w:val="none"/>
        </w:rPr>
        <w:t>39.2承包人违约。当发生下列情况时：</w:t>
      </w:r>
    </w:p>
    <w:p w14:paraId="73D6CFD6">
      <w:pPr>
        <w:widowControl/>
        <w:spacing w:line="360" w:lineRule="auto"/>
        <w:ind w:firstLine="480" w:firstLineChars="200"/>
        <w:rPr>
          <w:b/>
          <w:sz w:val="24"/>
          <w:highlight w:val="none"/>
        </w:rPr>
      </w:pPr>
      <w:r>
        <w:rPr>
          <w:rFonts w:hint="eastAsia"/>
          <w:sz w:val="24"/>
          <w:highlight w:val="none"/>
        </w:rPr>
        <w:t>（1）本通用条款第14.2款提到的因承包人原因不能按照协议书约定的竣工日期或工程师同意顺延的工期竣工；</w:t>
      </w:r>
    </w:p>
    <w:p w14:paraId="2EF65577">
      <w:pPr>
        <w:widowControl/>
        <w:spacing w:line="360" w:lineRule="auto"/>
        <w:ind w:firstLine="480" w:firstLineChars="200"/>
        <w:rPr>
          <w:b/>
          <w:sz w:val="24"/>
          <w:highlight w:val="none"/>
        </w:rPr>
      </w:pPr>
      <w:r>
        <w:rPr>
          <w:rFonts w:hint="eastAsia"/>
          <w:sz w:val="24"/>
          <w:highlight w:val="none"/>
        </w:rPr>
        <w:t>（2）本通用条款第15.1款提到的因承包人原因工程质量达不到协议书约定的质量标准；</w:t>
      </w:r>
    </w:p>
    <w:p w14:paraId="4213FC6D">
      <w:pPr>
        <w:widowControl/>
        <w:spacing w:line="360" w:lineRule="auto"/>
        <w:ind w:firstLine="480" w:firstLineChars="200"/>
        <w:rPr>
          <w:b/>
          <w:sz w:val="24"/>
          <w:highlight w:val="none"/>
        </w:rPr>
      </w:pPr>
      <w:r>
        <w:rPr>
          <w:rFonts w:hint="eastAsia"/>
          <w:sz w:val="24"/>
          <w:highlight w:val="none"/>
        </w:rPr>
        <w:t>（3）承包人不履行合同义务或不按合同约定履行义务的其他情况。</w:t>
      </w:r>
    </w:p>
    <w:p w14:paraId="7017BDAF">
      <w:pPr>
        <w:widowControl/>
        <w:spacing w:line="360" w:lineRule="auto"/>
        <w:ind w:firstLine="480" w:firstLineChars="200"/>
        <w:rPr>
          <w:b/>
          <w:sz w:val="24"/>
          <w:highlight w:val="none"/>
        </w:rPr>
      </w:pPr>
      <w:r>
        <w:rPr>
          <w:rFonts w:hint="eastAsia"/>
          <w:sz w:val="24"/>
          <w:highlight w:val="none"/>
        </w:rPr>
        <w:t>承包人承担违约责任，赔偿因其违约给发包人造成的损失。双方在专用条款内约定承包人赔偿发包人损失的计算方法或者承包人应当支付违约金的数额和计算方法。</w:t>
      </w:r>
    </w:p>
    <w:p w14:paraId="1F7400B0">
      <w:pPr>
        <w:widowControl/>
        <w:spacing w:line="360" w:lineRule="auto"/>
        <w:ind w:firstLine="480" w:firstLineChars="200"/>
        <w:rPr>
          <w:b/>
          <w:sz w:val="24"/>
          <w:highlight w:val="none"/>
        </w:rPr>
      </w:pPr>
      <w:r>
        <w:rPr>
          <w:rFonts w:hint="eastAsia"/>
          <w:sz w:val="24"/>
          <w:highlight w:val="none"/>
        </w:rPr>
        <w:t>39.3一方违约后，另一方要求违约方继续履行合同时，违约方承担上述违约责任后仍应继续履行合同。</w:t>
      </w:r>
    </w:p>
    <w:p w14:paraId="5EBA091E">
      <w:pPr>
        <w:widowControl/>
        <w:spacing w:line="360" w:lineRule="auto"/>
        <w:ind w:firstLine="480" w:firstLineChars="200"/>
        <w:rPr>
          <w:b/>
          <w:sz w:val="24"/>
          <w:highlight w:val="none"/>
        </w:rPr>
      </w:pPr>
      <w:r>
        <w:rPr>
          <w:rFonts w:hint="eastAsia"/>
          <w:sz w:val="24"/>
          <w:highlight w:val="none"/>
        </w:rPr>
        <w:t>40、索赔</w:t>
      </w:r>
    </w:p>
    <w:p w14:paraId="64D0C5A0">
      <w:pPr>
        <w:widowControl/>
        <w:spacing w:line="360" w:lineRule="auto"/>
        <w:ind w:firstLine="480" w:firstLineChars="200"/>
        <w:rPr>
          <w:b/>
          <w:sz w:val="24"/>
          <w:highlight w:val="none"/>
        </w:rPr>
      </w:pPr>
      <w:r>
        <w:rPr>
          <w:rFonts w:hint="eastAsia"/>
          <w:sz w:val="24"/>
          <w:highlight w:val="none"/>
        </w:rPr>
        <w:t>40.1当一方向另一方提出索赔时，要有正当索赔理由，且有索赔事件发生时的有效证据。</w:t>
      </w:r>
    </w:p>
    <w:p w14:paraId="73BFCEA4">
      <w:pPr>
        <w:widowControl/>
        <w:spacing w:line="360" w:lineRule="auto"/>
        <w:ind w:firstLine="480" w:firstLineChars="200"/>
        <w:rPr>
          <w:b/>
          <w:sz w:val="24"/>
          <w:highlight w:val="none"/>
        </w:rPr>
      </w:pPr>
      <w:r>
        <w:rPr>
          <w:rFonts w:hint="eastAsia"/>
          <w:sz w:val="24"/>
          <w:highlight w:val="none"/>
        </w:rPr>
        <w:t>40.2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0924970E">
      <w:pPr>
        <w:widowControl/>
        <w:spacing w:line="360" w:lineRule="auto"/>
        <w:ind w:firstLine="480" w:firstLineChars="200"/>
        <w:rPr>
          <w:b/>
          <w:sz w:val="24"/>
          <w:highlight w:val="none"/>
        </w:rPr>
      </w:pPr>
      <w:r>
        <w:rPr>
          <w:rFonts w:hint="eastAsia"/>
          <w:sz w:val="24"/>
          <w:highlight w:val="none"/>
        </w:rPr>
        <w:t>（1）索赔事件发生后28天内，向工程师发出索赔意向通知；</w:t>
      </w:r>
    </w:p>
    <w:p w14:paraId="23A74244">
      <w:pPr>
        <w:widowControl/>
        <w:spacing w:line="360" w:lineRule="auto"/>
        <w:ind w:firstLine="480" w:firstLineChars="200"/>
        <w:rPr>
          <w:b/>
          <w:sz w:val="24"/>
          <w:highlight w:val="none"/>
        </w:rPr>
      </w:pPr>
      <w:r>
        <w:rPr>
          <w:rFonts w:hint="eastAsia"/>
          <w:sz w:val="24"/>
          <w:highlight w:val="none"/>
        </w:rPr>
        <w:t>（2）发出索赔意向通知后28天内，向工程师提出延长工期和（或）补偿经济损失的索赔报告及有关资料；</w:t>
      </w:r>
    </w:p>
    <w:p w14:paraId="6DFE0A46">
      <w:pPr>
        <w:widowControl/>
        <w:spacing w:line="360" w:lineRule="auto"/>
        <w:ind w:firstLine="480" w:firstLineChars="200"/>
        <w:rPr>
          <w:b/>
          <w:sz w:val="24"/>
          <w:highlight w:val="none"/>
        </w:rPr>
      </w:pPr>
      <w:r>
        <w:rPr>
          <w:rFonts w:hint="eastAsia"/>
          <w:sz w:val="24"/>
          <w:highlight w:val="none"/>
        </w:rPr>
        <w:t>（3）工程师在收到承包人送交的索赔报告和有关资料后，于28天内给予答复，或要求承包人进一步补充索赔理由和证据；</w:t>
      </w:r>
    </w:p>
    <w:p w14:paraId="2098BA6A">
      <w:pPr>
        <w:widowControl/>
        <w:spacing w:line="360" w:lineRule="auto"/>
        <w:ind w:firstLine="480" w:firstLineChars="200"/>
        <w:rPr>
          <w:b/>
          <w:sz w:val="24"/>
          <w:highlight w:val="none"/>
        </w:rPr>
      </w:pPr>
      <w:r>
        <w:rPr>
          <w:rFonts w:hint="eastAsia"/>
          <w:sz w:val="24"/>
          <w:highlight w:val="none"/>
        </w:rPr>
        <w:t>（4）工程师在收到承包人送交的索赔报告和有关资料后28天内未予答复或未对承包人作进一步要求，视为该项索赔已经认可；</w:t>
      </w:r>
    </w:p>
    <w:p w14:paraId="6329908F">
      <w:pPr>
        <w:widowControl/>
        <w:spacing w:line="360" w:lineRule="auto"/>
        <w:ind w:firstLine="480" w:firstLineChars="200"/>
        <w:rPr>
          <w:b/>
          <w:sz w:val="24"/>
          <w:highlight w:val="none"/>
        </w:rPr>
      </w:pPr>
      <w:r>
        <w:rPr>
          <w:rFonts w:hint="eastAsia"/>
          <w:sz w:val="24"/>
          <w:highlight w:val="none"/>
        </w:rPr>
        <w:t>（5）当该索赔事件持续进行时，承包人应当阶段性向工程师发出索赔意向，在索赔事件终了后28天内，向工程师送交索赔的有关资料和最终索赔报告。索赔答复程序与（3）、（4）规定相同。</w:t>
      </w:r>
    </w:p>
    <w:p w14:paraId="6AFF13C5">
      <w:pPr>
        <w:widowControl/>
        <w:spacing w:line="360" w:lineRule="auto"/>
        <w:ind w:firstLine="480" w:firstLineChars="200"/>
        <w:rPr>
          <w:b/>
          <w:sz w:val="24"/>
          <w:highlight w:val="none"/>
        </w:rPr>
      </w:pPr>
      <w:r>
        <w:rPr>
          <w:rFonts w:hint="eastAsia"/>
          <w:sz w:val="24"/>
          <w:highlight w:val="none"/>
        </w:rPr>
        <w:t>40.3承包人未能按合同约定履行自己的各项义务或发生错误，给发包人造成经济损失，发包人可按40.2款确定的时限向承包人提出索赔。</w:t>
      </w:r>
    </w:p>
    <w:p w14:paraId="124A65DF">
      <w:pPr>
        <w:widowControl/>
        <w:spacing w:line="360" w:lineRule="auto"/>
        <w:ind w:firstLine="480" w:firstLineChars="200"/>
        <w:rPr>
          <w:b/>
          <w:sz w:val="24"/>
          <w:highlight w:val="none"/>
        </w:rPr>
      </w:pPr>
      <w:r>
        <w:rPr>
          <w:rFonts w:hint="eastAsia"/>
          <w:sz w:val="24"/>
          <w:highlight w:val="none"/>
        </w:rPr>
        <w:t>41、争议</w:t>
      </w:r>
    </w:p>
    <w:p w14:paraId="6603508E">
      <w:pPr>
        <w:widowControl/>
        <w:spacing w:line="360" w:lineRule="auto"/>
        <w:ind w:firstLine="480" w:firstLineChars="200"/>
        <w:rPr>
          <w:b/>
          <w:sz w:val="24"/>
          <w:highlight w:val="none"/>
        </w:rPr>
      </w:pPr>
      <w:r>
        <w:rPr>
          <w:rFonts w:hint="eastAsia"/>
          <w:sz w:val="24"/>
          <w:highlight w:val="none"/>
        </w:rPr>
        <w:t>41.1发包人承包人在履行合同时发生争议，可以协商和解或者要求有关主管部门调解。当事人不愿和解、调解或者和解、调解不成的，双方可以在专用条款内约定以下一种方式解决争议：第一种解决方式：双方达成仲裁协议，向约定的仲裁委员会申请仲裁；第二种解决方式：向有管辖权的人民法院起诉。</w:t>
      </w:r>
    </w:p>
    <w:p w14:paraId="4999785B">
      <w:pPr>
        <w:widowControl/>
        <w:spacing w:line="360" w:lineRule="auto"/>
        <w:ind w:firstLine="480" w:firstLineChars="200"/>
        <w:rPr>
          <w:b/>
          <w:sz w:val="24"/>
          <w:highlight w:val="none"/>
        </w:rPr>
      </w:pPr>
      <w:r>
        <w:rPr>
          <w:rFonts w:hint="eastAsia"/>
          <w:sz w:val="24"/>
          <w:highlight w:val="none"/>
        </w:rPr>
        <w:t>41.2发生争议后，除非出现下列情况的，双方都应继续履行合同，保持施工连续，保护好已完工程：</w:t>
      </w:r>
    </w:p>
    <w:p w14:paraId="6D813AD5">
      <w:pPr>
        <w:widowControl/>
        <w:spacing w:line="360" w:lineRule="auto"/>
        <w:ind w:firstLine="480" w:firstLineChars="200"/>
        <w:rPr>
          <w:b/>
          <w:sz w:val="24"/>
          <w:highlight w:val="none"/>
        </w:rPr>
      </w:pPr>
      <w:r>
        <w:rPr>
          <w:rFonts w:hint="eastAsia"/>
          <w:sz w:val="24"/>
          <w:highlight w:val="none"/>
        </w:rPr>
        <w:t>（1）单方违约导致合同确已无法履行，双方协议停止施工；</w:t>
      </w:r>
    </w:p>
    <w:p w14:paraId="07B6A1CB">
      <w:pPr>
        <w:widowControl/>
        <w:spacing w:line="360" w:lineRule="auto"/>
        <w:ind w:firstLine="480" w:firstLineChars="200"/>
        <w:rPr>
          <w:b/>
          <w:sz w:val="24"/>
          <w:highlight w:val="none"/>
        </w:rPr>
      </w:pPr>
      <w:r>
        <w:rPr>
          <w:rFonts w:hint="eastAsia"/>
          <w:sz w:val="24"/>
          <w:highlight w:val="none"/>
        </w:rPr>
        <w:t>（2）调解要求停止施工，且为双方接受；</w:t>
      </w:r>
    </w:p>
    <w:p w14:paraId="54DD927F">
      <w:pPr>
        <w:widowControl/>
        <w:spacing w:line="360" w:lineRule="auto"/>
        <w:ind w:firstLine="480" w:firstLineChars="200"/>
        <w:rPr>
          <w:b/>
          <w:sz w:val="24"/>
          <w:highlight w:val="none"/>
        </w:rPr>
      </w:pPr>
      <w:r>
        <w:rPr>
          <w:rFonts w:hint="eastAsia"/>
          <w:sz w:val="24"/>
          <w:highlight w:val="none"/>
        </w:rPr>
        <w:t>（3）仲裁机构要求停止施工；</w:t>
      </w:r>
    </w:p>
    <w:p w14:paraId="05A1ABA3">
      <w:pPr>
        <w:widowControl/>
        <w:spacing w:line="360" w:lineRule="auto"/>
        <w:ind w:firstLine="480" w:firstLineChars="200"/>
        <w:rPr>
          <w:b/>
          <w:sz w:val="24"/>
          <w:highlight w:val="none"/>
        </w:rPr>
      </w:pPr>
      <w:r>
        <w:rPr>
          <w:rFonts w:hint="eastAsia"/>
          <w:sz w:val="24"/>
          <w:highlight w:val="none"/>
        </w:rPr>
        <w:t>（4）法院要求停止施工。</w:t>
      </w:r>
    </w:p>
    <w:p w14:paraId="32AB1FBF">
      <w:pPr>
        <w:widowControl/>
        <w:spacing w:line="360" w:lineRule="auto"/>
        <w:ind w:firstLine="480" w:firstLineChars="200"/>
        <w:rPr>
          <w:b/>
          <w:sz w:val="24"/>
          <w:highlight w:val="none"/>
        </w:rPr>
      </w:pPr>
      <w:r>
        <w:rPr>
          <w:rFonts w:hint="eastAsia"/>
          <w:sz w:val="24"/>
          <w:highlight w:val="none"/>
        </w:rPr>
        <w:t>十一、其他</w:t>
      </w:r>
    </w:p>
    <w:p w14:paraId="6B7AF8EB">
      <w:pPr>
        <w:widowControl/>
        <w:spacing w:line="360" w:lineRule="auto"/>
        <w:ind w:firstLine="480" w:firstLineChars="200"/>
        <w:rPr>
          <w:b/>
          <w:sz w:val="24"/>
          <w:highlight w:val="none"/>
        </w:rPr>
      </w:pPr>
      <w:r>
        <w:rPr>
          <w:rFonts w:hint="eastAsia"/>
          <w:sz w:val="24"/>
          <w:highlight w:val="none"/>
        </w:rPr>
        <w:t>42、工程分包</w:t>
      </w:r>
    </w:p>
    <w:p w14:paraId="289DE07C">
      <w:pPr>
        <w:widowControl/>
        <w:spacing w:line="360" w:lineRule="auto"/>
        <w:ind w:firstLine="480" w:firstLineChars="200"/>
        <w:rPr>
          <w:b/>
          <w:sz w:val="24"/>
          <w:highlight w:val="none"/>
        </w:rPr>
      </w:pPr>
      <w:r>
        <w:rPr>
          <w:rFonts w:hint="eastAsia"/>
          <w:sz w:val="24"/>
          <w:highlight w:val="none"/>
        </w:rPr>
        <w:t>42.1承包人需要将专业工程或劳务进行分包的，应分包给具有相应资质的专业或劳务企业，并与分包企业签订分包合同。</w:t>
      </w:r>
    </w:p>
    <w:p w14:paraId="7C6F2AF3">
      <w:pPr>
        <w:widowControl/>
        <w:spacing w:line="360" w:lineRule="auto"/>
        <w:ind w:firstLine="480" w:firstLineChars="200"/>
        <w:rPr>
          <w:b/>
          <w:sz w:val="24"/>
          <w:highlight w:val="none"/>
        </w:rPr>
      </w:pPr>
      <w:r>
        <w:rPr>
          <w:rFonts w:hint="eastAsia"/>
          <w:sz w:val="24"/>
          <w:highlight w:val="none"/>
        </w:rPr>
        <w:t>42.2承包人不得将其承包的工程转包给他人，也不得将其承包的工程以分包的名义转包给他人。</w:t>
      </w:r>
    </w:p>
    <w:p w14:paraId="040F663E">
      <w:pPr>
        <w:widowControl/>
        <w:spacing w:line="360" w:lineRule="auto"/>
        <w:ind w:firstLine="480" w:firstLineChars="200"/>
        <w:rPr>
          <w:b/>
          <w:sz w:val="24"/>
          <w:highlight w:val="none"/>
        </w:rPr>
      </w:pPr>
      <w:r>
        <w:rPr>
          <w:rFonts w:hint="eastAsia"/>
          <w:sz w:val="24"/>
          <w:highlight w:val="none"/>
        </w:rPr>
        <w:t>42.3工程分包不能解除承包人任何责任与义务。承包人应在分包场地派驻相应管理人员，保证本合同的履行。分包单位的任何违约行为或疏忽导致工程损害或给发包人造成其他损失，承包人承担连带责任。</w:t>
      </w:r>
    </w:p>
    <w:p w14:paraId="7DDF212D">
      <w:pPr>
        <w:widowControl/>
        <w:spacing w:line="360" w:lineRule="auto"/>
        <w:ind w:firstLine="480" w:firstLineChars="200"/>
        <w:rPr>
          <w:b/>
          <w:sz w:val="24"/>
          <w:highlight w:val="none"/>
        </w:rPr>
      </w:pPr>
      <w:r>
        <w:rPr>
          <w:rFonts w:hint="eastAsia"/>
          <w:sz w:val="24"/>
          <w:highlight w:val="none"/>
        </w:rPr>
        <w:t>42.4分包工程价款由承包人与分包单位结算。发包人未经承包人同意不得以任何形式向分包单位支付各种工程款项。</w:t>
      </w:r>
    </w:p>
    <w:p w14:paraId="24BBFB7F">
      <w:pPr>
        <w:widowControl/>
        <w:spacing w:line="360" w:lineRule="auto"/>
        <w:ind w:firstLine="480" w:firstLineChars="200"/>
        <w:rPr>
          <w:b/>
          <w:sz w:val="24"/>
          <w:highlight w:val="none"/>
        </w:rPr>
      </w:pPr>
      <w:r>
        <w:rPr>
          <w:rFonts w:hint="eastAsia"/>
          <w:sz w:val="24"/>
          <w:highlight w:val="none"/>
        </w:rPr>
        <w:t>42.5承包人应按时支付分包工程款及劳务费。若承包人不能按时支付时，发包人可将此部分款项从向承包人支付的工程款中扣出并直接支付给分包人和劳务人员。</w:t>
      </w:r>
    </w:p>
    <w:p w14:paraId="604F5C4E">
      <w:pPr>
        <w:widowControl/>
        <w:spacing w:line="360" w:lineRule="auto"/>
        <w:ind w:firstLine="480" w:firstLineChars="200"/>
        <w:rPr>
          <w:b/>
          <w:sz w:val="24"/>
          <w:highlight w:val="none"/>
        </w:rPr>
      </w:pPr>
      <w:r>
        <w:rPr>
          <w:rFonts w:hint="eastAsia"/>
          <w:sz w:val="24"/>
          <w:highlight w:val="none"/>
        </w:rPr>
        <w:t>43、不可抗力</w:t>
      </w:r>
    </w:p>
    <w:p w14:paraId="7275C33A">
      <w:pPr>
        <w:widowControl/>
        <w:spacing w:line="360" w:lineRule="auto"/>
        <w:ind w:firstLine="480" w:firstLineChars="200"/>
        <w:rPr>
          <w:b/>
          <w:sz w:val="24"/>
          <w:highlight w:val="none"/>
        </w:rPr>
      </w:pPr>
      <w:r>
        <w:rPr>
          <w:rFonts w:hint="eastAsia"/>
          <w:sz w:val="24"/>
          <w:highlight w:val="none"/>
        </w:rPr>
        <w:t>43.1不可抗力包括因战争、动乱、空中飞行物体坠落或其他非发包人承包人责任造成的爆炸、火灾，以及专用条款约定的风、雨、雪、洪、震等自然灾害。</w:t>
      </w:r>
    </w:p>
    <w:p w14:paraId="697D4011">
      <w:pPr>
        <w:widowControl/>
        <w:spacing w:line="360" w:lineRule="auto"/>
        <w:ind w:firstLine="480" w:firstLineChars="200"/>
        <w:rPr>
          <w:b/>
          <w:sz w:val="24"/>
          <w:highlight w:val="none"/>
        </w:rPr>
      </w:pPr>
      <w:r>
        <w:rPr>
          <w:rFonts w:hint="eastAsia"/>
          <w:sz w:val="24"/>
          <w:highlight w:val="none"/>
        </w:rPr>
        <w:t>43.2不可抗力事件发生后，承包人应立即通知工程师，双方应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事件持续发生，承包人应每隔7天向工程师报告一次受害情况。不可抗力事件结束后14天内，承包人向工程师提交清理和修复费用的正式报告及有关资料。</w:t>
      </w:r>
    </w:p>
    <w:p w14:paraId="17154F48">
      <w:pPr>
        <w:widowControl/>
        <w:spacing w:line="360" w:lineRule="auto"/>
        <w:ind w:firstLine="480" w:firstLineChars="200"/>
        <w:rPr>
          <w:b/>
          <w:sz w:val="24"/>
          <w:highlight w:val="none"/>
        </w:rPr>
      </w:pPr>
      <w:r>
        <w:rPr>
          <w:rFonts w:hint="eastAsia"/>
          <w:sz w:val="24"/>
          <w:highlight w:val="none"/>
        </w:rPr>
        <w:t>43.3因不可抗力事件导致的费用及延误的工期由双方按以下方法分别承担：</w:t>
      </w:r>
    </w:p>
    <w:p w14:paraId="49C2141F">
      <w:pPr>
        <w:widowControl/>
        <w:spacing w:line="360" w:lineRule="auto"/>
        <w:ind w:firstLine="480" w:firstLineChars="200"/>
        <w:rPr>
          <w:b/>
          <w:sz w:val="24"/>
          <w:highlight w:val="none"/>
        </w:rPr>
      </w:pPr>
      <w:r>
        <w:rPr>
          <w:rFonts w:hint="eastAsia"/>
          <w:sz w:val="24"/>
          <w:highlight w:val="none"/>
        </w:rPr>
        <w:t>（1）工程本身的损害、因工程损害导致第三人人员伤亡和财产损失以及运至施工场地用于施工的材料和待安装的设备的损害，由发包人承担；</w:t>
      </w:r>
    </w:p>
    <w:p w14:paraId="657A07C6">
      <w:pPr>
        <w:widowControl/>
        <w:spacing w:line="360" w:lineRule="auto"/>
        <w:ind w:firstLine="480" w:firstLineChars="200"/>
        <w:rPr>
          <w:b/>
          <w:sz w:val="24"/>
          <w:highlight w:val="none"/>
        </w:rPr>
      </w:pPr>
      <w:r>
        <w:rPr>
          <w:rFonts w:hint="eastAsia"/>
          <w:sz w:val="24"/>
          <w:highlight w:val="none"/>
        </w:rPr>
        <w:t>（2）发包人承包人人员伤亡由其所在单位负责，并承担相应费用；</w:t>
      </w:r>
    </w:p>
    <w:p w14:paraId="7D15457A">
      <w:pPr>
        <w:widowControl/>
        <w:spacing w:line="360" w:lineRule="auto"/>
        <w:ind w:firstLine="480" w:firstLineChars="200"/>
        <w:rPr>
          <w:b/>
          <w:sz w:val="24"/>
          <w:highlight w:val="none"/>
        </w:rPr>
      </w:pPr>
      <w:r>
        <w:rPr>
          <w:rFonts w:hint="eastAsia"/>
          <w:sz w:val="24"/>
          <w:highlight w:val="none"/>
        </w:rPr>
        <w:t>（3）承包人机械设备损坏及停工损失，由承包人承担；</w:t>
      </w:r>
    </w:p>
    <w:p w14:paraId="63B5B4AD">
      <w:pPr>
        <w:widowControl/>
        <w:spacing w:line="360" w:lineRule="auto"/>
        <w:ind w:firstLine="480" w:firstLineChars="200"/>
        <w:rPr>
          <w:b/>
          <w:sz w:val="24"/>
          <w:highlight w:val="none"/>
        </w:rPr>
      </w:pPr>
      <w:r>
        <w:rPr>
          <w:rFonts w:hint="eastAsia"/>
          <w:sz w:val="24"/>
          <w:highlight w:val="none"/>
        </w:rPr>
        <w:t>（4）停工期间，承包人应工程师要求留在施工场地的必要的管理人员及保卫人员的费用由发包人承担；</w:t>
      </w:r>
    </w:p>
    <w:p w14:paraId="49827A12">
      <w:pPr>
        <w:widowControl/>
        <w:spacing w:line="360" w:lineRule="auto"/>
        <w:ind w:firstLine="480" w:firstLineChars="200"/>
        <w:rPr>
          <w:b/>
          <w:sz w:val="24"/>
          <w:highlight w:val="none"/>
        </w:rPr>
      </w:pPr>
      <w:r>
        <w:rPr>
          <w:rFonts w:hint="eastAsia"/>
          <w:sz w:val="24"/>
          <w:highlight w:val="none"/>
        </w:rPr>
        <w:t>（5）工程所需清理、修复费用，由发包人承担；</w:t>
      </w:r>
    </w:p>
    <w:p w14:paraId="7B64D22C">
      <w:pPr>
        <w:widowControl/>
        <w:spacing w:line="360" w:lineRule="auto"/>
        <w:ind w:firstLine="480" w:firstLineChars="200"/>
        <w:rPr>
          <w:b/>
          <w:sz w:val="24"/>
          <w:highlight w:val="none"/>
        </w:rPr>
      </w:pPr>
      <w:r>
        <w:rPr>
          <w:rFonts w:hint="eastAsia"/>
          <w:sz w:val="24"/>
          <w:highlight w:val="none"/>
        </w:rPr>
        <w:t>（6）延误的工期相应顺延。</w:t>
      </w:r>
    </w:p>
    <w:p w14:paraId="3625F6C0">
      <w:pPr>
        <w:widowControl/>
        <w:spacing w:line="360" w:lineRule="auto"/>
        <w:ind w:firstLine="480" w:firstLineChars="200"/>
        <w:rPr>
          <w:b/>
          <w:sz w:val="24"/>
          <w:highlight w:val="none"/>
        </w:rPr>
      </w:pPr>
      <w:r>
        <w:rPr>
          <w:rFonts w:hint="eastAsia"/>
          <w:sz w:val="24"/>
          <w:highlight w:val="none"/>
        </w:rPr>
        <w:t>43.4因合同一方迟延履行合同后发生不可抗力的，不能免除迟延履行方的相应责任。</w:t>
      </w:r>
    </w:p>
    <w:p w14:paraId="49C365FD">
      <w:pPr>
        <w:widowControl/>
        <w:spacing w:line="360" w:lineRule="auto"/>
        <w:ind w:firstLine="480" w:firstLineChars="200"/>
        <w:rPr>
          <w:b/>
          <w:sz w:val="24"/>
          <w:highlight w:val="none"/>
        </w:rPr>
      </w:pPr>
      <w:r>
        <w:rPr>
          <w:rFonts w:hint="eastAsia"/>
          <w:sz w:val="24"/>
          <w:highlight w:val="none"/>
        </w:rPr>
        <w:t>44、保险</w:t>
      </w:r>
    </w:p>
    <w:p w14:paraId="51395013">
      <w:pPr>
        <w:widowControl/>
        <w:spacing w:line="360" w:lineRule="auto"/>
        <w:ind w:firstLine="480" w:firstLineChars="200"/>
        <w:rPr>
          <w:b/>
          <w:sz w:val="24"/>
          <w:highlight w:val="none"/>
        </w:rPr>
      </w:pPr>
      <w:r>
        <w:rPr>
          <w:rFonts w:hint="eastAsia"/>
          <w:sz w:val="24"/>
          <w:highlight w:val="none"/>
        </w:rPr>
        <w:t>44.1工程开工前，发包人为建设工程和施工现场内的自有人员及第三人人员生命财产办理保险，支付保险费用。</w:t>
      </w:r>
    </w:p>
    <w:p w14:paraId="134BD5EC">
      <w:pPr>
        <w:widowControl/>
        <w:spacing w:line="360" w:lineRule="auto"/>
        <w:ind w:firstLine="480" w:firstLineChars="200"/>
        <w:rPr>
          <w:b/>
          <w:sz w:val="24"/>
          <w:highlight w:val="none"/>
        </w:rPr>
      </w:pPr>
      <w:r>
        <w:rPr>
          <w:rFonts w:hint="eastAsia"/>
          <w:sz w:val="24"/>
          <w:highlight w:val="none"/>
        </w:rPr>
        <w:t>44.2发包人供应的运至施工场地内用于工程的材料设备，由发包人办理保险，并支付保险费用。</w:t>
      </w:r>
    </w:p>
    <w:p w14:paraId="0A2FAC62">
      <w:pPr>
        <w:widowControl/>
        <w:spacing w:line="360" w:lineRule="auto"/>
        <w:ind w:firstLine="480" w:firstLineChars="200"/>
        <w:rPr>
          <w:b/>
          <w:sz w:val="24"/>
          <w:highlight w:val="none"/>
        </w:rPr>
      </w:pPr>
      <w:r>
        <w:rPr>
          <w:rFonts w:hint="eastAsia"/>
          <w:sz w:val="24"/>
          <w:highlight w:val="none"/>
        </w:rPr>
        <w:t>44.3发包人可以将有关保险事项委托承包人办理，费用由发包人承担。</w:t>
      </w:r>
    </w:p>
    <w:p w14:paraId="5D805C10">
      <w:pPr>
        <w:widowControl/>
        <w:spacing w:line="360" w:lineRule="auto"/>
        <w:ind w:firstLine="480" w:firstLineChars="200"/>
        <w:rPr>
          <w:b/>
          <w:sz w:val="24"/>
          <w:highlight w:val="none"/>
        </w:rPr>
      </w:pPr>
      <w:r>
        <w:rPr>
          <w:rFonts w:hint="eastAsia"/>
          <w:sz w:val="24"/>
          <w:highlight w:val="none"/>
        </w:rPr>
        <w:t>44.4承包人必须为施工场地内施工人员办理意外伤害保险和工伤保险，并为施工场地内的施工机械设备办理财产保险，支付保险费用。</w:t>
      </w:r>
    </w:p>
    <w:p w14:paraId="36BB08BF">
      <w:pPr>
        <w:widowControl/>
        <w:spacing w:line="360" w:lineRule="auto"/>
        <w:ind w:firstLine="480" w:firstLineChars="200"/>
        <w:rPr>
          <w:b/>
          <w:sz w:val="24"/>
          <w:highlight w:val="none"/>
        </w:rPr>
      </w:pPr>
      <w:r>
        <w:rPr>
          <w:rFonts w:hint="eastAsia"/>
          <w:sz w:val="24"/>
          <w:highlight w:val="none"/>
        </w:rPr>
        <w:t>44.5保险事故发生时，发包人承包人有责任尽力采取必要的措施，防止或者减少损失。</w:t>
      </w:r>
    </w:p>
    <w:p w14:paraId="49A257D4">
      <w:pPr>
        <w:widowControl/>
        <w:spacing w:line="360" w:lineRule="auto"/>
        <w:ind w:firstLine="480" w:firstLineChars="200"/>
        <w:rPr>
          <w:b/>
          <w:sz w:val="24"/>
          <w:highlight w:val="none"/>
        </w:rPr>
      </w:pPr>
      <w:r>
        <w:rPr>
          <w:rFonts w:hint="eastAsia"/>
          <w:sz w:val="24"/>
          <w:highlight w:val="none"/>
        </w:rPr>
        <w:t>44.6具体投保内容和相关责任，发包人承包人在专用条款中约定。</w:t>
      </w:r>
    </w:p>
    <w:p w14:paraId="6630E8C4">
      <w:pPr>
        <w:widowControl/>
        <w:spacing w:line="360" w:lineRule="auto"/>
        <w:ind w:firstLine="480" w:firstLineChars="200"/>
        <w:rPr>
          <w:b/>
          <w:sz w:val="24"/>
          <w:highlight w:val="none"/>
        </w:rPr>
      </w:pPr>
      <w:r>
        <w:rPr>
          <w:rFonts w:hint="eastAsia"/>
          <w:sz w:val="24"/>
          <w:highlight w:val="none"/>
        </w:rPr>
        <w:t>45、担保</w:t>
      </w:r>
    </w:p>
    <w:p w14:paraId="5CFFF9C5">
      <w:pPr>
        <w:widowControl/>
        <w:spacing w:line="360" w:lineRule="auto"/>
        <w:ind w:firstLine="480" w:firstLineChars="200"/>
        <w:rPr>
          <w:b/>
          <w:sz w:val="24"/>
          <w:highlight w:val="none"/>
        </w:rPr>
      </w:pPr>
      <w:r>
        <w:rPr>
          <w:rFonts w:hint="eastAsia"/>
          <w:sz w:val="24"/>
          <w:highlight w:val="none"/>
        </w:rPr>
        <w:t>45.1发包人承包人为了全面履行合同，应互相提供以下担保：</w:t>
      </w:r>
    </w:p>
    <w:p w14:paraId="0434631E">
      <w:pPr>
        <w:widowControl/>
        <w:spacing w:line="360" w:lineRule="auto"/>
        <w:ind w:firstLine="480" w:firstLineChars="200"/>
        <w:rPr>
          <w:b/>
          <w:sz w:val="24"/>
          <w:highlight w:val="none"/>
        </w:rPr>
      </w:pPr>
      <w:r>
        <w:rPr>
          <w:rFonts w:hint="eastAsia"/>
          <w:sz w:val="24"/>
          <w:highlight w:val="none"/>
        </w:rPr>
        <w:t>（1）发包人向承包人提供支付担保，按合同约定支付工程价款及履行合同约定的其他义务。</w:t>
      </w:r>
    </w:p>
    <w:p w14:paraId="70A2C43B">
      <w:pPr>
        <w:widowControl/>
        <w:spacing w:line="360" w:lineRule="auto"/>
        <w:ind w:firstLine="480" w:firstLineChars="200"/>
        <w:rPr>
          <w:b/>
          <w:sz w:val="24"/>
          <w:highlight w:val="none"/>
        </w:rPr>
      </w:pPr>
      <w:r>
        <w:rPr>
          <w:rFonts w:hint="eastAsia"/>
          <w:sz w:val="24"/>
          <w:highlight w:val="none"/>
        </w:rPr>
        <w:t>（2）承包人向发包人提供履约担保，按合同约定履行自己的各项义务。</w:t>
      </w:r>
    </w:p>
    <w:p w14:paraId="62821A9A">
      <w:pPr>
        <w:widowControl/>
        <w:spacing w:line="360" w:lineRule="auto"/>
        <w:ind w:firstLine="480" w:firstLineChars="200"/>
        <w:rPr>
          <w:b/>
          <w:sz w:val="24"/>
          <w:highlight w:val="none"/>
        </w:rPr>
      </w:pPr>
      <w:r>
        <w:rPr>
          <w:rFonts w:hint="eastAsia"/>
          <w:sz w:val="24"/>
          <w:highlight w:val="none"/>
        </w:rPr>
        <w:t>45.2一方违约后，另一方可要求提供担保的第三人承担相应责任。</w:t>
      </w:r>
    </w:p>
    <w:p w14:paraId="4CD1B925">
      <w:pPr>
        <w:widowControl/>
        <w:spacing w:line="360" w:lineRule="auto"/>
        <w:ind w:firstLine="480" w:firstLineChars="200"/>
        <w:rPr>
          <w:b/>
          <w:sz w:val="24"/>
          <w:highlight w:val="none"/>
        </w:rPr>
      </w:pPr>
      <w:r>
        <w:rPr>
          <w:rFonts w:hint="eastAsia"/>
          <w:sz w:val="24"/>
          <w:highlight w:val="none"/>
        </w:rPr>
        <w:t>45.3提供担保的内容、方式和相关责任，发包人承包人除在专用条款中约定外，被担保方与担保方还应签订担保合同，作为本合同附件。</w:t>
      </w:r>
    </w:p>
    <w:p w14:paraId="58AAF650">
      <w:pPr>
        <w:widowControl/>
        <w:spacing w:line="360" w:lineRule="auto"/>
        <w:ind w:firstLine="480" w:firstLineChars="200"/>
        <w:rPr>
          <w:b/>
          <w:sz w:val="24"/>
          <w:highlight w:val="none"/>
        </w:rPr>
      </w:pPr>
      <w:r>
        <w:rPr>
          <w:rFonts w:hint="eastAsia"/>
          <w:sz w:val="24"/>
          <w:highlight w:val="none"/>
        </w:rPr>
        <w:t>46、专利技术及特殊工艺</w:t>
      </w:r>
    </w:p>
    <w:p w14:paraId="328A19E3">
      <w:pPr>
        <w:widowControl/>
        <w:spacing w:line="360" w:lineRule="auto"/>
        <w:ind w:firstLine="480" w:firstLineChars="200"/>
        <w:rPr>
          <w:b/>
          <w:sz w:val="24"/>
          <w:highlight w:val="none"/>
        </w:rPr>
      </w:pPr>
      <w:r>
        <w:rPr>
          <w:rFonts w:hint="eastAsia"/>
          <w:sz w:val="24"/>
          <w:highlight w:val="none"/>
        </w:rPr>
        <w:t>46.1发包人要求使用专利技术或特殊工艺，应负责办理相应的申报手续，承担申报、试验、使用等费用；承包人提出使用专利技术或特殊工艺，应取得工程师认可，承包人负责办理申报手续并承担有关费用。</w:t>
      </w:r>
    </w:p>
    <w:p w14:paraId="7B05EE01">
      <w:pPr>
        <w:widowControl/>
        <w:spacing w:line="360" w:lineRule="auto"/>
        <w:ind w:firstLine="480" w:firstLineChars="200"/>
        <w:rPr>
          <w:b/>
          <w:sz w:val="24"/>
          <w:highlight w:val="none"/>
        </w:rPr>
      </w:pPr>
      <w:r>
        <w:rPr>
          <w:rFonts w:hint="eastAsia"/>
          <w:sz w:val="24"/>
          <w:highlight w:val="none"/>
        </w:rPr>
        <w:t>46.2擅自使用专利技术侵犯他人专利权的，责任者依法承担相应责任。</w:t>
      </w:r>
    </w:p>
    <w:p w14:paraId="39AD9EF6">
      <w:pPr>
        <w:widowControl/>
        <w:spacing w:line="360" w:lineRule="auto"/>
        <w:ind w:firstLine="480" w:firstLineChars="200"/>
        <w:rPr>
          <w:b/>
          <w:sz w:val="24"/>
          <w:highlight w:val="none"/>
        </w:rPr>
      </w:pPr>
      <w:r>
        <w:rPr>
          <w:rFonts w:hint="eastAsia"/>
          <w:sz w:val="24"/>
          <w:highlight w:val="none"/>
        </w:rPr>
        <w:t>47、文物和地下障碍物</w:t>
      </w:r>
    </w:p>
    <w:p w14:paraId="1A536D22">
      <w:pPr>
        <w:widowControl/>
        <w:spacing w:line="360" w:lineRule="auto"/>
        <w:ind w:firstLine="480" w:firstLineChars="200"/>
        <w:rPr>
          <w:b/>
          <w:sz w:val="24"/>
          <w:highlight w:val="none"/>
        </w:rPr>
      </w:pPr>
      <w:r>
        <w:rPr>
          <w:rFonts w:hint="eastAsia"/>
          <w:sz w:val="24"/>
          <w:highlight w:val="none"/>
        </w:rPr>
        <w:t>47.1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14:paraId="20DC10CB">
      <w:pPr>
        <w:widowControl/>
        <w:spacing w:line="360" w:lineRule="auto"/>
        <w:ind w:firstLine="480" w:firstLineChars="200"/>
        <w:rPr>
          <w:b/>
          <w:sz w:val="24"/>
          <w:highlight w:val="none"/>
        </w:rPr>
      </w:pPr>
      <w:r>
        <w:rPr>
          <w:rFonts w:hint="eastAsia"/>
          <w:sz w:val="24"/>
          <w:highlight w:val="none"/>
        </w:rPr>
        <w:t>如发现后隐瞒不报，致使文物遭受破坏，责任者依法承担相应责任。</w:t>
      </w:r>
    </w:p>
    <w:p w14:paraId="3E6F392D">
      <w:pPr>
        <w:widowControl/>
        <w:spacing w:line="360" w:lineRule="auto"/>
        <w:ind w:firstLine="480" w:firstLineChars="200"/>
        <w:rPr>
          <w:b/>
          <w:sz w:val="24"/>
          <w:highlight w:val="none"/>
        </w:rPr>
      </w:pPr>
      <w:r>
        <w:rPr>
          <w:rFonts w:hint="eastAsia"/>
          <w:sz w:val="24"/>
          <w:highlight w:val="none"/>
        </w:rPr>
        <w:t>47.2施工中发现影响施工的地下障碍物时，承包人应于8小时内以书面形式通知工程师，同时提出处置方案，工程师收到处置方案后24小时内予以认可或提出修正方案。发包人承担由此发生的费用，顺延延误的工期。</w:t>
      </w:r>
    </w:p>
    <w:p w14:paraId="14B0FA74">
      <w:pPr>
        <w:widowControl/>
        <w:spacing w:line="360" w:lineRule="auto"/>
        <w:ind w:firstLine="480" w:firstLineChars="200"/>
        <w:rPr>
          <w:b/>
          <w:sz w:val="24"/>
          <w:highlight w:val="none"/>
        </w:rPr>
      </w:pPr>
      <w:r>
        <w:rPr>
          <w:rFonts w:hint="eastAsia"/>
          <w:sz w:val="24"/>
          <w:highlight w:val="none"/>
        </w:rPr>
        <w:t>所发现的地下障碍物有归属单位时，发包人应报请有关部门协同处置。</w:t>
      </w:r>
    </w:p>
    <w:p w14:paraId="42D4B913">
      <w:pPr>
        <w:widowControl/>
        <w:spacing w:line="360" w:lineRule="auto"/>
        <w:ind w:firstLine="480" w:firstLineChars="200"/>
        <w:rPr>
          <w:b/>
          <w:sz w:val="24"/>
          <w:highlight w:val="none"/>
        </w:rPr>
      </w:pPr>
      <w:r>
        <w:rPr>
          <w:rFonts w:hint="eastAsia"/>
          <w:sz w:val="24"/>
          <w:highlight w:val="none"/>
        </w:rPr>
        <w:t>48、合同解除</w:t>
      </w:r>
    </w:p>
    <w:p w14:paraId="031D3290">
      <w:pPr>
        <w:widowControl/>
        <w:spacing w:line="360" w:lineRule="auto"/>
        <w:ind w:firstLine="480" w:firstLineChars="200"/>
        <w:rPr>
          <w:b/>
          <w:sz w:val="24"/>
          <w:highlight w:val="none"/>
        </w:rPr>
      </w:pPr>
      <w:r>
        <w:rPr>
          <w:rFonts w:hint="eastAsia"/>
          <w:sz w:val="24"/>
          <w:highlight w:val="none"/>
        </w:rPr>
        <w:t>48.1发包人承包人协商一致，可以解除合同。</w:t>
      </w:r>
    </w:p>
    <w:p w14:paraId="2F5ADEA2">
      <w:pPr>
        <w:widowControl/>
        <w:spacing w:line="360" w:lineRule="auto"/>
        <w:ind w:firstLine="480" w:firstLineChars="200"/>
        <w:rPr>
          <w:b/>
          <w:sz w:val="24"/>
          <w:highlight w:val="none"/>
        </w:rPr>
      </w:pPr>
      <w:r>
        <w:rPr>
          <w:rFonts w:hint="eastAsia"/>
          <w:sz w:val="24"/>
          <w:highlight w:val="none"/>
        </w:rPr>
        <w:t>48.2发生本通用条款第30.5款情况，停止施工超过56天，发包人仍不支付工程款（进度款），承包人有权解除合同。</w:t>
      </w:r>
    </w:p>
    <w:p w14:paraId="0248DA41">
      <w:pPr>
        <w:widowControl/>
        <w:spacing w:line="360" w:lineRule="auto"/>
        <w:ind w:firstLine="480" w:firstLineChars="200"/>
        <w:rPr>
          <w:b/>
          <w:sz w:val="24"/>
          <w:highlight w:val="none"/>
        </w:rPr>
      </w:pPr>
      <w:r>
        <w:rPr>
          <w:rFonts w:hint="eastAsia"/>
          <w:sz w:val="24"/>
          <w:highlight w:val="none"/>
        </w:rPr>
        <w:t>48.3发生本通用条款第42.2款禁止的情况，发包人有权解除合同。</w:t>
      </w:r>
    </w:p>
    <w:p w14:paraId="496201A7">
      <w:pPr>
        <w:widowControl/>
        <w:spacing w:line="360" w:lineRule="auto"/>
        <w:ind w:firstLine="480" w:firstLineChars="200"/>
        <w:rPr>
          <w:b/>
          <w:sz w:val="24"/>
          <w:highlight w:val="none"/>
        </w:rPr>
      </w:pPr>
      <w:r>
        <w:rPr>
          <w:rFonts w:hint="eastAsia"/>
          <w:sz w:val="24"/>
          <w:highlight w:val="none"/>
        </w:rPr>
        <w:t>48.4有下列情形之一的，发包人承包人可以解除合同：</w:t>
      </w:r>
    </w:p>
    <w:p w14:paraId="329E4D7E">
      <w:pPr>
        <w:widowControl/>
        <w:spacing w:line="360" w:lineRule="auto"/>
        <w:ind w:firstLine="480" w:firstLineChars="200"/>
        <w:rPr>
          <w:b/>
          <w:sz w:val="24"/>
          <w:highlight w:val="none"/>
        </w:rPr>
      </w:pPr>
      <w:r>
        <w:rPr>
          <w:rFonts w:hint="eastAsia"/>
          <w:sz w:val="24"/>
          <w:highlight w:val="none"/>
        </w:rPr>
        <w:t>（1）因不可抗力致使合同无法履行；</w:t>
      </w:r>
    </w:p>
    <w:p w14:paraId="4354E3CF">
      <w:pPr>
        <w:widowControl/>
        <w:spacing w:line="360" w:lineRule="auto"/>
        <w:ind w:firstLine="480" w:firstLineChars="200"/>
        <w:rPr>
          <w:b/>
          <w:sz w:val="24"/>
          <w:highlight w:val="none"/>
        </w:rPr>
      </w:pPr>
      <w:r>
        <w:rPr>
          <w:rFonts w:hint="eastAsia"/>
          <w:sz w:val="24"/>
          <w:highlight w:val="none"/>
        </w:rPr>
        <w:t>（2）因一方违约（包括因发包人原因造成工程停建或缓建）致使合同无法履行。</w:t>
      </w:r>
    </w:p>
    <w:p w14:paraId="7E9070CC">
      <w:pPr>
        <w:widowControl/>
        <w:spacing w:line="360" w:lineRule="auto"/>
        <w:ind w:firstLine="480" w:firstLineChars="200"/>
        <w:rPr>
          <w:b/>
          <w:sz w:val="24"/>
          <w:highlight w:val="none"/>
        </w:rPr>
      </w:pPr>
      <w:r>
        <w:rPr>
          <w:rFonts w:hint="eastAsia"/>
          <w:sz w:val="24"/>
          <w:highlight w:val="none"/>
        </w:rPr>
        <w:t>48.5一方依据48.2、48.3、48.4款约定要求解除合同的，应以书面形式向对方发出解除合同的通知，并在发出通知前7天告知对方，通知到达对方时合同解除。对解除合同有争议的，按本通用条款第41条关于争议的约定处理。</w:t>
      </w:r>
    </w:p>
    <w:p w14:paraId="57F73411">
      <w:pPr>
        <w:widowControl/>
        <w:spacing w:line="360" w:lineRule="auto"/>
        <w:ind w:firstLine="480" w:firstLineChars="200"/>
        <w:rPr>
          <w:b/>
          <w:sz w:val="24"/>
          <w:highlight w:val="none"/>
        </w:rPr>
      </w:pPr>
      <w:r>
        <w:rPr>
          <w:rFonts w:hint="eastAsia"/>
          <w:sz w:val="24"/>
          <w:highlight w:val="none"/>
        </w:rPr>
        <w:t>48.6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14:paraId="65ED4E9F">
      <w:pPr>
        <w:widowControl/>
        <w:spacing w:line="360" w:lineRule="auto"/>
        <w:ind w:firstLine="480" w:firstLineChars="200"/>
        <w:rPr>
          <w:b/>
          <w:sz w:val="24"/>
          <w:highlight w:val="none"/>
        </w:rPr>
      </w:pPr>
      <w:r>
        <w:rPr>
          <w:rFonts w:hint="eastAsia"/>
          <w:sz w:val="24"/>
          <w:highlight w:val="none"/>
        </w:rPr>
        <w:t>48.7合同解除后，不影响双方在合同中约定的结算和清理条款的效力。</w:t>
      </w:r>
    </w:p>
    <w:p w14:paraId="0C3AC804">
      <w:pPr>
        <w:widowControl/>
        <w:spacing w:line="360" w:lineRule="auto"/>
        <w:ind w:firstLine="480" w:firstLineChars="200"/>
        <w:rPr>
          <w:b/>
          <w:sz w:val="24"/>
          <w:highlight w:val="none"/>
        </w:rPr>
      </w:pPr>
      <w:r>
        <w:rPr>
          <w:rFonts w:hint="eastAsia"/>
          <w:sz w:val="24"/>
          <w:highlight w:val="none"/>
        </w:rPr>
        <w:t>49、合同生效与终止</w:t>
      </w:r>
    </w:p>
    <w:p w14:paraId="66933DDB">
      <w:pPr>
        <w:widowControl/>
        <w:spacing w:line="360" w:lineRule="auto"/>
        <w:ind w:firstLine="480" w:firstLineChars="200"/>
        <w:rPr>
          <w:b/>
          <w:sz w:val="24"/>
          <w:highlight w:val="none"/>
        </w:rPr>
      </w:pPr>
      <w:r>
        <w:rPr>
          <w:rFonts w:hint="eastAsia"/>
          <w:sz w:val="24"/>
          <w:highlight w:val="none"/>
        </w:rPr>
        <w:t>49.1双方在协议书中约定合同生效方式。</w:t>
      </w:r>
    </w:p>
    <w:p w14:paraId="43B33EF6">
      <w:pPr>
        <w:widowControl/>
        <w:spacing w:line="360" w:lineRule="auto"/>
        <w:ind w:firstLine="480" w:firstLineChars="200"/>
        <w:rPr>
          <w:b/>
          <w:sz w:val="24"/>
          <w:highlight w:val="none"/>
        </w:rPr>
      </w:pPr>
      <w:r>
        <w:rPr>
          <w:rFonts w:hint="eastAsia"/>
          <w:sz w:val="24"/>
          <w:highlight w:val="none"/>
        </w:rPr>
        <w:t>49.2除本通用条款第38条外，发包人承包人履行合同全部义务，竣工结算价款支付完毕，承包人向发包人交付竣工工程后，本合同即告终止。</w:t>
      </w:r>
    </w:p>
    <w:p w14:paraId="6766868D">
      <w:pPr>
        <w:widowControl/>
        <w:spacing w:line="360" w:lineRule="auto"/>
        <w:ind w:firstLine="480" w:firstLineChars="200"/>
        <w:rPr>
          <w:b/>
          <w:sz w:val="24"/>
          <w:highlight w:val="none"/>
        </w:rPr>
      </w:pPr>
      <w:r>
        <w:rPr>
          <w:rFonts w:hint="eastAsia"/>
          <w:sz w:val="24"/>
          <w:highlight w:val="none"/>
        </w:rPr>
        <w:t>49.3合同的权利义务终止后，发包人承包人应当遵循诚实信用原则，履行通知、协助、保密等义务。</w:t>
      </w:r>
    </w:p>
    <w:p w14:paraId="15347C9A">
      <w:pPr>
        <w:widowControl/>
        <w:spacing w:line="360" w:lineRule="auto"/>
        <w:ind w:firstLine="480" w:firstLineChars="200"/>
        <w:rPr>
          <w:b/>
          <w:sz w:val="24"/>
          <w:highlight w:val="none"/>
        </w:rPr>
      </w:pPr>
      <w:r>
        <w:rPr>
          <w:rFonts w:hint="eastAsia"/>
          <w:sz w:val="24"/>
          <w:highlight w:val="none"/>
        </w:rPr>
        <w:t>50、合同份数</w:t>
      </w:r>
    </w:p>
    <w:p w14:paraId="45184FA8">
      <w:pPr>
        <w:widowControl/>
        <w:spacing w:line="360" w:lineRule="auto"/>
        <w:ind w:firstLine="480" w:firstLineChars="200"/>
        <w:rPr>
          <w:b/>
          <w:sz w:val="24"/>
          <w:highlight w:val="none"/>
        </w:rPr>
      </w:pPr>
      <w:r>
        <w:rPr>
          <w:rFonts w:hint="eastAsia"/>
          <w:sz w:val="24"/>
          <w:highlight w:val="none"/>
        </w:rPr>
        <w:t>50.1本合同正本两份，具有同等效力，由发包人承包人分别保存一份。</w:t>
      </w:r>
    </w:p>
    <w:p w14:paraId="6C5E6183">
      <w:pPr>
        <w:widowControl/>
        <w:spacing w:line="360" w:lineRule="auto"/>
        <w:ind w:firstLine="480" w:firstLineChars="200"/>
        <w:rPr>
          <w:b/>
          <w:sz w:val="24"/>
          <w:highlight w:val="none"/>
        </w:rPr>
      </w:pPr>
      <w:r>
        <w:rPr>
          <w:rFonts w:hint="eastAsia"/>
          <w:sz w:val="24"/>
          <w:highlight w:val="none"/>
        </w:rPr>
        <w:t>50.2本合同副本份数，由双方根据需要在专用条款内约定。</w:t>
      </w:r>
    </w:p>
    <w:p w14:paraId="542AA97F">
      <w:pPr>
        <w:widowControl/>
        <w:spacing w:line="360" w:lineRule="auto"/>
        <w:ind w:firstLine="480" w:firstLineChars="200"/>
        <w:rPr>
          <w:b/>
          <w:sz w:val="24"/>
          <w:highlight w:val="none"/>
        </w:rPr>
      </w:pPr>
      <w:r>
        <w:rPr>
          <w:rFonts w:hint="eastAsia"/>
          <w:sz w:val="24"/>
          <w:highlight w:val="none"/>
        </w:rPr>
        <w:t>51、补充条款</w:t>
      </w:r>
    </w:p>
    <w:p w14:paraId="355FD534">
      <w:pPr>
        <w:spacing w:line="500" w:lineRule="exact"/>
        <w:ind w:firstLine="480" w:firstLineChars="200"/>
        <w:rPr>
          <w:b/>
          <w:sz w:val="24"/>
          <w:highlight w:val="none"/>
        </w:rPr>
      </w:pPr>
      <w:r>
        <w:rPr>
          <w:rFonts w:hint="eastAsia"/>
          <w:sz w:val="24"/>
          <w:highlight w:val="none"/>
        </w:rPr>
        <w:t>双方根据有关法律、行政法规规定，结合工程实际经协商一致后，可对本通用条款内容具体化、补充或修改，在专用条款内约定。</w:t>
      </w:r>
    </w:p>
    <w:p w14:paraId="353EC89C">
      <w:pPr>
        <w:widowControl/>
        <w:rPr>
          <w:b/>
          <w:sz w:val="24"/>
          <w:highlight w:val="none"/>
        </w:rPr>
      </w:pPr>
      <w:r>
        <w:rPr>
          <w:sz w:val="24"/>
          <w:highlight w:val="none"/>
        </w:rPr>
        <w:br w:type="page"/>
      </w:r>
    </w:p>
    <w:p w14:paraId="14013870">
      <w:pPr>
        <w:keepNext/>
        <w:keepLines/>
        <w:spacing w:before="260" w:after="260" w:line="416" w:lineRule="auto"/>
        <w:jc w:val="center"/>
        <w:outlineLvl w:val="1"/>
        <w:rPr>
          <w:bCs/>
          <w:sz w:val="32"/>
          <w:szCs w:val="32"/>
          <w:highlight w:val="none"/>
        </w:rPr>
      </w:pPr>
      <w:bookmarkStart w:id="247" w:name="_Toc476125173"/>
      <w:bookmarkStart w:id="248" w:name="_Toc294110489"/>
      <w:r>
        <w:rPr>
          <w:rFonts w:hint="eastAsia"/>
          <w:bCs/>
          <w:sz w:val="32"/>
          <w:szCs w:val="32"/>
          <w:highlight w:val="none"/>
        </w:rPr>
        <w:t>第三部分 专用条款</w:t>
      </w:r>
      <w:bookmarkEnd w:id="247"/>
      <w:bookmarkEnd w:id="248"/>
    </w:p>
    <w:p w14:paraId="47A91082">
      <w:pPr>
        <w:widowControl/>
        <w:spacing w:line="360" w:lineRule="auto"/>
        <w:ind w:firstLine="480" w:firstLineChars="200"/>
        <w:rPr>
          <w:sz w:val="24"/>
          <w:highlight w:val="none"/>
        </w:rPr>
      </w:pPr>
      <w:r>
        <w:rPr>
          <w:rFonts w:hint="eastAsia"/>
          <w:sz w:val="24"/>
          <w:highlight w:val="none"/>
        </w:rPr>
        <w:t>一、词语定义及合同文件</w:t>
      </w:r>
    </w:p>
    <w:p w14:paraId="3C7178E5">
      <w:pPr>
        <w:widowControl/>
        <w:spacing w:line="360" w:lineRule="auto"/>
        <w:ind w:firstLine="480" w:firstLineChars="200"/>
        <w:rPr>
          <w:b/>
          <w:sz w:val="24"/>
          <w:highlight w:val="none"/>
        </w:rPr>
      </w:pPr>
      <w:r>
        <w:rPr>
          <w:rFonts w:hint="eastAsia"/>
          <w:sz w:val="24"/>
          <w:highlight w:val="none"/>
        </w:rPr>
        <w:t>2、合同文件及解释顺序</w:t>
      </w:r>
    </w:p>
    <w:p w14:paraId="3E65515F">
      <w:pPr>
        <w:widowControl/>
        <w:spacing w:line="360" w:lineRule="auto"/>
        <w:ind w:firstLine="720" w:firstLineChars="300"/>
        <w:rPr>
          <w:b/>
          <w:sz w:val="24"/>
          <w:highlight w:val="none"/>
          <w:u w:val="single"/>
        </w:rPr>
      </w:pPr>
      <w:r>
        <w:rPr>
          <w:rFonts w:hint="eastAsia"/>
          <w:sz w:val="24"/>
          <w:highlight w:val="none"/>
        </w:rPr>
        <w:t>合同文件组成及解释顺序：</w:t>
      </w:r>
      <w:r>
        <w:rPr>
          <w:rFonts w:hint="eastAsia"/>
          <w:sz w:val="24"/>
          <w:highlight w:val="none"/>
          <w:u w:val="single"/>
        </w:rPr>
        <w:t>（1）合同协议书  （2）合同专用条款  （3）合同通用条款 （4） 招标文件、答疑纪要及工程量清单</w:t>
      </w:r>
      <w:r>
        <w:rPr>
          <w:sz w:val="24"/>
          <w:highlight w:val="none"/>
          <w:u w:val="single"/>
        </w:rPr>
        <w:t xml:space="preserve"> </w:t>
      </w:r>
      <w:r>
        <w:rPr>
          <w:rFonts w:hint="eastAsia"/>
          <w:sz w:val="24"/>
          <w:highlight w:val="none"/>
          <w:u w:val="single"/>
        </w:rPr>
        <w:t>（</w:t>
      </w:r>
      <w:r>
        <w:rPr>
          <w:sz w:val="24"/>
          <w:highlight w:val="none"/>
          <w:u w:val="single"/>
        </w:rPr>
        <w:t>5</w:t>
      </w:r>
      <w:r>
        <w:rPr>
          <w:rFonts w:hint="eastAsia"/>
          <w:sz w:val="24"/>
          <w:highlight w:val="none"/>
          <w:u w:val="single"/>
        </w:rPr>
        <w:t>）投标书、工程报价单或预算书及其附件</w:t>
      </w:r>
      <w:r>
        <w:rPr>
          <w:sz w:val="24"/>
          <w:highlight w:val="none"/>
          <w:u w:val="single"/>
        </w:rPr>
        <w:t xml:space="preserve">  </w:t>
      </w:r>
      <w:r>
        <w:rPr>
          <w:rFonts w:hint="eastAsia"/>
          <w:sz w:val="24"/>
          <w:highlight w:val="none"/>
          <w:u w:val="single"/>
        </w:rPr>
        <w:t>（</w:t>
      </w:r>
      <w:r>
        <w:rPr>
          <w:sz w:val="24"/>
          <w:highlight w:val="none"/>
          <w:u w:val="single"/>
        </w:rPr>
        <w:t>6</w:t>
      </w:r>
      <w:r>
        <w:rPr>
          <w:rFonts w:hint="eastAsia"/>
          <w:sz w:val="24"/>
          <w:highlight w:val="none"/>
          <w:u w:val="single"/>
        </w:rPr>
        <w:t>）标准、规范及有关技术文件</w:t>
      </w:r>
      <w:r>
        <w:rPr>
          <w:sz w:val="24"/>
          <w:highlight w:val="none"/>
          <w:u w:val="single"/>
        </w:rPr>
        <w:t xml:space="preserve">   </w:t>
      </w:r>
      <w:r>
        <w:rPr>
          <w:rFonts w:hint="eastAsia"/>
          <w:sz w:val="24"/>
          <w:highlight w:val="none"/>
          <w:u w:val="single"/>
        </w:rPr>
        <w:t>（</w:t>
      </w:r>
      <w:r>
        <w:rPr>
          <w:sz w:val="24"/>
          <w:highlight w:val="none"/>
          <w:u w:val="single"/>
        </w:rPr>
        <w:t>7</w:t>
      </w:r>
      <w:r>
        <w:rPr>
          <w:rFonts w:hint="eastAsia"/>
          <w:sz w:val="24"/>
          <w:highlight w:val="none"/>
          <w:u w:val="single"/>
        </w:rPr>
        <w:t>）施工图纸</w:t>
      </w:r>
      <w:r>
        <w:rPr>
          <w:sz w:val="24"/>
          <w:highlight w:val="none"/>
          <w:u w:val="single"/>
        </w:rPr>
        <w:t xml:space="preserve">  </w:t>
      </w:r>
      <w:r>
        <w:rPr>
          <w:rFonts w:hint="eastAsia"/>
          <w:sz w:val="24"/>
          <w:highlight w:val="none"/>
          <w:u w:val="single"/>
        </w:rPr>
        <w:t>（</w:t>
      </w:r>
      <w:r>
        <w:rPr>
          <w:sz w:val="24"/>
          <w:highlight w:val="none"/>
          <w:u w:val="single"/>
        </w:rPr>
        <w:t>8</w:t>
      </w:r>
      <w:r>
        <w:rPr>
          <w:rFonts w:hint="eastAsia"/>
          <w:sz w:val="24"/>
          <w:highlight w:val="none"/>
          <w:u w:val="single"/>
        </w:rPr>
        <w:t>）本工程招标期间招标人的书面澄清文件</w:t>
      </w:r>
    </w:p>
    <w:p w14:paraId="424E1079">
      <w:pPr>
        <w:widowControl/>
        <w:spacing w:line="360" w:lineRule="auto"/>
        <w:ind w:firstLine="480" w:firstLineChars="200"/>
        <w:rPr>
          <w:b/>
          <w:sz w:val="24"/>
          <w:highlight w:val="none"/>
        </w:rPr>
      </w:pPr>
      <w:r>
        <w:rPr>
          <w:rFonts w:hint="eastAsia"/>
          <w:sz w:val="24"/>
          <w:highlight w:val="none"/>
        </w:rPr>
        <w:t>3、语言文字和适用法律、标准及规范</w:t>
      </w:r>
    </w:p>
    <w:p w14:paraId="55166769">
      <w:pPr>
        <w:widowControl/>
        <w:spacing w:line="360" w:lineRule="auto"/>
        <w:ind w:firstLine="480" w:firstLineChars="200"/>
        <w:rPr>
          <w:b/>
          <w:sz w:val="24"/>
          <w:highlight w:val="none"/>
        </w:rPr>
      </w:pPr>
      <w:r>
        <w:rPr>
          <w:rFonts w:hint="eastAsia"/>
          <w:sz w:val="24"/>
          <w:highlight w:val="none"/>
        </w:rPr>
        <w:t>3.1本合同除使用汉语外，还使用</w:t>
      </w:r>
      <w:r>
        <w:rPr>
          <w:rFonts w:hint="eastAsia"/>
          <w:sz w:val="24"/>
          <w:highlight w:val="none"/>
          <w:u w:val="single"/>
        </w:rPr>
        <w:t xml:space="preserve">          /          </w:t>
      </w:r>
      <w:r>
        <w:rPr>
          <w:rFonts w:hint="eastAsia"/>
          <w:sz w:val="24"/>
          <w:highlight w:val="none"/>
        </w:rPr>
        <w:t>语言文字。</w:t>
      </w:r>
    </w:p>
    <w:p w14:paraId="169B7C50">
      <w:pPr>
        <w:widowControl/>
        <w:spacing w:line="360" w:lineRule="auto"/>
        <w:ind w:firstLine="480" w:firstLineChars="200"/>
        <w:rPr>
          <w:b/>
          <w:sz w:val="24"/>
          <w:highlight w:val="none"/>
        </w:rPr>
      </w:pPr>
      <w:r>
        <w:rPr>
          <w:rFonts w:hint="eastAsia"/>
          <w:sz w:val="24"/>
          <w:highlight w:val="none"/>
        </w:rPr>
        <w:t>3.2适用法律和法规</w:t>
      </w:r>
    </w:p>
    <w:p w14:paraId="1C48DF98">
      <w:pPr>
        <w:widowControl/>
        <w:spacing w:line="360" w:lineRule="auto"/>
        <w:ind w:firstLine="480" w:firstLineChars="200"/>
        <w:rPr>
          <w:b/>
          <w:sz w:val="24"/>
          <w:highlight w:val="none"/>
        </w:rPr>
      </w:pPr>
      <w:r>
        <w:rPr>
          <w:rFonts w:hint="eastAsia"/>
          <w:sz w:val="24"/>
          <w:highlight w:val="none"/>
        </w:rPr>
        <w:t>需要明示的法律、行政法规：</w:t>
      </w:r>
    </w:p>
    <w:p w14:paraId="170DAECE">
      <w:pPr>
        <w:widowControl/>
        <w:spacing w:line="360" w:lineRule="auto"/>
        <w:ind w:firstLine="480" w:firstLineChars="200"/>
        <w:rPr>
          <w:b/>
          <w:sz w:val="24"/>
          <w:highlight w:val="none"/>
          <w:u w:val="single"/>
        </w:rPr>
      </w:pPr>
      <w:r>
        <w:rPr>
          <w:rFonts w:hint="eastAsia"/>
          <w:sz w:val="24"/>
          <w:highlight w:val="none"/>
          <w:u w:val="single"/>
        </w:rPr>
        <w:t>中华人民共和国及工程所在地政府颁布的所有法律、法规及其他规范性文件。</w:t>
      </w:r>
    </w:p>
    <w:p w14:paraId="3E732B80">
      <w:pPr>
        <w:widowControl/>
        <w:spacing w:line="360" w:lineRule="auto"/>
        <w:ind w:firstLine="480" w:firstLineChars="200"/>
        <w:rPr>
          <w:b/>
          <w:sz w:val="24"/>
          <w:highlight w:val="none"/>
        </w:rPr>
      </w:pPr>
      <w:r>
        <w:rPr>
          <w:rFonts w:hint="eastAsia"/>
          <w:sz w:val="24"/>
          <w:highlight w:val="none"/>
        </w:rPr>
        <w:t>3.3适用标准、规范</w:t>
      </w:r>
    </w:p>
    <w:p w14:paraId="7B2D2699">
      <w:pPr>
        <w:widowControl/>
        <w:spacing w:line="360" w:lineRule="auto"/>
        <w:ind w:firstLine="480" w:firstLineChars="200"/>
        <w:rPr>
          <w:b/>
          <w:sz w:val="24"/>
          <w:highlight w:val="none"/>
          <w:u w:val="single"/>
        </w:rPr>
      </w:pPr>
      <w:r>
        <w:rPr>
          <w:rFonts w:hint="eastAsia"/>
          <w:sz w:val="24"/>
          <w:highlight w:val="none"/>
        </w:rPr>
        <w:t>适用标准、规范的名称：</w:t>
      </w:r>
      <w:r>
        <w:rPr>
          <w:rFonts w:hint="eastAsia"/>
          <w:sz w:val="24"/>
          <w:highlight w:val="none"/>
          <w:u w:val="single"/>
        </w:rPr>
        <w:t>现行的建筑施工验收规范，现行的建筑安装工程质量验收评定标准。</w:t>
      </w:r>
    </w:p>
    <w:p w14:paraId="78EE437D">
      <w:pPr>
        <w:widowControl/>
        <w:spacing w:line="360" w:lineRule="auto"/>
        <w:ind w:firstLine="480" w:firstLineChars="200"/>
        <w:rPr>
          <w:b/>
          <w:sz w:val="24"/>
          <w:highlight w:val="none"/>
          <w:u w:val="single"/>
        </w:rPr>
      </w:pPr>
      <w:r>
        <w:rPr>
          <w:rFonts w:hint="eastAsia"/>
          <w:sz w:val="24"/>
          <w:highlight w:val="none"/>
        </w:rPr>
        <w:t>发包人提供标准、规范的时间：</w:t>
      </w:r>
      <w:r>
        <w:rPr>
          <w:rFonts w:hint="eastAsia"/>
          <w:sz w:val="24"/>
          <w:highlight w:val="none"/>
          <w:u w:val="single"/>
        </w:rPr>
        <w:t xml:space="preserve">                   /                    </w:t>
      </w:r>
    </w:p>
    <w:p w14:paraId="73705454">
      <w:pPr>
        <w:widowControl/>
        <w:spacing w:line="360" w:lineRule="auto"/>
        <w:ind w:firstLine="480" w:firstLineChars="200"/>
        <w:rPr>
          <w:b/>
          <w:sz w:val="24"/>
          <w:highlight w:val="none"/>
          <w:u w:val="single"/>
        </w:rPr>
      </w:pPr>
      <w:r>
        <w:rPr>
          <w:rFonts w:hint="eastAsia"/>
          <w:sz w:val="24"/>
          <w:highlight w:val="none"/>
        </w:rPr>
        <w:t>国内没有相应标准、规范时的约定：</w:t>
      </w:r>
      <w:r>
        <w:rPr>
          <w:rFonts w:hint="eastAsia"/>
          <w:sz w:val="24"/>
          <w:highlight w:val="none"/>
          <w:u w:val="single"/>
        </w:rPr>
        <w:t xml:space="preserve">             /                        </w:t>
      </w:r>
    </w:p>
    <w:p w14:paraId="24D4044C">
      <w:pPr>
        <w:widowControl/>
        <w:spacing w:line="360" w:lineRule="auto"/>
        <w:ind w:firstLine="480" w:firstLineChars="200"/>
        <w:rPr>
          <w:b/>
          <w:sz w:val="24"/>
          <w:highlight w:val="none"/>
        </w:rPr>
      </w:pPr>
      <w:r>
        <w:rPr>
          <w:rFonts w:hint="eastAsia"/>
          <w:sz w:val="24"/>
          <w:highlight w:val="none"/>
        </w:rPr>
        <w:t>4、图纸</w:t>
      </w:r>
    </w:p>
    <w:p w14:paraId="3CB90D1D">
      <w:pPr>
        <w:widowControl/>
        <w:spacing w:line="360" w:lineRule="auto"/>
        <w:ind w:firstLine="480" w:firstLineChars="200"/>
        <w:rPr>
          <w:b/>
          <w:sz w:val="24"/>
          <w:highlight w:val="none"/>
          <w:u w:val="single"/>
        </w:rPr>
      </w:pPr>
      <w:r>
        <w:rPr>
          <w:rFonts w:hint="eastAsia"/>
          <w:sz w:val="24"/>
          <w:highlight w:val="none"/>
        </w:rPr>
        <w:t>4.1发包人向承包人提供图纸日期和套数：</w:t>
      </w:r>
      <w:r>
        <w:rPr>
          <w:rFonts w:hint="eastAsia"/>
          <w:sz w:val="24"/>
          <w:highlight w:val="none"/>
          <w:u w:val="single"/>
        </w:rPr>
        <w:t xml:space="preserve">    年  月  日前提供工程项目全套施工图纸 三 份。</w:t>
      </w:r>
    </w:p>
    <w:p w14:paraId="1E77A38E">
      <w:pPr>
        <w:widowControl/>
        <w:spacing w:line="360" w:lineRule="auto"/>
        <w:ind w:firstLine="480" w:firstLineChars="200"/>
        <w:rPr>
          <w:b/>
          <w:sz w:val="24"/>
          <w:highlight w:val="none"/>
          <w:u w:val="single"/>
        </w:rPr>
      </w:pPr>
      <w:r>
        <w:rPr>
          <w:rFonts w:hint="eastAsia"/>
          <w:sz w:val="24"/>
          <w:highlight w:val="none"/>
        </w:rPr>
        <w:t>发包人对图纸的保密要求：</w:t>
      </w:r>
      <w:r>
        <w:rPr>
          <w:rFonts w:hint="eastAsia"/>
          <w:sz w:val="24"/>
          <w:highlight w:val="none"/>
          <w:u w:val="single"/>
        </w:rPr>
        <w:t xml:space="preserve"> 承包人不得向第三人泄露发包人发放的图纸，也不得用于其它工程 。  </w:t>
      </w:r>
    </w:p>
    <w:p w14:paraId="3A963D25">
      <w:pPr>
        <w:widowControl/>
        <w:spacing w:line="360" w:lineRule="auto"/>
        <w:ind w:firstLine="480" w:firstLineChars="200"/>
        <w:rPr>
          <w:b/>
          <w:sz w:val="24"/>
          <w:highlight w:val="none"/>
        </w:rPr>
      </w:pPr>
      <w:r>
        <w:rPr>
          <w:rFonts w:hint="eastAsia"/>
          <w:sz w:val="24"/>
          <w:highlight w:val="none"/>
        </w:rPr>
        <w:t>使用国外图纸的要求及费用承担：_____________________</w:t>
      </w:r>
      <w:r>
        <w:rPr>
          <w:rFonts w:hint="eastAsia"/>
          <w:sz w:val="24"/>
          <w:highlight w:val="none"/>
          <w:u w:val="single"/>
        </w:rPr>
        <w:t>/</w:t>
      </w:r>
      <w:r>
        <w:rPr>
          <w:rFonts w:hint="eastAsia"/>
          <w:sz w:val="24"/>
          <w:highlight w:val="none"/>
        </w:rPr>
        <w:t>_________________</w:t>
      </w:r>
    </w:p>
    <w:p w14:paraId="0570D7E4">
      <w:pPr>
        <w:widowControl/>
        <w:spacing w:line="360" w:lineRule="auto"/>
        <w:ind w:firstLine="480" w:firstLineChars="200"/>
        <w:rPr>
          <w:sz w:val="24"/>
          <w:highlight w:val="none"/>
        </w:rPr>
      </w:pPr>
      <w:r>
        <w:rPr>
          <w:rFonts w:hint="eastAsia"/>
          <w:sz w:val="24"/>
          <w:highlight w:val="none"/>
        </w:rPr>
        <w:t>二、双方一般权利和义务</w:t>
      </w:r>
    </w:p>
    <w:p w14:paraId="67B3ED0E">
      <w:pPr>
        <w:widowControl/>
        <w:spacing w:line="360" w:lineRule="auto"/>
        <w:ind w:firstLine="480" w:firstLineChars="200"/>
        <w:rPr>
          <w:b/>
          <w:sz w:val="24"/>
          <w:highlight w:val="none"/>
        </w:rPr>
      </w:pPr>
      <w:r>
        <w:rPr>
          <w:rFonts w:hint="eastAsia"/>
          <w:sz w:val="24"/>
          <w:highlight w:val="none"/>
        </w:rPr>
        <w:t>5、工程师</w:t>
      </w:r>
    </w:p>
    <w:p w14:paraId="3ED3ED70">
      <w:pPr>
        <w:widowControl/>
        <w:spacing w:line="360" w:lineRule="auto"/>
        <w:ind w:firstLine="480" w:firstLineChars="200"/>
        <w:rPr>
          <w:b/>
          <w:sz w:val="24"/>
          <w:highlight w:val="none"/>
          <w:u w:val="single"/>
        </w:rPr>
      </w:pPr>
      <w:r>
        <w:rPr>
          <w:rFonts w:hint="eastAsia"/>
          <w:sz w:val="24"/>
          <w:highlight w:val="none"/>
        </w:rPr>
        <w:t>5.1本工程的施工监理单位为：</w:t>
      </w:r>
      <w:r>
        <w:rPr>
          <w:rFonts w:hint="eastAsia"/>
          <w:sz w:val="24"/>
          <w:highlight w:val="none"/>
          <w:u w:val="single"/>
        </w:rPr>
        <w:t xml:space="preserve">                              </w:t>
      </w:r>
    </w:p>
    <w:p w14:paraId="72619B94">
      <w:pPr>
        <w:widowControl/>
        <w:spacing w:line="360" w:lineRule="auto"/>
        <w:ind w:firstLine="480" w:firstLineChars="200"/>
        <w:rPr>
          <w:b/>
          <w:sz w:val="24"/>
          <w:highlight w:val="none"/>
          <w:u w:val="single"/>
        </w:rPr>
      </w:pPr>
      <w:r>
        <w:rPr>
          <w:rFonts w:hint="eastAsia"/>
          <w:sz w:val="24"/>
          <w:highlight w:val="none"/>
        </w:rPr>
        <w:t xml:space="preserve">              监理单位地址：</w:t>
      </w:r>
      <w:r>
        <w:rPr>
          <w:rFonts w:hint="eastAsia"/>
          <w:sz w:val="24"/>
          <w:highlight w:val="none"/>
          <w:u w:val="single"/>
        </w:rPr>
        <w:t xml:space="preserve">                           </w:t>
      </w:r>
    </w:p>
    <w:p w14:paraId="7CFD941A">
      <w:pPr>
        <w:widowControl/>
        <w:spacing w:line="360" w:lineRule="auto"/>
        <w:ind w:firstLine="480" w:firstLineChars="200"/>
        <w:rPr>
          <w:b/>
          <w:sz w:val="24"/>
          <w:highlight w:val="none"/>
          <w:u w:val="single"/>
        </w:rPr>
      </w:pPr>
      <w:r>
        <w:rPr>
          <w:rFonts w:hint="eastAsia"/>
          <w:sz w:val="24"/>
          <w:highlight w:val="none"/>
        </w:rPr>
        <w:t xml:space="preserve">                      电话：</w:t>
      </w:r>
      <w:r>
        <w:rPr>
          <w:rFonts w:hint="eastAsia"/>
          <w:sz w:val="24"/>
          <w:highlight w:val="none"/>
          <w:u w:val="single"/>
        </w:rPr>
        <w:t xml:space="preserve">                             </w:t>
      </w:r>
    </w:p>
    <w:p w14:paraId="227C8AF0">
      <w:pPr>
        <w:widowControl/>
        <w:spacing w:line="360" w:lineRule="auto"/>
        <w:ind w:firstLine="480" w:firstLineChars="200"/>
        <w:rPr>
          <w:b/>
          <w:sz w:val="24"/>
          <w:highlight w:val="none"/>
          <w:u w:val="single"/>
        </w:rPr>
      </w:pPr>
      <w:r>
        <w:rPr>
          <w:rFonts w:hint="eastAsia"/>
          <w:sz w:val="24"/>
          <w:highlight w:val="none"/>
        </w:rPr>
        <w:t xml:space="preserve">                      传真：</w:t>
      </w:r>
      <w:r>
        <w:rPr>
          <w:rFonts w:hint="eastAsia"/>
          <w:sz w:val="24"/>
          <w:highlight w:val="none"/>
          <w:u w:val="single"/>
        </w:rPr>
        <w:t xml:space="preserve">                            </w:t>
      </w:r>
    </w:p>
    <w:p w14:paraId="1298DCD9">
      <w:pPr>
        <w:widowControl/>
        <w:spacing w:line="360" w:lineRule="auto"/>
        <w:ind w:firstLine="480" w:firstLineChars="200"/>
        <w:rPr>
          <w:b/>
          <w:sz w:val="24"/>
          <w:highlight w:val="none"/>
        </w:rPr>
      </w:pPr>
      <w:r>
        <w:rPr>
          <w:rFonts w:hint="eastAsia"/>
          <w:sz w:val="24"/>
          <w:highlight w:val="none"/>
        </w:rPr>
        <w:t>5.2监理单位委派的工程师</w:t>
      </w:r>
    </w:p>
    <w:p w14:paraId="1A8D7CA4">
      <w:pPr>
        <w:snapToGrid w:val="0"/>
        <w:spacing w:line="360" w:lineRule="auto"/>
        <w:ind w:firstLine="480" w:firstLineChars="200"/>
        <w:rPr>
          <w:b/>
          <w:sz w:val="24"/>
          <w:highlight w:val="none"/>
          <w:u w:val="single"/>
        </w:rPr>
      </w:pPr>
      <w:r>
        <w:rPr>
          <w:rFonts w:hint="eastAsia"/>
          <w:sz w:val="24"/>
          <w:highlight w:val="none"/>
        </w:rPr>
        <w:t>姓名：</w:t>
      </w:r>
      <w:r>
        <w:rPr>
          <w:rFonts w:hint="eastAsia"/>
          <w:sz w:val="24"/>
          <w:highlight w:val="none"/>
          <w:u w:val="single"/>
        </w:rPr>
        <w:t xml:space="preserve">      </w:t>
      </w:r>
      <w:r>
        <w:rPr>
          <w:rFonts w:hint="eastAsia"/>
          <w:sz w:val="24"/>
          <w:highlight w:val="none"/>
        </w:rPr>
        <w:t>职务：</w:t>
      </w:r>
      <w:r>
        <w:rPr>
          <w:rFonts w:hint="eastAsia"/>
          <w:sz w:val="24"/>
          <w:highlight w:val="none"/>
          <w:u w:val="single"/>
        </w:rPr>
        <w:t xml:space="preserve">   总监   </w:t>
      </w:r>
    </w:p>
    <w:p w14:paraId="10FD682D">
      <w:pPr>
        <w:snapToGrid w:val="0"/>
        <w:spacing w:line="360" w:lineRule="auto"/>
        <w:ind w:firstLine="480" w:firstLineChars="200"/>
        <w:rPr>
          <w:b/>
          <w:sz w:val="24"/>
          <w:highlight w:val="none"/>
        </w:rPr>
      </w:pPr>
      <w:r>
        <w:rPr>
          <w:rFonts w:hint="eastAsia"/>
          <w:sz w:val="24"/>
          <w:highlight w:val="none"/>
        </w:rPr>
        <w:t>发包人委托的职权：</w:t>
      </w:r>
    </w:p>
    <w:p w14:paraId="7ADEBC68">
      <w:pPr>
        <w:snapToGrid w:val="0"/>
        <w:spacing w:line="360" w:lineRule="auto"/>
        <w:ind w:firstLine="480" w:firstLineChars="200"/>
        <w:rPr>
          <w:b/>
          <w:color w:val="000000"/>
          <w:sz w:val="24"/>
          <w:highlight w:val="none"/>
        </w:rPr>
      </w:pPr>
      <w:r>
        <w:rPr>
          <w:rFonts w:hint="eastAsia"/>
          <w:color w:val="000000"/>
          <w:sz w:val="24"/>
          <w:highlight w:val="none"/>
        </w:rPr>
        <w:t>1.施工图的审核和各专业施工图纸的综合审核，并将施工图纸发承包人；</w:t>
      </w:r>
    </w:p>
    <w:p w14:paraId="4D6747AA">
      <w:pPr>
        <w:widowControl/>
        <w:spacing w:line="360" w:lineRule="auto"/>
        <w:ind w:firstLine="480" w:firstLineChars="200"/>
        <w:rPr>
          <w:b/>
          <w:sz w:val="24"/>
          <w:highlight w:val="none"/>
        </w:rPr>
      </w:pPr>
      <w:r>
        <w:rPr>
          <w:rFonts w:hint="eastAsia"/>
          <w:sz w:val="24"/>
          <w:highlight w:val="none"/>
        </w:rPr>
        <w:t>2.施工总进度计划、年度施工进度计划、月施工计划的审查，审查结果报发包人；</w:t>
      </w:r>
    </w:p>
    <w:p w14:paraId="745FC149">
      <w:pPr>
        <w:widowControl/>
        <w:spacing w:line="360" w:lineRule="auto"/>
        <w:ind w:firstLine="480" w:firstLineChars="200"/>
        <w:rPr>
          <w:b/>
          <w:sz w:val="24"/>
          <w:highlight w:val="none"/>
        </w:rPr>
      </w:pPr>
      <w:r>
        <w:rPr>
          <w:rFonts w:hint="eastAsia"/>
          <w:sz w:val="24"/>
          <w:highlight w:val="none"/>
        </w:rPr>
        <w:t>3.审查承包人编制的施工组织设计、施工技术方案，将审查意见报发包人；</w:t>
      </w:r>
    </w:p>
    <w:p w14:paraId="33832338">
      <w:pPr>
        <w:widowControl/>
        <w:spacing w:line="360" w:lineRule="auto"/>
        <w:ind w:firstLine="480" w:firstLineChars="200"/>
        <w:rPr>
          <w:b/>
          <w:sz w:val="24"/>
          <w:highlight w:val="none"/>
        </w:rPr>
      </w:pPr>
      <w:r>
        <w:rPr>
          <w:rFonts w:hint="eastAsia"/>
          <w:sz w:val="24"/>
          <w:highlight w:val="none"/>
        </w:rPr>
        <w:t>4.向承包人下达开工通知，督促进场施工；</w:t>
      </w:r>
    </w:p>
    <w:p w14:paraId="57CBE353">
      <w:pPr>
        <w:widowControl/>
        <w:spacing w:line="360" w:lineRule="auto"/>
        <w:ind w:firstLine="480" w:firstLineChars="200"/>
        <w:rPr>
          <w:b/>
          <w:sz w:val="24"/>
          <w:highlight w:val="none"/>
        </w:rPr>
      </w:pPr>
      <w:r>
        <w:rPr>
          <w:rFonts w:hint="eastAsia"/>
          <w:sz w:val="24"/>
          <w:highlight w:val="none"/>
        </w:rPr>
        <w:t>5.组织工地例会，起草会议纪要；</w:t>
      </w:r>
    </w:p>
    <w:p w14:paraId="24F2899E">
      <w:pPr>
        <w:widowControl/>
        <w:spacing w:line="360" w:lineRule="auto"/>
        <w:ind w:firstLine="480" w:firstLineChars="200"/>
        <w:rPr>
          <w:b/>
          <w:sz w:val="24"/>
          <w:highlight w:val="none"/>
        </w:rPr>
      </w:pPr>
      <w:r>
        <w:rPr>
          <w:rFonts w:hint="eastAsia"/>
          <w:sz w:val="24"/>
          <w:highlight w:val="none"/>
        </w:rPr>
        <w:t>6.按照工程施工质量规范和合同技术要求，实施施工质量监督。对违反国家有关规定的施工和质量不合格工程拥有否决权，并对工程施工质量负监督责任；</w:t>
      </w:r>
    </w:p>
    <w:p w14:paraId="1C503BBE">
      <w:pPr>
        <w:widowControl/>
        <w:spacing w:line="360" w:lineRule="auto"/>
        <w:ind w:firstLine="480" w:firstLineChars="200"/>
        <w:rPr>
          <w:b/>
          <w:sz w:val="24"/>
          <w:highlight w:val="none"/>
        </w:rPr>
      </w:pPr>
      <w:r>
        <w:rPr>
          <w:rFonts w:hint="eastAsia"/>
          <w:sz w:val="24"/>
          <w:highlight w:val="none"/>
        </w:rPr>
        <w:t>7.实施施工进度监督，督促承包人合理组织施工并按期完工；</w:t>
      </w:r>
    </w:p>
    <w:p w14:paraId="6ACB9245">
      <w:pPr>
        <w:widowControl/>
        <w:spacing w:line="360" w:lineRule="auto"/>
        <w:ind w:firstLine="480" w:firstLineChars="200"/>
        <w:rPr>
          <w:b/>
          <w:sz w:val="24"/>
          <w:highlight w:val="none"/>
        </w:rPr>
      </w:pPr>
      <w:r>
        <w:rPr>
          <w:rFonts w:hint="eastAsia"/>
          <w:sz w:val="24"/>
          <w:highlight w:val="none"/>
        </w:rPr>
        <w:t>8.对不能全面履行合同，质量低劣，管理混乱，因自身原因造成施工进度严重滞后且未采取有效措施弥补等承包人严重违约行为，根据合同规定，向发包人提交合同处理意见；</w:t>
      </w:r>
    </w:p>
    <w:p w14:paraId="2F9F5C1D">
      <w:pPr>
        <w:widowControl/>
        <w:spacing w:line="360" w:lineRule="auto"/>
        <w:ind w:firstLine="480" w:firstLineChars="200"/>
        <w:rPr>
          <w:b/>
          <w:sz w:val="24"/>
          <w:highlight w:val="none"/>
        </w:rPr>
      </w:pPr>
      <w:r>
        <w:rPr>
          <w:rFonts w:hint="eastAsia"/>
          <w:sz w:val="24"/>
          <w:highlight w:val="none"/>
        </w:rPr>
        <w:t>9.监督施工现场的文明施工和施工安全管理；</w:t>
      </w:r>
    </w:p>
    <w:p w14:paraId="394B818B">
      <w:pPr>
        <w:widowControl/>
        <w:spacing w:line="360" w:lineRule="auto"/>
        <w:ind w:firstLine="480" w:firstLineChars="200"/>
        <w:rPr>
          <w:b/>
          <w:sz w:val="24"/>
          <w:highlight w:val="none"/>
        </w:rPr>
      </w:pPr>
      <w:r>
        <w:rPr>
          <w:rFonts w:hint="eastAsia"/>
          <w:sz w:val="24"/>
          <w:highlight w:val="none"/>
        </w:rPr>
        <w:t>10.对合格工程的进度付款审核，向发包人提交进度付款审核报告；</w:t>
      </w:r>
    </w:p>
    <w:p w14:paraId="0CA7A9E1">
      <w:pPr>
        <w:widowControl/>
        <w:spacing w:line="360" w:lineRule="auto"/>
        <w:ind w:firstLine="480" w:firstLineChars="200"/>
        <w:rPr>
          <w:b/>
          <w:sz w:val="24"/>
          <w:highlight w:val="none"/>
        </w:rPr>
      </w:pPr>
      <w:r>
        <w:rPr>
          <w:rFonts w:hint="eastAsia"/>
          <w:sz w:val="24"/>
          <w:highlight w:val="none"/>
        </w:rPr>
        <w:t>11.主持工程质量的工序验收、中间验收和阶段性验收，提出整改意见，检查整改结果；</w:t>
      </w:r>
    </w:p>
    <w:p w14:paraId="3EBA92EB">
      <w:pPr>
        <w:widowControl/>
        <w:spacing w:line="360" w:lineRule="auto"/>
        <w:ind w:firstLine="480" w:firstLineChars="200"/>
        <w:rPr>
          <w:b/>
          <w:sz w:val="24"/>
          <w:highlight w:val="none"/>
        </w:rPr>
      </w:pPr>
      <w:r>
        <w:rPr>
          <w:rFonts w:hint="eastAsia"/>
          <w:sz w:val="24"/>
          <w:highlight w:val="none"/>
        </w:rPr>
        <w:t>12.参加工程竣工验收，审查承包人竣工资料；</w:t>
      </w:r>
    </w:p>
    <w:p w14:paraId="0F5866D2">
      <w:pPr>
        <w:widowControl/>
        <w:spacing w:line="360" w:lineRule="auto"/>
        <w:ind w:firstLine="480" w:firstLineChars="200"/>
        <w:rPr>
          <w:b/>
          <w:sz w:val="24"/>
          <w:highlight w:val="none"/>
        </w:rPr>
      </w:pPr>
      <w:r>
        <w:rPr>
          <w:rFonts w:hint="eastAsia"/>
          <w:sz w:val="24"/>
          <w:highlight w:val="none"/>
        </w:rPr>
        <w:t>13.协助发包人进行竣工工程的移交；</w:t>
      </w:r>
    </w:p>
    <w:p w14:paraId="16F15C75">
      <w:pPr>
        <w:widowControl/>
        <w:spacing w:line="360" w:lineRule="auto"/>
        <w:ind w:firstLine="480" w:firstLineChars="200"/>
        <w:rPr>
          <w:b/>
          <w:sz w:val="24"/>
          <w:highlight w:val="none"/>
        </w:rPr>
      </w:pPr>
      <w:r>
        <w:rPr>
          <w:rFonts w:hint="eastAsia"/>
          <w:sz w:val="24"/>
          <w:highlight w:val="none"/>
        </w:rPr>
        <w:t>14.协调、监督工程质量责任期内的工程质量缺陷的处理；</w:t>
      </w:r>
    </w:p>
    <w:p w14:paraId="6DDD7A50">
      <w:pPr>
        <w:widowControl/>
        <w:spacing w:line="360" w:lineRule="auto"/>
        <w:ind w:firstLine="480" w:firstLineChars="200"/>
        <w:rPr>
          <w:b/>
          <w:sz w:val="24"/>
          <w:highlight w:val="none"/>
        </w:rPr>
      </w:pPr>
      <w:r>
        <w:rPr>
          <w:rFonts w:hint="eastAsia"/>
          <w:sz w:val="24"/>
          <w:highlight w:val="none"/>
        </w:rPr>
        <w:t>15.向发包人建议更换不称职承包人项目经理；</w:t>
      </w:r>
    </w:p>
    <w:p w14:paraId="30D4AA57">
      <w:pPr>
        <w:widowControl/>
        <w:spacing w:line="360" w:lineRule="auto"/>
        <w:ind w:firstLine="480" w:firstLineChars="200"/>
        <w:rPr>
          <w:b/>
          <w:sz w:val="24"/>
          <w:highlight w:val="none"/>
        </w:rPr>
      </w:pPr>
      <w:r>
        <w:rPr>
          <w:rFonts w:hint="eastAsia"/>
          <w:sz w:val="24"/>
          <w:highlight w:val="none"/>
        </w:rPr>
        <w:t>16.为保证施工质量和施工安全，要求承包人更换不称职管理人员和施工人员；</w:t>
      </w:r>
    </w:p>
    <w:p w14:paraId="598187F4">
      <w:pPr>
        <w:widowControl/>
        <w:spacing w:line="360" w:lineRule="auto"/>
        <w:ind w:firstLine="480" w:firstLineChars="200"/>
        <w:rPr>
          <w:b/>
          <w:sz w:val="24"/>
          <w:highlight w:val="none"/>
        </w:rPr>
      </w:pPr>
      <w:r>
        <w:rPr>
          <w:rFonts w:hint="eastAsia"/>
          <w:sz w:val="24"/>
          <w:highlight w:val="none"/>
        </w:rPr>
        <w:t>17.除需要取得发包人批准的职权外，合同通用条款中规定的其他工程师职权。</w:t>
      </w:r>
    </w:p>
    <w:p w14:paraId="656F5F0C">
      <w:pPr>
        <w:widowControl/>
        <w:spacing w:line="360" w:lineRule="auto"/>
        <w:ind w:left="502" w:leftChars="228"/>
        <w:rPr>
          <w:b/>
          <w:sz w:val="24"/>
          <w:highlight w:val="none"/>
        </w:rPr>
      </w:pPr>
      <w:r>
        <w:rPr>
          <w:rFonts w:hint="eastAsia"/>
          <w:sz w:val="24"/>
          <w:highlight w:val="none"/>
        </w:rPr>
        <w:t>需要取得发包人批准才能行使的职权：</w:t>
      </w:r>
    </w:p>
    <w:p w14:paraId="2997CD27">
      <w:pPr>
        <w:widowControl/>
        <w:spacing w:line="360" w:lineRule="auto"/>
        <w:ind w:left="502" w:leftChars="228"/>
        <w:rPr>
          <w:b/>
          <w:sz w:val="24"/>
          <w:highlight w:val="none"/>
        </w:rPr>
      </w:pPr>
      <w:r>
        <w:rPr>
          <w:rFonts w:hint="eastAsia"/>
          <w:sz w:val="24"/>
          <w:highlight w:val="none"/>
        </w:rPr>
        <w:t>工程师在根据合同决定以下事项之前需首先得到发包人工程师的批准：</w:t>
      </w:r>
    </w:p>
    <w:p w14:paraId="565FCC9C">
      <w:pPr>
        <w:widowControl/>
        <w:numPr>
          <w:ilvl w:val="0"/>
          <w:numId w:val="40"/>
        </w:numPr>
        <w:autoSpaceDE/>
        <w:autoSpaceDN/>
        <w:spacing w:line="360" w:lineRule="auto"/>
        <w:jc w:val="both"/>
        <w:rPr>
          <w:b/>
          <w:sz w:val="24"/>
          <w:highlight w:val="none"/>
        </w:rPr>
      </w:pPr>
      <w:r>
        <w:rPr>
          <w:rFonts w:hint="eastAsia"/>
          <w:sz w:val="24"/>
          <w:highlight w:val="none"/>
        </w:rPr>
        <w:t>顺延工期；</w:t>
      </w:r>
    </w:p>
    <w:p w14:paraId="36E4188C">
      <w:pPr>
        <w:widowControl/>
        <w:numPr>
          <w:ilvl w:val="0"/>
          <w:numId w:val="40"/>
        </w:numPr>
        <w:autoSpaceDE/>
        <w:autoSpaceDN/>
        <w:spacing w:line="360" w:lineRule="auto"/>
        <w:jc w:val="both"/>
        <w:rPr>
          <w:b/>
          <w:sz w:val="24"/>
          <w:highlight w:val="none"/>
        </w:rPr>
      </w:pPr>
      <w:r>
        <w:rPr>
          <w:rFonts w:hint="eastAsia"/>
          <w:sz w:val="24"/>
          <w:highlight w:val="none"/>
        </w:rPr>
        <w:t>停工指令；</w:t>
      </w:r>
    </w:p>
    <w:p w14:paraId="16FA9147">
      <w:pPr>
        <w:widowControl/>
        <w:numPr>
          <w:ilvl w:val="0"/>
          <w:numId w:val="40"/>
        </w:numPr>
        <w:autoSpaceDE/>
        <w:autoSpaceDN/>
        <w:spacing w:line="360" w:lineRule="auto"/>
        <w:jc w:val="both"/>
        <w:rPr>
          <w:b/>
          <w:sz w:val="24"/>
          <w:highlight w:val="none"/>
        </w:rPr>
      </w:pPr>
      <w:r>
        <w:rPr>
          <w:rFonts w:hint="eastAsia"/>
          <w:sz w:val="24"/>
          <w:highlight w:val="none"/>
        </w:rPr>
        <w:t>追加合同价款和费用补偿；</w:t>
      </w:r>
    </w:p>
    <w:p w14:paraId="0813DBE2">
      <w:pPr>
        <w:widowControl/>
        <w:numPr>
          <w:ilvl w:val="0"/>
          <w:numId w:val="40"/>
        </w:numPr>
        <w:autoSpaceDE/>
        <w:autoSpaceDN/>
        <w:spacing w:line="360" w:lineRule="auto"/>
        <w:jc w:val="both"/>
        <w:rPr>
          <w:b/>
          <w:sz w:val="24"/>
          <w:highlight w:val="none"/>
        </w:rPr>
      </w:pPr>
      <w:r>
        <w:rPr>
          <w:rFonts w:hint="eastAsia"/>
          <w:sz w:val="24"/>
          <w:highlight w:val="none"/>
        </w:rPr>
        <w:t>施工图的修改；</w:t>
      </w:r>
    </w:p>
    <w:p w14:paraId="1CDCF1E9">
      <w:pPr>
        <w:widowControl/>
        <w:numPr>
          <w:ilvl w:val="0"/>
          <w:numId w:val="40"/>
        </w:numPr>
        <w:autoSpaceDE/>
        <w:autoSpaceDN/>
        <w:spacing w:line="360" w:lineRule="auto"/>
        <w:jc w:val="both"/>
        <w:rPr>
          <w:b/>
          <w:sz w:val="24"/>
          <w:highlight w:val="none"/>
        </w:rPr>
      </w:pPr>
      <w:r>
        <w:rPr>
          <w:rFonts w:hint="eastAsia"/>
          <w:sz w:val="24"/>
          <w:highlight w:val="none"/>
        </w:rPr>
        <w:t>批准对设计或合同规定的材料设备的换用；</w:t>
      </w:r>
    </w:p>
    <w:p w14:paraId="2AB6A03A">
      <w:pPr>
        <w:widowControl/>
        <w:numPr>
          <w:ilvl w:val="0"/>
          <w:numId w:val="40"/>
        </w:numPr>
        <w:autoSpaceDE/>
        <w:autoSpaceDN/>
        <w:spacing w:line="360" w:lineRule="auto"/>
        <w:jc w:val="both"/>
        <w:rPr>
          <w:b/>
          <w:sz w:val="24"/>
          <w:highlight w:val="none"/>
        </w:rPr>
      </w:pPr>
      <w:r>
        <w:rPr>
          <w:rFonts w:hint="eastAsia"/>
          <w:sz w:val="24"/>
          <w:highlight w:val="none"/>
        </w:rPr>
        <w:t>已完工程进度确认；</w:t>
      </w:r>
    </w:p>
    <w:p w14:paraId="53547D80">
      <w:pPr>
        <w:widowControl/>
        <w:numPr>
          <w:ilvl w:val="0"/>
          <w:numId w:val="40"/>
        </w:numPr>
        <w:autoSpaceDE/>
        <w:autoSpaceDN/>
        <w:spacing w:line="360" w:lineRule="auto"/>
        <w:jc w:val="both"/>
        <w:rPr>
          <w:b/>
          <w:sz w:val="24"/>
          <w:highlight w:val="none"/>
        </w:rPr>
      </w:pPr>
      <w:r>
        <w:rPr>
          <w:rFonts w:hint="eastAsia"/>
          <w:sz w:val="24"/>
          <w:highlight w:val="none"/>
        </w:rPr>
        <w:t>重大工程洽商、设计变更、工程签证、索赔文件、结算报告等影响本工程质量、工期、造价和发包人品牌形象的行为。</w:t>
      </w:r>
    </w:p>
    <w:p w14:paraId="1B192497">
      <w:pPr>
        <w:widowControl/>
        <w:spacing w:line="360" w:lineRule="auto"/>
        <w:ind w:firstLine="480" w:firstLineChars="200"/>
        <w:rPr>
          <w:b/>
          <w:sz w:val="24"/>
          <w:highlight w:val="none"/>
        </w:rPr>
      </w:pPr>
      <w:r>
        <w:rPr>
          <w:rFonts w:hint="eastAsia"/>
          <w:sz w:val="24"/>
          <w:highlight w:val="none"/>
        </w:rPr>
        <w:t>5.4发包人派驻的工程师</w:t>
      </w:r>
    </w:p>
    <w:p w14:paraId="2E84BFC5">
      <w:pPr>
        <w:widowControl/>
        <w:spacing w:line="360" w:lineRule="auto"/>
        <w:ind w:firstLine="480" w:firstLineChars="200"/>
        <w:rPr>
          <w:b/>
          <w:sz w:val="24"/>
          <w:highlight w:val="none"/>
          <w:u w:val="single"/>
        </w:rPr>
      </w:pPr>
      <w:r>
        <w:rPr>
          <w:rFonts w:hint="eastAsia"/>
          <w:sz w:val="24"/>
          <w:highlight w:val="none"/>
        </w:rPr>
        <w:t xml:space="preserve">姓名： </w:t>
      </w:r>
      <w:r>
        <w:rPr>
          <w:rFonts w:hint="eastAsia"/>
          <w:sz w:val="24"/>
          <w:highlight w:val="none"/>
          <w:u w:val="single"/>
        </w:rPr>
        <w:t xml:space="preserve">     </w:t>
      </w:r>
      <w:r>
        <w:rPr>
          <w:rFonts w:hint="eastAsia"/>
          <w:sz w:val="24"/>
          <w:highlight w:val="none"/>
        </w:rPr>
        <w:t xml:space="preserve">  职务：   </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p>
    <w:p w14:paraId="48E7F395">
      <w:pPr>
        <w:widowControl/>
        <w:spacing w:line="360" w:lineRule="auto"/>
        <w:ind w:left="502" w:leftChars="228"/>
        <w:rPr>
          <w:b/>
          <w:sz w:val="24"/>
          <w:highlight w:val="none"/>
          <w:u w:val="single"/>
        </w:rPr>
      </w:pPr>
      <w:r>
        <w:rPr>
          <w:rFonts w:hint="eastAsia"/>
          <w:sz w:val="24"/>
          <w:highlight w:val="none"/>
        </w:rPr>
        <w:t>职权：</w:t>
      </w:r>
      <w:r>
        <w:rPr>
          <w:rFonts w:hint="eastAsia"/>
          <w:sz w:val="24"/>
          <w:highlight w:val="none"/>
          <w:u w:val="single"/>
        </w:rPr>
        <w:t>负责施工全过程内、外部关系协调、处理往来文件，对工程进度、质量、造价、结算资料等进行管理。</w:t>
      </w:r>
    </w:p>
    <w:p w14:paraId="46155D02">
      <w:pPr>
        <w:widowControl/>
        <w:spacing w:line="360" w:lineRule="auto"/>
        <w:ind w:firstLine="480" w:firstLineChars="200"/>
        <w:rPr>
          <w:b/>
          <w:sz w:val="24"/>
          <w:highlight w:val="none"/>
          <w:u w:val="single"/>
        </w:rPr>
      </w:pPr>
      <w:r>
        <w:rPr>
          <w:rFonts w:hint="eastAsia"/>
          <w:sz w:val="24"/>
          <w:highlight w:val="none"/>
        </w:rPr>
        <w:t>5.6不实行监理的，工程师的职权：</w:t>
      </w:r>
      <w:r>
        <w:rPr>
          <w:rFonts w:hint="eastAsia"/>
          <w:sz w:val="24"/>
          <w:highlight w:val="none"/>
          <w:u w:val="single"/>
        </w:rPr>
        <w:t xml:space="preserve">               /             </w:t>
      </w:r>
    </w:p>
    <w:p w14:paraId="39612874">
      <w:pPr>
        <w:widowControl/>
        <w:spacing w:line="360" w:lineRule="auto"/>
        <w:ind w:firstLine="480" w:firstLineChars="200"/>
        <w:rPr>
          <w:b/>
          <w:sz w:val="24"/>
          <w:highlight w:val="none"/>
        </w:rPr>
      </w:pPr>
      <w:r>
        <w:rPr>
          <w:rFonts w:hint="eastAsia"/>
          <w:sz w:val="24"/>
          <w:highlight w:val="none"/>
        </w:rPr>
        <w:t>7、项目经理</w:t>
      </w:r>
    </w:p>
    <w:p w14:paraId="380ECD7C">
      <w:pPr>
        <w:widowControl/>
        <w:spacing w:line="360" w:lineRule="auto"/>
        <w:ind w:firstLine="480" w:firstLineChars="200"/>
        <w:rPr>
          <w:b/>
          <w:sz w:val="24"/>
          <w:highlight w:val="none"/>
          <w:u w:val="single"/>
        </w:rPr>
      </w:pPr>
      <w:r>
        <w:rPr>
          <w:rFonts w:hint="eastAsia"/>
          <w:sz w:val="24"/>
          <w:highlight w:val="none"/>
        </w:rPr>
        <w:t xml:space="preserve">姓名：   </w:t>
      </w:r>
      <w:r>
        <w:rPr>
          <w:rFonts w:hint="eastAsia"/>
          <w:sz w:val="24"/>
          <w:highlight w:val="none"/>
          <w:u w:val="single"/>
        </w:rPr>
        <w:t xml:space="preserve">        </w:t>
      </w:r>
      <w:r>
        <w:rPr>
          <w:rFonts w:hint="eastAsia"/>
          <w:sz w:val="24"/>
          <w:highlight w:val="none"/>
        </w:rPr>
        <w:t xml:space="preserve">   职务： </w:t>
      </w:r>
      <w:r>
        <w:rPr>
          <w:rFonts w:hint="eastAsia"/>
          <w:sz w:val="24"/>
          <w:highlight w:val="none"/>
          <w:u w:val="single"/>
        </w:rPr>
        <w:t xml:space="preserve">  项目经理  </w:t>
      </w:r>
    </w:p>
    <w:p w14:paraId="35999674">
      <w:pPr>
        <w:widowControl/>
        <w:spacing w:line="360" w:lineRule="auto"/>
        <w:ind w:firstLine="480" w:firstLineChars="200"/>
        <w:rPr>
          <w:b/>
          <w:sz w:val="24"/>
          <w:highlight w:val="none"/>
        </w:rPr>
      </w:pPr>
      <w:r>
        <w:rPr>
          <w:rFonts w:hint="eastAsia"/>
          <w:sz w:val="24"/>
          <w:highlight w:val="none"/>
        </w:rPr>
        <w:t>其它关键人员：</w:t>
      </w:r>
    </w:p>
    <w:p w14:paraId="15A637CE">
      <w:pPr>
        <w:widowControl/>
        <w:spacing w:line="360" w:lineRule="auto"/>
        <w:ind w:firstLine="480" w:firstLineChars="200"/>
        <w:rPr>
          <w:b/>
          <w:sz w:val="24"/>
          <w:highlight w:val="none"/>
          <w:u w:val="single"/>
        </w:rPr>
      </w:pPr>
      <w:r>
        <w:rPr>
          <w:rFonts w:hint="eastAsia"/>
          <w:sz w:val="24"/>
          <w:highlight w:val="none"/>
        </w:rPr>
        <w:t>姓名：</w:t>
      </w:r>
      <w:r>
        <w:rPr>
          <w:rFonts w:hint="eastAsia"/>
          <w:sz w:val="24"/>
          <w:highlight w:val="none"/>
          <w:u w:val="single"/>
        </w:rPr>
        <w:t xml:space="preserve">      </w:t>
      </w:r>
      <w:r>
        <w:rPr>
          <w:rFonts w:hint="eastAsia"/>
          <w:sz w:val="24"/>
          <w:highlight w:val="none"/>
        </w:rPr>
        <w:t xml:space="preserve">            职务： </w:t>
      </w:r>
      <w:r>
        <w:rPr>
          <w:rFonts w:hint="eastAsia"/>
          <w:sz w:val="24"/>
          <w:highlight w:val="none"/>
          <w:u w:val="single"/>
        </w:rPr>
        <w:t xml:space="preserve"> 技术负责人  </w:t>
      </w:r>
    </w:p>
    <w:p w14:paraId="77AAB594">
      <w:pPr>
        <w:widowControl/>
        <w:spacing w:line="360" w:lineRule="auto"/>
        <w:ind w:firstLine="480" w:firstLineChars="200"/>
        <w:rPr>
          <w:b/>
          <w:sz w:val="24"/>
          <w:highlight w:val="none"/>
        </w:rPr>
      </w:pPr>
      <w:r>
        <w:rPr>
          <w:rFonts w:hint="eastAsia"/>
          <w:sz w:val="24"/>
          <w:highlight w:val="none"/>
        </w:rPr>
        <w:t>附加条款：</w:t>
      </w:r>
    </w:p>
    <w:p w14:paraId="082875C3">
      <w:pPr>
        <w:widowControl/>
        <w:spacing w:line="360" w:lineRule="auto"/>
        <w:ind w:firstLine="480" w:firstLineChars="200"/>
        <w:rPr>
          <w:b/>
          <w:sz w:val="24"/>
          <w:highlight w:val="none"/>
        </w:rPr>
      </w:pPr>
      <w:r>
        <w:rPr>
          <w:rFonts w:hint="eastAsia"/>
          <w:sz w:val="24"/>
          <w:highlight w:val="none"/>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的，由发包人承担由此发生的追加合同价款，相应顺延工期；责任在承包人或第三人的，由承包人承担费用，不顺延工期。</w:t>
      </w:r>
    </w:p>
    <w:p w14:paraId="3BC3ACBB">
      <w:pPr>
        <w:widowControl/>
        <w:spacing w:line="360" w:lineRule="auto"/>
        <w:ind w:firstLine="480" w:firstLineChars="200"/>
        <w:rPr>
          <w:b/>
          <w:sz w:val="24"/>
          <w:highlight w:val="none"/>
        </w:rPr>
      </w:pPr>
      <w:r>
        <w:rPr>
          <w:rFonts w:hint="eastAsia"/>
          <w:sz w:val="24"/>
          <w:highlight w:val="none"/>
        </w:rPr>
        <w:t>7.5承包人未征得发包人同意，不得擅自变更经发包人确定的项目经理、技术负责人、施工负责人。发包人认为该项目经理、技术负责人、施工负责人不称职要求更换时，承包人应予更换。</w:t>
      </w:r>
    </w:p>
    <w:p w14:paraId="13E50889">
      <w:pPr>
        <w:widowControl/>
        <w:spacing w:line="360" w:lineRule="auto"/>
        <w:ind w:firstLine="480" w:firstLineChars="200"/>
        <w:rPr>
          <w:b/>
          <w:sz w:val="24"/>
          <w:highlight w:val="none"/>
          <w:u w:val="single"/>
        </w:rPr>
      </w:pPr>
      <w:r>
        <w:rPr>
          <w:rFonts w:hint="eastAsia"/>
          <w:sz w:val="24"/>
          <w:highlight w:val="none"/>
        </w:rPr>
        <w:t xml:space="preserve">7.6  </w:t>
      </w:r>
      <w:r>
        <w:rPr>
          <w:rFonts w:hint="eastAsia"/>
          <w:sz w:val="24"/>
          <w:highlight w:val="none"/>
          <w:u w:val="single"/>
        </w:rPr>
        <w:t>合同期内，承包人的项目经理必须保证不少于法定工作日数在现场工作。并参加由工程师召集的每周定时举行的工地例会。项目经理离开工地超过一天的，必须事先通知工程师。项目经理在现场工作时间少于法定工作日或不参加工地例会，工程师有权做出扣减承包人管理费的决定，并要求撤换项目经理。</w:t>
      </w:r>
    </w:p>
    <w:p w14:paraId="12394D06">
      <w:pPr>
        <w:widowControl/>
        <w:spacing w:line="360" w:lineRule="auto"/>
        <w:ind w:firstLine="480" w:firstLineChars="200"/>
        <w:rPr>
          <w:b/>
          <w:sz w:val="24"/>
          <w:highlight w:val="none"/>
        </w:rPr>
      </w:pPr>
      <w:r>
        <w:rPr>
          <w:rFonts w:hint="eastAsia"/>
          <w:sz w:val="24"/>
          <w:highlight w:val="none"/>
        </w:rPr>
        <w:t>8、发包人工作</w:t>
      </w:r>
    </w:p>
    <w:p w14:paraId="0C21A4E2">
      <w:pPr>
        <w:widowControl/>
        <w:spacing w:line="360" w:lineRule="auto"/>
        <w:ind w:firstLine="480" w:firstLineChars="200"/>
        <w:rPr>
          <w:b/>
          <w:sz w:val="24"/>
          <w:highlight w:val="none"/>
        </w:rPr>
      </w:pPr>
      <w:r>
        <w:rPr>
          <w:rFonts w:hint="eastAsia"/>
          <w:sz w:val="24"/>
          <w:highlight w:val="none"/>
        </w:rPr>
        <w:t>8.1发包人应按约定的时间和要求完成以下工作：</w:t>
      </w:r>
    </w:p>
    <w:p w14:paraId="2922FD96">
      <w:pPr>
        <w:widowControl/>
        <w:spacing w:line="360" w:lineRule="auto"/>
        <w:ind w:firstLine="480" w:firstLineChars="200"/>
        <w:rPr>
          <w:b/>
          <w:sz w:val="24"/>
          <w:highlight w:val="none"/>
          <w:u w:val="single"/>
        </w:rPr>
      </w:pPr>
      <w:r>
        <w:rPr>
          <w:rFonts w:hint="eastAsia"/>
          <w:sz w:val="24"/>
          <w:highlight w:val="none"/>
        </w:rPr>
        <w:t>（1）施工场地具备施工条件的要求及完成的时间：</w:t>
      </w:r>
      <w:r>
        <w:rPr>
          <w:rFonts w:hint="eastAsia"/>
          <w:sz w:val="24"/>
          <w:highlight w:val="none"/>
          <w:u w:val="single"/>
        </w:rPr>
        <w:t xml:space="preserve">已具备   </w:t>
      </w:r>
    </w:p>
    <w:p w14:paraId="7524BC12">
      <w:pPr>
        <w:widowControl/>
        <w:spacing w:line="360" w:lineRule="auto"/>
        <w:ind w:firstLine="480" w:firstLineChars="200"/>
        <w:rPr>
          <w:b/>
          <w:sz w:val="24"/>
          <w:highlight w:val="none"/>
        </w:rPr>
      </w:pPr>
      <w:r>
        <w:rPr>
          <w:rFonts w:hint="eastAsia"/>
          <w:sz w:val="24"/>
          <w:highlight w:val="none"/>
        </w:rPr>
        <w:t>（2）将施工所需的水、电、电讯线路接至施工场地的时间、地点和供应要求：</w:t>
      </w:r>
    </w:p>
    <w:p w14:paraId="776B4BCD">
      <w:pPr>
        <w:widowControl/>
        <w:spacing w:line="360" w:lineRule="auto"/>
        <w:ind w:firstLine="480" w:firstLineChars="200"/>
        <w:rPr>
          <w:b/>
          <w:sz w:val="24"/>
          <w:highlight w:val="none"/>
          <w:u w:val="single"/>
        </w:rPr>
      </w:pPr>
      <w:r>
        <w:rPr>
          <w:rFonts w:hint="eastAsia"/>
          <w:sz w:val="24"/>
          <w:highlight w:val="none"/>
          <w:u w:val="single"/>
        </w:rPr>
        <w:t>年   月   日前将施工所需的水、电从施工场地外部接至施工现场双方商定地点，并保证满足施工期间的需要。</w:t>
      </w:r>
    </w:p>
    <w:p w14:paraId="7A2465CA">
      <w:pPr>
        <w:widowControl/>
        <w:spacing w:line="360" w:lineRule="auto"/>
        <w:ind w:firstLine="480" w:firstLineChars="200"/>
        <w:rPr>
          <w:b/>
          <w:sz w:val="24"/>
          <w:highlight w:val="none"/>
          <w:u w:val="single"/>
        </w:rPr>
      </w:pPr>
      <w:r>
        <w:rPr>
          <w:rFonts w:hint="eastAsia"/>
          <w:sz w:val="24"/>
          <w:highlight w:val="none"/>
          <w:u w:val="single"/>
        </w:rPr>
        <w:t>其计量和计价方法为：_承包人所用水、电由承包人装表，承包人按表计量按实际费用向有关管理部门自行交费。</w:t>
      </w:r>
    </w:p>
    <w:p w14:paraId="245CDF5C">
      <w:pPr>
        <w:widowControl/>
        <w:spacing w:line="360" w:lineRule="auto"/>
        <w:ind w:firstLine="480" w:firstLineChars="200"/>
        <w:rPr>
          <w:b/>
          <w:sz w:val="24"/>
          <w:highlight w:val="none"/>
          <w:u w:val="single"/>
        </w:rPr>
      </w:pPr>
      <w:r>
        <w:rPr>
          <w:rFonts w:hint="eastAsia"/>
          <w:sz w:val="24"/>
          <w:highlight w:val="none"/>
        </w:rPr>
        <w:t>（3）施工场地与公共道路的通道开通时间和要求：</w:t>
      </w:r>
      <w:r>
        <w:rPr>
          <w:rFonts w:hint="eastAsia"/>
          <w:sz w:val="24"/>
          <w:highlight w:val="none"/>
          <w:u w:val="single"/>
        </w:rPr>
        <w:t xml:space="preserve">        已具备               </w:t>
      </w:r>
    </w:p>
    <w:p w14:paraId="147D5C40">
      <w:pPr>
        <w:widowControl/>
        <w:spacing w:line="360" w:lineRule="auto"/>
        <w:ind w:firstLine="480" w:firstLineChars="200"/>
        <w:rPr>
          <w:b/>
          <w:sz w:val="24"/>
          <w:highlight w:val="none"/>
          <w:u w:val="single"/>
        </w:rPr>
      </w:pPr>
      <w:r>
        <w:rPr>
          <w:rFonts w:hint="eastAsia"/>
          <w:sz w:val="24"/>
          <w:highlight w:val="none"/>
        </w:rPr>
        <w:t>（4）工程地质和地下管线资料的提供时间：</w:t>
      </w:r>
      <w:r>
        <w:rPr>
          <w:rFonts w:hint="eastAsia"/>
          <w:sz w:val="24"/>
          <w:highlight w:val="none"/>
          <w:u w:val="single"/>
        </w:rPr>
        <w:t xml:space="preserve">              开工前                </w:t>
      </w:r>
    </w:p>
    <w:p w14:paraId="6C53659C">
      <w:pPr>
        <w:widowControl/>
        <w:spacing w:line="360" w:lineRule="auto"/>
        <w:ind w:left="502" w:leftChars="228"/>
        <w:rPr>
          <w:b/>
          <w:sz w:val="24"/>
          <w:highlight w:val="none"/>
          <w:u w:val="single"/>
        </w:rPr>
      </w:pPr>
      <w:r>
        <w:rPr>
          <w:rFonts w:hint="eastAsia"/>
          <w:sz w:val="24"/>
          <w:highlight w:val="none"/>
        </w:rPr>
        <w:t>（5）由发包人办理的施工所需证件、批件的名称和完成时间：</w:t>
      </w:r>
      <w:r>
        <w:rPr>
          <w:rFonts w:hint="eastAsia"/>
          <w:sz w:val="24"/>
          <w:highlight w:val="none"/>
          <w:u w:val="single"/>
        </w:rPr>
        <w:t xml:space="preserve">       /        </w:t>
      </w:r>
    </w:p>
    <w:p w14:paraId="4C7F95F7">
      <w:pPr>
        <w:widowControl/>
        <w:spacing w:line="360" w:lineRule="auto"/>
        <w:ind w:firstLine="480" w:firstLineChars="200"/>
        <w:rPr>
          <w:b/>
          <w:sz w:val="24"/>
          <w:highlight w:val="none"/>
          <w:u w:val="single"/>
        </w:rPr>
      </w:pPr>
      <w:r>
        <w:rPr>
          <w:rFonts w:hint="eastAsia"/>
          <w:sz w:val="24"/>
          <w:highlight w:val="none"/>
        </w:rPr>
        <w:t>（6）水准点与座标控制点交验要求：</w:t>
      </w:r>
      <w:r>
        <w:rPr>
          <w:rFonts w:hint="eastAsia"/>
          <w:sz w:val="24"/>
          <w:highlight w:val="none"/>
          <w:u w:val="single"/>
        </w:rPr>
        <w:t xml:space="preserve">  月   日前将水准点与座标点以书面形式交给承包人，并进行现场交验，交验完毕后，即由承包人负责保护，此后由于破坏或失准造成的重新测量、放点费用及由此造成的其他损失均由承包人承担。承包人正式放线后，由发包人负责及时请城建管理部门进行验线 。 </w:t>
      </w:r>
    </w:p>
    <w:p w14:paraId="2760A585">
      <w:pPr>
        <w:widowControl/>
        <w:spacing w:line="360" w:lineRule="auto"/>
        <w:ind w:firstLine="480" w:firstLineChars="200"/>
        <w:rPr>
          <w:b/>
          <w:sz w:val="24"/>
          <w:highlight w:val="none"/>
        </w:rPr>
      </w:pPr>
      <w:r>
        <w:rPr>
          <w:rFonts w:hint="eastAsia"/>
          <w:sz w:val="24"/>
          <w:highlight w:val="none"/>
        </w:rPr>
        <w:t>（7）图纸会审和设计交底时间：开工后及时组织承包人和设计单位进行图纸会审，向承包人进行设计交底，及时签发交底会议纪要。</w:t>
      </w:r>
    </w:p>
    <w:p w14:paraId="3478C7FD">
      <w:pPr>
        <w:widowControl/>
        <w:spacing w:line="360" w:lineRule="auto"/>
        <w:ind w:firstLine="480" w:firstLineChars="200"/>
        <w:rPr>
          <w:b/>
          <w:sz w:val="24"/>
          <w:highlight w:val="none"/>
          <w:u w:val="single"/>
        </w:rPr>
      </w:pPr>
      <w:r>
        <w:rPr>
          <w:rFonts w:hint="eastAsia"/>
          <w:sz w:val="24"/>
          <w:highlight w:val="none"/>
        </w:rPr>
        <w:t>（8）协调处理施工场地周围地下管线和邻近建筑物、构筑物（含文物保护建筑）、古树名木的保护工作，</w:t>
      </w:r>
      <w:r>
        <w:rPr>
          <w:rFonts w:hint="eastAsia"/>
          <w:sz w:val="24"/>
          <w:highlight w:val="none"/>
          <w:u w:val="single"/>
        </w:rPr>
        <w:t>并承担有关费用（承包人未按发包人指令或未按操作规程造成的损失除外）。</w:t>
      </w:r>
    </w:p>
    <w:p w14:paraId="4E8CB37E">
      <w:pPr>
        <w:widowControl/>
        <w:spacing w:line="360" w:lineRule="auto"/>
        <w:ind w:firstLine="480" w:firstLineChars="200"/>
        <w:rPr>
          <w:b/>
          <w:sz w:val="24"/>
          <w:highlight w:val="none"/>
          <w:u w:val="single"/>
        </w:rPr>
      </w:pPr>
      <w:r>
        <w:rPr>
          <w:rFonts w:hint="eastAsia"/>
          <w:sz w:val="24"/>
          <w:highlight w:val="none"/>
        </w:rPr>
        <w:t>（9）双方约定发包人应做的其他工作：</w:t>
      </w:r>
      <w:r>
        <w:rPr>
          <w:rFonts w:hint="eastAsia"/>
          <w:sz w:val="24"/>
          <w:highlight w:val="none"/>
          <w:u w:val="single"/>
        </w:rPr>
        <w:t xml:space="preserve">         无         </w:t>
      </w:r>
    </w:p>
    <w:p w14:paraId="52FB50BF">
      <w:pPr>
        <w:widowControl/>
        <w:spacing w:line="360" w:lineRule="auto"/>
        <w:ind w:firstLine="480" w:firstLineChars="200"/>
        <w:rPr>
          <w:b/>
          <w:sz w:val="24"/>
          <w:highlight w:val="none"/>
          <w:u w:val="single"/>
        </w:rPr>
      </w:pPr>
      <w:r>
        <w:rPr>
          <w:rFonts w:hint="eastAsia"/>
          <w:sz w:val="24"/>
          <w:highlight w:val="none"/>
        </w:rPr>
        <w:t>8.2发包人委托承包人办理的工作：</w:t>
      </w:r>
      <w:r>
        <w:rPr>
          <w:rFonts w:hint="eastAsia"/>
          <w:sz w:val="24"/>
          <w:highlight w:val="none"/>
          <w:u w:val="single"/>
        </w:rPr>
        <w:t xml:space="preserve">             无         </w:t>
      </w:r>
    </w:p>
    <w:p w14:paraId="2FA1062F">
      <w:pPr>
        <w:widowControl/>
        <w:spacing w:line="360" w:lineRule="auto"/>
        <w:ind w:firstLine="480" w:firstLineChars="200"/>
        <w:rPr>
          <w:b/>
          <w:sz w:val="24"/>
          <w:highlight w:val="none"/>
        </w:rPr>
      </w:pPr>
      <w:r>
        <w:rPr>
          <w:rFonts w:hint="eastAsia"/>
          <w:sz w:val="24"/>
          <w:highlight w:val="none"/>
        </w:rPr>
        <w:t>9、承包人工作</w:t>
      </w:r>
    </w:p>
    <w:p w14:paraId="1FB9A8E7">
      <w:pPr>
        <w:widowControl/>
        <w:spacing w:line="360" w:lineRule="auto"/>
        <w:ind w:firstLine="480" w:firstLineChars="200"/>
        <w:rPr>
          <w:b/>
          <w:sz w:val="24"/>
          <w:highlight w:val="none"/>
        </w:rPr>
      </w:pPr>
      <w:r>
        <w:rPr>
          <w:rFonts w:hint="eastAsia"/>
          <w:sz w:val="24"/>
          <w:highlight w:val="none"/>
        </w:rPr>
        <w:t>9.1承包人应按约定时间和要求，完成以下工作：</w:t>
      </w:r>
    </w:p>
    <w:p w14:paraId="48F2BC73">
      <w:pPr>
        <w:widowControl/>
        <w:spacing w:line="360" w:lineRule="auto"/>
        <w:ind w:firstLine="480" w:firstLineChars="200"/>
        <w:rPr>
          <w:b/>
          <w:sz w:val="24"/>
          <w:highlight w:val="none"/>
          <w:u w:val="single"/>
        </w:rPr>
      </w:pPr>
      <w:r>
        <w:rPr>
          <w:rFonts w:hint="eastAsia"/>
          <w:sz w:val="24"/>
          <w:highlight w:val="none"/>
        </w:rPr>
        <w:t>（1）需由设计资质等级和业务范围允许的承包人完成的设计文件提交时间：</w:t>
      </w:r>
    </w:p>
    <w:p w14:paraId="3FC51CDF">
      <w:pPr>
        <w:widowControl/>
        <w:spacing w:line="360" w:lineRule="auto"/>
        <w:ind w:firstLine="480" w:firstLineChars="200"/>
        <w:rPr>
          <w:b/>
          <w:sz w:val="24"/>
          <w:highlight w:val="none"/>
          <w:u w:val="single"/>
        </w:rPr>
      </w:pPr>
      <w:r>
        <w:rPr>
          <w:rFonts w:hint="eastAsia"/>
          <w:sz w:val="24"/>
          <w:highlight w:val="none"/>
          <w:u w:val="single"/>
        </w:rPr>
        <w:t xml:space="preserve">     无       </w:t>
      </w:r>
    </w:p>
    <w:p w14:paraId="72BD3259">
      <w:pPr>
        <w:widowControl/>
        <w:spacing w:line="360" w:lineRule="auto"/>
        <w:ind w:firstLine="480" w:firstLineChars="200"/>
        <w:rPr>
          <w:b/>
          <w:sz w:val="24"/>
          <w:highlight w:val="none"/>
        </w:rPr>
      </w:pPr>
      <w:r>
        <w:rPr>
          <w:rFonts w:hint="eastAsia"/>
          <w:sz w:val="24"/>
          <w:highlight w:val="none"/>
        </w:rPr>
        <w:t>（2）应提供计划、报表的名称及完成时间：</w:t>
      </w:r>
    </w:p>
    <w:p w14:paraId="3CECB775">
      <w:pPr>
        <w:widowControl/>
        <w:spacing w:line="360" w:lineRule="auto"/>
        <w:ind w:left="982" w:leftChars="228" w:hanging="480" w:hangingChars="200"/>
        <w:rPr>
          <w:b/>
          <w:sz w:val="24"/>
          <w:highlight w:val="none"/>
          <w:u w:val="single"/>
        </w:rPr>
      </w:pPr>
      <w:r>
        <w:rPr>
          <w:rFonts w:hint="eastAsia"/>
          <w:sz w:val="24"/>
          <w:highlight w:val="none"/>
        </w:rPr>
        <w:t xml:space="preserve"> a） </w:t>
      </w:r>
      <w:r>
        <w:rPr>
          <w:rFonts w:hint="eastAsia"/>
          <w:sz w:val="24"/>
          <w:highlight w:val="none"/>
          <w:u w:val="single"/>
        </w:rPr>
        <w:t>开工后7天内提交施工组织设计和施工总进度计划，并根据工程进度至少每三个月，或按照工程师的指令进行总进度计划的修订；</w:t>
      </w:r>
    </w:p>
    <w:p w14:paraId="49743F34">
      <w:pPr>
        <w:widowControl/>
        <w:spacing w:line="360" w:lineRule="auto"/>
        <w:ind w:left="982" w:leftChars="228" w:hanging="480" w:hangingChars="200"/>
        <w:rPr>
          <w:b/>
          <w:sz w:val="24"/>
          <w:highlight w:val="none"/>
          <w:u w:val="single"/>
        </w:rPr>
      </w:pPr>
      <w:r>
        <w:rPr>
          <w:rFonts w:hint="eastAsia"/>
          <w:sz w:val="24"/>
          <w:highlight w:val="none"/>
        </w:rPr>
        <w:t xml:space="preserve"> b) </w:t>
      </w:r>
      <w:r>
        <w:rPr>
          <w:rFonts w:hint="eastAsia"/>
          <w:sz w:val="24"/>
          <w:highlight w:val="none"/>
          <w:u w:val="single"/>
        </w:rPr>
        <w:t>每月25日前提交下月详细工程进度计划；</w:t>
      </w:r>
    </w:p>
    <w:p w14:paraId="166E981A">
      <w:pPr>
        <w:widowControl/>
        <w:spacing w:line="360" w:lineRule="auto"/>
        <w:ind w:left="982" w:leftChars="228" w:hanging="480" w:hangingChars="200"/>
        <w:rPr>
          <w:b/>
          <w:sz w:val="24"/>
          <w:highlight w:val="none"/>
        </w:rPr>
      </w:pPr>
      <w:r>
        <w:rPr>
          <w:rFonts w:hint="eastAsia"/>
          <w:sz w:val="24"/>
          <w:highlight w:val="none"/>
        </w:rPr>
        <w:t xml:space="preserve"> c) </w:t>
      </w:r>
      <w:r>
        <w:rPr>
          <w:rFonts w:hint="eastAsia"/>
          <w:sz w:val="24"/>
          <w:highlight w:val="none"/>
          <w:u w:val="single"/>
        </w:rPr>
        <w:t>每月01日申报上月的月进度付款报表；</w:t>
      </w:r>
    </w:p>
    <w:p w14:paraId="5D60A817">
      <w:pPr>
        <w:widowControl/>
        <w:spacing w:line="360" w:lineRule="auto"/>
        <w:ind w:left="982" w:leftChars="228" w:hanging="480" w:hangingChars="200"/>
        <w:rPr>
          <w:b/>
          <w:sz w:val="24"/>
          <w:highlight w:val="none"/>
          <w:u w:val="single"/>
        </w:rPr>
      </w:pPr>
      <w:r>
        <w:rPr>
          <w:rFonts w:hint="eastAsia"/>
          <w:sz w:val="24"/>
          <w:highlight w:val="none"/>
        </w:rPr>
        <w:t xml:space="preserve"> d）</w:t>
      </w:r>
      <w:r>
        <w:rPr>
          <w:rFonts w:hint="eastAsia"/>
          <w:sz w:val="24"/>
          <w:highlight w:val="none"/>
          <w:u w:val="single"/>
        </w:rPr>
        <w:t>提供施工用电、用水计划。</w:t>
      </w:r>
    </w:p>
    <w:p w14:paraId="50DCDA19">
      <w:pPr>
        <w:widowControl/>
        <w:spacing w:line="360" w:lineRule="auto"/>
        <w:ind w:firstLine="480" w:firstLineChars="200"/>
        <w:rPr>
          <w:b/>
          <w:sz w:val="24"/>
          <w:highlight w:val="none"/>
          <w:u w:val="single"/>
        </w:rPr>
      </w:pPr>
      <w:r>
        <w:rPr>
          <w:rFonts w:hint="eastAsia"/>
          <w:sz w:val="24"/>
          <w:highlight w:val="none"/>
        </w:rPr>
        <w:t>（3）承担施工安全保卫工作及非夜间施工照明的责任和要求：</w:t>
      </w:r>
      <w:r>
        <w:rPr>
          <w:rFonts w:hint="eastAsia"/>
          <w:sz w:val="24"/>
          <w:highlight w:val="none"/>
          <w:u w:val="single"/>
        </w:rPr>
        <w:t>承包人负责根据工程需要，提供和维修夜间和非夜间施工使用的照明、围栏设施，负责安全保卫工作。所有费用都已包含在合同协议所确定的合同价款当中。承包人应严格按照《施工现场临时用电安全技术规范》和《建设工程施工现场供用电安全规范》组织施工。相关费用已包含在本合同所确定的合同价款当中。因施工单位未能按照上述规范组织施工，工程师有权根据现场实际情况在工程付款中扣除相关费用，并不予返还。</w:t>
      </w:r>
    </w:p>
    <w:p w14:paraId="48E03EF4">
      <w:pPr>
        <w:widowControl/>
        <w:spacing w:line="360" w:lineRule="auto"/>
        <w:ind w:firstLine="480" w:firstLineChars="200"/>
        <w:rPr>
          <w:b/>
          <w:sz w:val="24"/>
          <w:highlight w:val="none"/>
        </w:rPr>
      </w:pPr>
      <w:r>
        <w:rPr>
          <w:rFonts w:hint="eastAsia"/>
          <w:sz w:val="24"/>
          <w:highlight w:val="none"/>
        </w:rPr>
        <w:t>（4）向发包人提供的办公和生活房屋及设施的要求：_____</w:t>
      </w:r>
      <w:r>
        <w:rPr>
          <w:rFonts w:hint="eastAsia"/>
          <w:sz w:val="24"/>
          <w:highlight w:val="none"/>
          <w:u w:val="single"/>
        </w:rPr>
        <w:t>无</w:t>
      </w:r>
      <w:r>
        <w:rPr>
          <w:rFonts w:hint="eastAsia"/>
          <w:sz w:val="24"/>
          <w:highlight w:val="none"/>
        </w:rPr>
        <w:t>________________</w:t>
      </w:r>
    </w:p>
    <w:p w14:paraId="5D7994F1">
      <w:pPr>
        <w:widowControl/>
        <w:spacing w:line="360" w:lineRule="auto"/>
        <w:ind w:firstLine="480" w:firstLineChars="200"/>
        <w:rPr>
          <w:b/>
          <w:sz w:val="24"/>
          <w:highlight w:val="none"/>
        </w:rPr>
      </w:pPr>
      <w:r>
        <w:rPr>
          <w:rFonts w:hint="eastAsia"/>
          <w:sz w:val="24"/>
          <w:highlight w:val="none"/>
        </w:rPr>
        <w:t>（5）需承包人办理的有关施工场地交通、环卫和施工噪音管理等手续：</w:t>
      </w:r>
      <w:r>
        <w:rPr>
          <w:rFonts w:hint="eastAsia"/>
          <w:sz w:val="24"/>
          <w:highlight w:val="none"/>
          <w:u w:val="single"/>
        </w:rPr>
        <w:t>有关施工场地交通、环卫和施工噪音管理、施工暂住人口登记管理等手续由承包人按照有关政府行政管理规定自行办理，所有费用都已包含在本合同所确定的合同价款当中。</w:t>
      </w:r>
    </w:p>
    <w:p w14:paraId="0F82EC3B">
      <w:pPr>
        <w:widowControl/>
        <w:spacing w:line="360" w:lineRule="auto"/>
        <w:ind w:firstLine="480" w:firstLineChars="200"/>
        <w:rPr>
          <w:b/>
          <w:sz w:val="24"/>
          <w:highlight w:val="none"/>
        </w:rPr>
      </w:pPr>
      <w:r>
        <w:rPr>
          <w:rFonts w:hint="eastAsia"/>
          <w:sz w:val="24"/>
          <w:highlight w:val="none"/>
        </w:rPr>
        <w:t>（6）已完工程成品保护的特殊要求及费用承担：</w:t>
      </w:r>
      <w:r>
        <w:rPr>
          <w:rFonts w:hint="eastAsia"/>
          <w:sz w:val="24"/>
          <w:highlight w:val="none"/>
          <w:u w:val="single"/>
        </w:rPr>
        <w:t>承包人负责进行成品保护，所有费用都已包含在本合同所确定的合同价款当中。</w:t>
      </w:r>
    </w:p>
    <w:p w14:paraId="370FD03C">
      <w:pPr>
        <w:widowControl/>
        <w:spacing w:line="360" w:lineRule="auto"/>
        <w:ind w:left="251" w:leftChars="114" w:firstLine="240" w:firstLineChars="100"/>
        <w:rPr>
          <w:b/>
          <w:sz w:val="24"/>
          <w:highlight w:val="none"/>
          <w:u w:val="single"/>
        </w:rPr>
      </w:pPr>
      <w:r>
        <w:rPr>
          <w:rFonts w:hint="eastAsia"/>
          <w:sz w:val="24"/>
          <w:highlight w:val="none"/>
        </w:rPr>
        <w:t>（7）施工场地周围地下管线和邻近建筑物、构筑物（含文物保护建筑）、古树名木的保护要求及费用承担：</w:t>
      </w:r>
      <w:r>
        <w:rPr>
          <w:rFonts w:hint="eastAsia"/>
          <w:sz w:val="24"/>
          <w:highlight w:val="none"/>
          <w:u w:val="single"/>
        </w:rPr>
        <w:t xml:space="preserve">       无                                  </w:t>
      </w:r>
    </w:p>
    <w:p w14:paraId="6DB6E976">
      <w:pPr>
        <w:widowControl/>
        <w:spacing w:line="360" w:lineRule="auto"/>
        <w:ind w:left="187" w:leftChars="85" w:firstLine="300" w:firstLineChars="125"/>
        <w:rPr>
          <w:b/>
          <w:sz w:val="24"/>
          <w:highlight w:val="none"/>
          <w:u w:val="single"/>
        </w:rPr>
      </w:pPr>
      <w:r>
        <w:rPr>
          <w:rFonts w:hint="eastAsia"/>
          <w:sz w:val="24"/>
          <w:highlight w:val="none"/>
        </w:rPr>
        <w:t>（8）施工场地清洁卫生的要求：</w:t>
      </w:r>
      <w:r>
        <w:rPr>
          <w:rFonts w:hint="eastAsia"/>
          <w:sz w:val="24"/>
          <w:highlight w:val="none"/>
          <w:u w:val="single"/>
        </w:rPr>
        <w:t>保证施工现场清洁符合环境卫生管理的有关规定，交工前清理现场达到建筑物无污染，现场无建筑垃圾；</w:t>
      </w:r>
      <w:r>
        <w:rPr>
          <w:rFonts w:hint="eastAsia"/>
          <w:sz w:val="24"/>
          <w:highlight w:val="none"/>
        </w:rPr>
        <w:t>撤离的设备和剩余的材料承包人应在竣工前撤离施工场地；施工垃圾堆积物承包人应全部清理；</w:t>
      </w:r>
      <w:r>
        <w:rPr>
          <w:rFonts w:hint="eastAsia"/>
          <w:sz w:val="24"/>
          <w:highlight w:val="none"/>
          <w:u w:val="single"/>
        </w:rPr>
        <w:t>相关费用已包含在本合同所确定的合同价款当中。承包人未按要求执行的，发包人有权在进度付款中扣除相关费用，并不予返还。</w:t>
      </w:r>
    </w:p>
    <w:p w14:paraId="4DFB9780">
      <w:pPr>
        <w:pStyle w:val="237"/>
        <w:ind w:left="220" w:leftChars="100" w:firstLine="328" w:firstLineChars="137"/>
        <w:rPr>
          <w:b w:val="0"/>
          <w:bCs/>
          <w:color w:val="000000"/>
          <w:highlight w:val="none"/>
          <w:u w:val="single"/>
        </w:rPr>
      </w:pPr>
      <w:r>
        <w:rPr>
          <w:rFonts w:hint="eastAsia" w:ascii="宋体" w:hAnsi="宋体"/>
          <w:b w:val="0"/>
          <w:bCs/>
          <w:highlight w:val="none"/>
        </w:rPr>
        <w:t>（9）双方约定承包人应做的其他工作：</w:t>
      </w:r>
      <w:r>
        <w:rPr>
          <w:rFonts w:hint="eastAsia"/>
          <w:b w:val="0"/>
          <w:bCs/>
          <w:color w:val="000000"/>
          <w:highlight w:val="none"/>
          <w:u w:val="single"/>
        </w:rPr>
        <w:t>承包人必须根据省、市及所在地相关部门颁发的文明施工规定和国家有关安全施工的各种规范要求，精心组织施工，贯彻“谁施工，谁负责”的原则。由于承包人违反操作规程施工所造成的对工程的影响，由承包人自行负责。则由此而造成发包人的一切损失，经评估后均由承包人承担。本合同所确定的合同价款中已包含了有关的全部费用。承包人未执行的，发包人有权在进度付款中扣除相关费用，并不予返还。</w:t>
      </w:r>
    </w:p>
    <w:p w14:paraId="1DC43990">
      <w:pPr>
        <w:widowControl/>
        <w:spacing w:line="360" w:lineRule="auto"/>
        <w:ind w:firstLine="480" w:firstLineChars="200"/>
        <w:rPr>
          <w:sz w:val="24"/>
          <w:highlight w:val="none"/>
        </w:rPr>
      </w:pPr>
      <w:r>
        <w:rPr>
          <w:rFonts w:hint="eastAsia"/>
          <w:sz w:val="24"/>
          <w:highlight w:val="none"/>
        </w:rPr>
        <w:t>三、施工组织设计和工期</w:t>
      </w:r>
    </w:p>
    <w:p w14:paraId="66316F4A">
      <w:pPr>
        <w:widowControl/>
        <w:spacing w:line="360" w:lineRule="auto"/>
        <w:ind w:firstLine="480" w:firstLineChars="200"/>
        <w:rPr>
          <w:b/>
          <w:sz w:val="24"/>
          <w:highlight w:val="none"/>
        </w:rPr>
      </w:pPr>
      <w:r>
        <w:rPr>
          <w:rFonts w:hint="eastAsia"/>
          <w:sz w:val="24"/>
          <w:highlight w:val="none"/>
        </w:rPr>
        <w:t>10、进度计划</w:t>
      </w:r>
    </w:p>
    <w:p w14:paraId="7A25EDE5">
      <w:pPr>
        <w:widowControl/>
        <w:spacing w:line="360" w:lineRule="auto"/>
        <w:ind w:firstLine="480" w:firstLineChars="200"/>
        <w:rPr>
          <w:b/>
          <w:sz w:val="24"/>
          <w:highlight w:val="none"/>
          <w:u w:val="single"/>
        </w:rPr>
      </w:pPr>
      <w:r>
        <w:rPr>
          <w:rFonts w:hint="eastAsia"/>
          <w:sz w:val="24"/>
          <w:highlight w:val="none"/>
        </w:rPr>
        <w:t>10.1承包人提供施工组织设计（施工方案）和进度计划的时间：</w:t>
      </w:r>
      <w:r>
        <w:rPr>
          <w:rFonts w:hint="eastAsia"/>
          <w:sz w:val="24"/>
          <w:highlight w:val="none"/>
          <w:u w:val="single"/>
        </w:rPr>
        <w:t xml:space="preserve">承包人应在开工后7天内提交施工组织设计和施工总进度计划 。 </w:t>
      </w:r>
    </w:p>
    <w:p w14:paraId="4913E0B1">
      <w:pPr>
        <w:widowControl/>
        <w:spacing w:line="360" w:lineRule="auto"/>
        <w:ind w:firstLine="480" w:firstLineChars="200"/>
        <w:rPr>
          <w:b/>
          <w:sz w:val="24"/>
          <w:highlight w:val="none"/>
          <w:u w:val="single"/>
        </w:rPr>
      </w:pPr>
      <w:r>
        <w:rPr>
          <w:rFonts w:hint="eastAsia"/>
          <w:sz w:val="24"/>
          <w:highlight w:val="none"/>
        </w:rPr>
        <w:t>工程师确认的时间：</w:t>
      </w:r>
      <w:r>
        <w:rPr>
          <w:rFonts w:hint="eastAsia"/>
          <w:sz w:val="24"/>
          <w:highlight w:val="none"/>
          <w:u w:val="single"/>
        </w:rPr>
        <w:t xml:space="preserve"> 接到后7天内。</w:t>
      </w:r>
    </w:p>
    <w:p w14:paraId="6904B64A">
      <w:pPr>
        <w:widowControl/>
        <w:spacing w:line="360" w:lineRule="auto"/>
        <w:ind w:firstLine="480" w:firstLineChars="200"/>
        <w:rPr>
          <w:b/>
          <w:sz w:val="24"/>
          <w:highlight w:val="none"/>
        </w:rPr>
      </w:pPr>
      <w:r>
        <w:rPr>
          <w:rFonts w:hint="eastAsia"/>
          <w:sz w:val="24"/>
          <w:highlight w:val="none"/>
        </w:rPr>
        <w:t>10.2群体工程中有关进度计划的要求：</w:t>
      </w:r>
      <w:r>
        <w:rPr>
          <w:rFonts w:hint="eastAsia"/>
          <w:sz w:val="24"/>
          <w:highlight w:val="none"/>
          <w:u w:val="single"/>
        </w:rPr>
        <w:t xml:space="preserve">         /        </w:t>
      </w:r>
    </w:p>
    <w:p w14:paraId="3E417ED8">
      <w:pPr>
        <w:widowControl/>
        <w:spacing w:line="360" w:lineRule="auto"/>
        <w:ind w:firstLine="480" w:firstLineChars="200"/>
        <w:rPr>
          <w:b/>
          <w:sz w:val="24"/>
          <w:highlight w:val="none"/>
        </w:rPr>
      </w:pPr>
      <w:r>
        <w:rPr>
          <w:rFonts w:hint="eastAsia"/>
          <w:sz w:val="24"/>
          <w:highlight w:val="none"/>
        </w:rPr>
        <w:t>13、工期延误</w:t>
      </w:r>
    </w:p>
    <w:p w14:paraId="32617F1C">
      <w:pPr>
        <w:widowControl/>
        <w:spacing w:line="360" w:lineRule="auto"/>
        <w:ind w:firstLine="480" w:firstLineChars="200"/>
        <w:rPr>
          <w:b/>
          <w:sz w:val="24"/>
          <w:highlight w:val="none"/>
        </w:rPr>
      </w:pPr>
      <w:r>
        <w:rPr>
          <w:rFonts w:hint="eastAsia"/>
          <w:sz w:val="24"/>
          <w:highlight w:val="none"/>
        </w:rPr>
        <w:t>13.1双方约定工期顺延的其他情况：</w:t>
      </w:r>
    </w:p>
    <w:p w14:paraId="6CBD75FA">
      <w:pPr>
        <w:widowControl/>
        <w:spacing w:line="360" w:lineRule="auto"/>
        <w:ind w:firstLine="480" w:firstLineChars="200"/>
        <w:rPr>
          <w:b/>
          <w:sz w:val="24"/>
          <w:highlight w:val="none"/>
        </w:rPr>
      </w:pPr>
      <w:r>
        <w:rPr>
          <w:rFonts w:hint="eastAsia"/>
          <w:sz w:val="24"/>
          <w:highlight w:val="none"/>
        </w:rPr>
        <w:t>（1）施工中遇到不可预见障碍物或古墓、文物、流沙需处理时；</w:t>
      </w:r>
    </w:p>
    <w:p w14:paraId="7738397E">
      <w:pPr>
        <w:widowControl/>
        <w:spacing w:line="360" w:lineRule="auto"/>
        <w:ind w:firstLine="480" w:firstLineChars="200"/>
        <w:rPr>
          <w:b/>
          <w:sz w:val="24"/>
          <w:highlight w:val="none"/>
        </w:rPr>
      </w:pPr>
      <w:r>
        <w:rPr>
          <w:rFonts w:hint="eastAsia"/>
          <w:sz w:val="24"/>
          <w:highlight w:val="none"/>
        </w:rPr>
        <w:t>（2）工程按国家政策停建缓建；</w:t>
      </w:r>
    </w:p>
    <w:p w14:paraId="60C96CDA">
      <w:pPr>
        <w:widowControl/>
        <w:spacing w:line="360" w:lineRule="auto"/>
        <w:ind w:firstLine="480" w:firstLineChars="200"/>
        <w:rPr>
          <w:b/>
          <w:sz w:val="24"/>
          <w:highlight w:val="none"/>
        </w:rPr>
      </w:pPr>
      <w:r>
        <w:rPr>
          <w:rFonts w:hint="eastAsia"/>
          <w:sz w:val="24"/>
          <w:highlight w:val="none"/>
        </w:rPr>
        <w:t>13.2承包人在本合同专用条款13.1约定情况发生后7天内，以书面工程签证单的形式报监理和发包人审核确认后工期顺延。</w:t>
      </w:r>
    </w:p>
    <w:p w14:paraId="3FEB2702">
      <w:pPr>
        <w:widowControl/>
        <w:spacing w:line="360" w:lineRule="auto"/>
        <w:ind w:firstLine="480" w:firstLineChars="200"/>
        <w:rPr>
          <w:b/>
          <w:sz w:val="24"/>
          <w:highlight w:val="none"/>
        </w:rPr>
      </w:pPr>
      <w:r>
        <w:rPr>
          <w:rFonts w:hint="eastAsia"/>
          <w:sz w:val="24"/>
          <w:highlight w:val="none"/>
        </w:rPr>
        <w:t>14、工程竣工</w:t>
      </w:r>
    </w:p>
    <w:p w14:paraId="533CC378">
      <w:pPr>
        <w:widowControl/>
        <w:spacing w:line="360" w:lineRule="auto"/>
        <w:ind w:firstLine="480" w:firstLineChars="200"/>
        <w:rPr>
          <w:b/>
          <w:sz w:val="24"/>
          <w:highlight w:val="none"/>
        </w:rPr>
      </w:pPr>
      <w:r>
        <w:rPr>
          <w:rFonts w:hint="eastAsia"/>
          <w:sz w:val="24"/>
          <w:highlight w:val="none"/>
        </w:rPr>
        <w:t>14.2 除本合同专用条款第13.1约定的情况及发包人原因外，承包人工程阶段性进度目标和竣工日期拖延，工期目标难以实现的，发包人有权通知承包人解除合同。</w:t>
      </w:r>
    </w:p>
    <w:p w14:paraId="5F8A4806">
      <w:pPr>
        <w:widowControl/>
        <w:spacing w:line="360" w:lineRule="auto"/>
        <w:ind w:firstLine="480" w:firstLineChars="200"/>
        <w:rPr>
          <w:sz w:val="24"/>
          <w:highlight w:val="none"/>
        </w:rPr>
      </w:pPr>
      <w:r>
        <w:rPr>
          <w:rFonts w:hint="eastAsia"/>
          <w:sz w:val="24"/>
          <w:highlight w:val="none"/>
        </w:rPr>
        <w:t>四、质量与检验</w:t>
      </w:r>
    </w:p>
    <w:p w14:paraId="5FD9FA9F">
      <w:pPr>
        <w:widowControl/>
        <w:spacing w:line="360" w:lineRule="auto"/>
        <w:ind w:firstLine="480" w:firstLineChars="200"/>
        <w:rPr>
          <w:b/>
          <w:sz w:val="24"/>
          <w:highlight w:val="none"/>
        </w:rPr>
      </w:pPr>
      <w:r>
        <w:rPr>
          <w:rFonts w:hint="eastAsia"/>
          <w:sz w:val="24"/>
          <w:highlight w:val="none"/>
        </w:rPr>
        <w:t>17、隐蔽工程和中间验收</w:t>
      </w:r>
    </w:p>
    <w:p w14:paraId="36FCD193">
      <w:pPr>
        <w:widowControl/>
        <w:spacing w:line="360" w:lineRule="auto"/>
        <w:ind w:firstLine="480" w:firstLineChars="200"/>
        <w:rPr>
          <w:b/>
          <w:color w:val="000000"/>
          <w:sz w:val="24"/>
          <w:highlight w:val="none"/>
        </w:rPr>
      </w:pPr>
      <w:r>
        <w:rPr>
          <w:rFonts w:hint="eastAsia"/>
          <w:sz w:val="24"/>
          <w:highlight w:val="none"/>
        </w:rPr>
        <w:t>17.1</w:t>
      </w:r>
      <w:r>
        <w:rPr>
          <w:rFonts w:hint="eastAsia"/>
          <w:color w:val="000000"/>
          <w:sz w:val="24"/>
          <w:highlight w:val="none"/>
        </w:rPr>
        <w:t>双方约定中间验收部位：</w:t>
      </w:r>
      <w:r>
        <w:rPr>
          <w:rFonts w:hint="eastAsia"/>
          <w:color w:val="000000"/>
          <w:sz w:val="24"/>
          <w:highlight w:val="none"/>
          <w:u w:val="single"/>
        </w:rPr>
        <w:t xml:space="preserve">_       /_         </w:t>
      </w:r>
    </w:p>
    <w:p w14:paraId="15F25629">
      <w:pPr>
        <w:widowControl/>
        <w:spacing w:line="360" w:lineRule="auto"/>
        <w:ind w:firstLine="480" w:firstLineChars="200"/>
        <w:rPr>
          <w:b/>
          <w:sz w:val="24"/>
          <w:highlight w:val="none"/>
        </w:rPr>
      </w:pPr>
      <w:r>
        <w:rPr>
          <w:rFonts w:hint="eastAsia"/>
          <w:sz w:val="24"/>
          <w:highlight w:val="none"/>
        </w:rPr>
        <w:t>19、工程试车</w:t>
      </w:r>
    </w:p>
    <w:p w14:paraId="6BD95E52">
      <w:pPr>
        <w:widowControl/>
        <w:spacing w:line="360" w:lineRule="auto"/>
        <w:ind w:firstLine="480" w:firstLineChars="200"/>
        <w:rPr>
          <w:b/>
          <w:sz w:val="24"/>
          <w:highlight w:val="none"/>
          <w:u w:val="single"/>
        </w:rPr>
      </w:pPr>
      <w:r>
        <w:rPr>
          <w:rFonts w:hint="eastAsia"/>
          <w:sz w:val="24"/>
          <w:highlight w:val="none"/>
        </w:rPr>
        <w:t>19.5试车费用的承担：</w:t>
      </w:r>
      <w:r>
        <w:rPr>
          <w:rFonts w:hint="eastAsia"/>
          <w:sz w:val="24"/>
          <w:highlight w:val="none"/>
          <w:u w:val="single"/>
        </w:rPr>
        <w:t>除已包含在合同价款内的，由发包人承担。</w:t>
      </w:r>
    </w:p>
    <w:p w14:paraId="3FE30DA1">
      <w:pPr>
        <w:widowControl/>
        <w:spacing w:line="360" w:lineRule="auto"/>
        <w:ind w:firstLine="480" w:firstLineChars="200"/>
        <w:rPr>
          <w:sz w:val="24"/>
          <w:highlight w:val="none"/>
        </w:rPr>
      </w:pPr>
      <w:r>
        <w:rPr>
          <w:rFonts w:hint="eastAsia"/>
          <w:sz w:val="24"/>
          <w:highlight w:val="none"/>
        </w:rPr>
        <w:t>五、安全防护、文明施工</w:t>
      </w:r>
    </w:p>
    <w:p w14:paraId="567F21CA">
      <w:pPr>
        <w:widowControl/>
        <w:spacing w:line="360" w:lineRule="auto"/>
        <w:ind w:firstLine="480" w:firstLineChars="200"/>
        <w:rPr>
          <w:b/>
          <w:sz w:val="24"/>
          <w:highlight w:val="none"/>
        </w:rPr>
      </w:pPr>
      <w:r>
        <w:rPr>
          <w:rFonts w:hint="eastAsia"/>
          <w:sz w:val="24"/>
          <w:highlight w:val="none"/>
        </w:rPr>
        <w:t>21、安全防护</w:t>
      </w:r>
    </w:p>
    <w:p w14:paraId="26DD9A48">
      <w:pPr>
        <w:widowControl/>
        <w:spacing w:line="360" w:lineRule="auto"/>
        <w:ind w:firstLine="480" w:firstLineChars="200"/>
        <w:rPr>
          <w:b/>
          <w:sz w:val="24"/>
          <w:highlight w:val="none"/>
        </w:rPr>
      </w:pPr>
      <w:r>
        <w:rPr>
          <w:rFonts w:hint="eastAsia"/>
          <w:sz w:val="24"/>
          <w:highlight w:val="none"/>
        </w:rPr>
        <w:t>承包人按照国家和当地政府有关规定应采取的任何必要安全防护措施已包含在本合同价款当中，发包人不另行支付。</w:t>
      </w:r>
    </w:p>
    <w:p w14:paraId="0834CB25">
      <w:pPr>
        <w:widowControl/>
        <w:spacing w:line="360" w:lineRule="auto"/>
        <w:ind w:firstLine="480" w:firstLineChars="200"/>
        <w:rPr>
          <w:sz w:val="24"/>
          <w:highlight w:val="none"/>
        </w:rPr>
      </w:pPr>
      <w:r>
        <w:rPr>
          <w:rFonts w:hint="eastAsia"/>
          <w:sz w:val="24"/>
          <w:highlight w:val="none"/>
        </w:rPr>
        <w:t>六、合同价款</w:t>
      </w:r>
    </w:p>
    <w:p w14:paraId="2FA5B8FE">
      <w:pPr>
        <w:widowControl/>
        <w:spacing w:line="360" w:lineRule="auto"/>
        <w:ind w:firstLine="480" w:firstLineChars="200"/>
        <w:rPr>
          <w:b/>
          <w:sz w:val="24"/>
          <w:highlight w:val="none"/>
        </w:rPr>
      </w:pPr>
      <w:r>
        <w:rPr>
          <w:rFonts w:hint="eastAsia"/>
          <w:sz w:val="24"/>
          <w:highlight w:val="none"/>
        </w:rPr>
        <w:t>26、合同价款约定</w:t>
      </w:r>
    </w:p>
    <w:p w14:paraId="598E120B">
      <w:pPr>
        <w:widowControl/>
        <w:spacing w:line="360" w:lineRule="auto"/>
        <w:ind w:firstLine="480" w:firstLineChars="200"/>
        <w:rPr>
          <w:b/>
          <w:sz w:val="24"/>
          <w:highlight w:val="none"/>
        </w:rPr>
      </w:pPr>
      <w:r>
        <w:rPr>
          <w:sz w:val="24"/>
          <w:highlight w:val="none"/>
        </w:rPr>
        <w:t>26.2本合同价款采用  （2）固定综合单价 方式确定。</w:t>
      </w:r>
    </w:p>
    <w:p w14:paraId="79E71AA0">
      <w:pPr>
        <w:widowControl/>
        <w:spacing w:line="360" w:lineRule="auto"/>
        <w:ind w:firstLine="480" w:firstLineChars="200"/>
        <w:rPr>
          <w:b/>
          <w:sz w:val="24"/>
          <w:highlight w:val="none"/>
        </w:rPr>
      </w:pPr>
      <w:r>
        <w:rPr>
          <w:rFonts w:hint="eastAsia"/>
          <w:sz w:val="24"/>
          <w:highlight w:val="none"/>
        </w:rPr>
        <w:t>（</w:t>
      </w:r>
      <w:r>
        <w:rPr>
          <w:sz w:val="24"/>
          <w:highlight w:val="none"/>
        </w:rPr>
        <w:t>1）采用固定总价合同；</w:t>
      </w:r>
    </w:p>
    <w:p w14:paraId="4D9E7C9A">
      <w:pPr>
        <w:widowControl/>
        <w:spacing w:line="360" w:lineRule="auto"/>
        <w:ind w:firstLine="480" w:firstLineChars="200"/>
        <w:rPr>
          <w:b/>
          <w:sz w:val="24"/>
          <w:highlight w:val="none"/>
        </w:rPr>
      </w:pPr>
      <w:r>
        <w:rPr>
          <w:rFonts w:hint="eastAsia"/>
          <w:sz w:val="24"/>
          <w:highlight w:val="none"/>
        </w:rPr>
        <w:t>（</w:t>
      </w:r>
      <w:r>
        <w:rPr>
          <w:sz w:val="24"/>
          <w:highlight w:val="none"/>
        </w:rPr>
        <w:t>2）采用固定综合单价合同，综合单价中包括的风险范围：</w:t>
      </w:r>
    </w:p>
    <w:p w14:paraId="045D67D6">
      <w:pPr>
        <w:widowControl/>
        <w:spacing w:line="360" w:lineRule="auto"/>
        <w:ind w:firstLine="480" w:firstLineChars="200"/>
        <w:rPr>
          <w:b/>
          <w:sz w:val="24"/>
          <w:highlight w:val="none"/>
        </w:rPr>
      </w:pPr>
      <w:r>
        <w:rPr>
          <w:sz w:val="24"/>
          <w:highlight w:val="none"/>
          <w:u w:val="single"/>
        </w:rPr>
        <w:t>除不可抗力因素（包括战争、动乱、空中飞行物体坠落、造成灾害性影响的地震或其他非发包人承包人责任造成的爆炸）、现场签证、工程量清单漏项、由于设计变更引起的新的工程量清单及因国家政策性文件导致合同价款变化的情况外，其他风险均属于本合同范围以内的风险由承包人承担</w:t>
      </w:r>
      <w:r>
        <w:rPr>
          <w:sz w:val="24"/>
          <w:highlight w:val="none"/>
        </w:rPr>
        <w:t>。</w:t>
      </w:r>
    </w:p>
    <w:p w14:paraId="40DAC68E">
      <w:pPr>
        <w:widowControl/>
        <w:spacing w:line="360" w:lineRule="auto"/>
        <w:ind w:firstLine="480" w:firstLineChars="200"/>
        <w:rPr>
          <w:b/>
          <w:sz w:val="24"/>
          <w:highlight w:val="none"/>
        </w:rPr>
      </w:pPr>
      <w:r>
        <w:rPr>
          <w:rFonts w:hint="eastAsia"/>
          <w:sz w:val="24"/>
          <w:highlight w:val="none"/>
        </w:rPr>
        <w:t>风险范围以外综合单价调整方法：</w:t>
      </w:r>
    </w:p>
    <w:p w14:paraId="03CDEEA2">
      <w:pPr>
        <w:widowControl/>
        <w:spacing w:line="360" w:lineRule="auto"/>
        <w:ind w:firstLine="480" w:firstLineChars="200"/>
        <w:rPr>
          <w:b/>
          <w:sz w:val="24"/>
          <w:highlight w:val="none"/>
          <w:u w:val="single"/>
        </w:rPr>
      </w:pPr>
      <w:r>
        <w:rPr>
          <w:rFonts w:hint="eastAsia"/>
          <w:sz w:val="24"/>
          <w:highlight w:val="none"/>
          <w:u w:val="single"/>
        </w:rPr>
        <w:t>①按照合同通用条款第</w:t>
      </w:r>
      <w:r>
        <w:rPr>
          <w:sz w:val="24"/>
          <w:highlight w:val="none"/>
          <w:u w:val="single"/>
        </w:rPr>
        <w:t>43.3款确定的办法执行。</w:t>
      </w:r>
    </w:p>
    <w:p w14:paraId="6E557869">
      <w:pPr>
        <w:widowControl/>
        <w:spacing w:line="360" w:lineRule="auto"/>
        <w:ind w:firstLine="480" w:firstLineChars="200"/>
        <w:rPr>
          <w:b/>
          <w:sz w:val="24"/>
          <w:highlight w:val="none"/>
          <w:u w:val="single"/>
        </w:rPr>
      </w:pPr>
      <w:r>
        <w:rPr>
          <w:rFonts w:hint="eastAsia"/>
          <w:sz w:val="24"/>
          <w:highlight w:val="none"/>
          <w:u w:val="single"/>
        </w:rPr>
        <w:t>②按照招标文件、答疑资料、设计变更、现场签证、洽商文件、发包人确认价单及承包人中标综合单价、合同补充条款约定进行调整。</w:t>
      </w:r>
      <w:r>
        <w:rPr>
          <w:sz w:val="24"/>
          <w:highlight w:val="none"/>
          <w:u w:val="single"/>
        </w:rPr>
        <w:t xml:space="preserve"> </w:t>
      </w:r>
    </w:p>
    <w:p w14:paraId="135DC210">
      <w:pPr>
        <w:widowControl/>
        <w:spacing w:line="360" w:lineRule="auto"/>
        <w:ind w:firstLine="480" w:firstLineChars="200"/>
        <w:rPr>
          <w:b/>
          <w:sz w:val="24"/>
          <w:highlight w:val="none"/>
          <w:u w:val="single"/>
        </w:rPr>
      </w:pPr>
      <w:r>
        <w:rPr>
          <w:rFonts w:hint="eastAsia"/>
          <w:sz w:val="24"/>
          <w:highlight w:val="none"/>
          <w:u w:val="single"/>
        </w:rPr>
        <w:t>③设计变更引起工程量清单的工程数量增减，工程量变化在</w:t>
      </w:r>
      <w:r>
        <w:rPr>
          <w:sz w:val="24"/>
          <w:highlight w:val="none"/>
          <w:u w:val="single"/>
        </w:rPr>
        <w:t>15%以内（含15%）执行原有的综合单价，超过15%的，其增加部分的工程量或减少后剩余部分的工程量的综合单价，由承包人提出，经发包人确认后，作为结算依据。</w:t>
      </w:r>
    </w:p>
    <w:p w14:paraId="2B3C07CE">
      <w:pPr>
        <w:widowControl/>
        <w:spacing w:line="360" w:lineRule="auto"/>
        <w:ind w:firstLine="480" w:firstLineChars="200"/>
        <w:rPr>
          <w:b/>
          <w:sz w:val="24"/>
          <w:highlight w:val="none"/>
          <w:u w:val="single"/>
        </w:rPr>
      </w:pPr>
      <w:r>
        <w:rPr>
          <w:rFonts w:hint="eastAsia"/>
          <w:sz w:val="24"/>
          <w:highlight w:val="none"/>
          <w:u w:val="single"/>
        </w:rPr>
        <w:t>④因国家政策性文件导致合同价款变化，由发包人和承包人共同协商。</w:t>
      </w:r>
    </w:p>
    <w:p w14:paraId="55251C07">
      <w:pPr>
        <w:widowControl/>
        <w:spacing w:line="360" w:lineRule="auto"/>
        <w:ind w:firstLine="360" w:firstLineChars="150"/>
        <w:rPr>
          <w:b/>
          <w:sz w:val="24"/>
          <w:highlight w:val="none"/>
          <w:u w:val="single"/>
        </w:rPr>
      </w:pPr>
      <w:r>
        <w:rPr>
          <w:rFonts w:hint="eastAsia"/>
          <w:sz w:val="24"/>
          <w:highlight w:val="none"/>
        </w:rPr>
        <w:t>（3）采用可调价格合同，合同价款调整方法：</w:t>
      </w:r>
      <w:r>
        <w:rPr>
          <w:rFonts w:hint="eastAsia"/>
          <w:sz w:val="24"/>
          <w:highlight w:val="none"/>
          <w:u w:val="single"/>
        </w:rPr>
        <w:t xml:space="preserve">    无    </w:t>
      </w:r>
    </w:p>
    <w:p w14:paraId="341CEC60">
      <w:pPr>
        <w:widowControl/>
        <w:spacing w:line="360" w:lineRule="auto"/>
        <w:ind w:firstLine="480" w:firstLineChars="200"/>
        <w:rPr>
          <w:b/>
          <w:sz w:val="24"/>
          <w:highlight w:val="none"/>
        </w:rPr>
      </w:pPr>
      <w:r>
        <w:rPr>
          <w:rFonts w:hint="eastAsia"/>
          <w:sz w:val="24"/>
          <w:highlight w:val="none"/>
        </w:rPr>
        <w:t>27、合同价款调整</w:t>
      </w:r>
    </w:p>
    <w:p w14:paraId="5392DEC7">
      <w:pPr>
        <w:widowControl/>
        <w:spacing w:line="360" w:lineRule="auto"/>
        <w:ind w:firstLine="480" w:firstLineChars="200"/>
        <w:rPr>
          <w:b/>
          <w:sz w:val="24"/>
          <w:highlight w:val="none"/>
        </w:rPr>
      </w:pPr>
      <w:r>
        <w:rPr>
          <w:rFonts w:hint="eastAsia"/>
          <w:sz w:val="24"/>
          <w:highlight w:val="none"/>
        </w:rPr>
        <w:t>27.1双方约定合同价款的其他调整因素：</w:t>
      </w:r>
    </w:p>
    <w:p w14:paraId="7123D54D">
      <w:pPr>
        <w:widowControl/>
        <w:spacing w:line="360" w:lineRule="auto"/>
        <w:ind w:left="502" w:leftChars="228" w:firstLine="480" w:firstLineChars="200"/>
        <w:rPr>
          <w:b/>
          <w:sz w:val="24"/>
          <w:highlight w:val="none"/>
          <w:u w:val="single"/>
        </w:rPr>
      </w:pPr>
      <w:r>
        <w:rPr>
          <w:rFonts w:hint="eastAsia"/>
          <w:sz w:val="24"/>
          <w:highlight w:val="none"/>
          <w:u w:val="single"/>
        </w:rPr>
        <w:t>承包人中标后6</w:t>
      </w:r>
      <w:r>
        <w:rPr>
          <w:sz w:val="24"/>
          <w:highlight w:val="none"/>
          <w:u w:val="single"/>
        </w:rPr>
        <w:t>0日</w:t>
      </w:r>
      <w:r>
        <w:rPr>
          <w:rFonts w:hint="eastAsia"/>
          <w:sz w:val="24"/>
          <w:highlight w:val="none"/>
          <w:u w:val="single"/>
        </w:rPr>
        <w:t>内，发包人将与承包人核对清单工程量，工程量按实调整，综合单价不变。</w:t>
      </w:r>
    </w:p>
    <w:p w14:paraId="587C845E">
      <w:pPr>
        <w:widowControl/>
        <w:spacing w:line="360" w:lineRule="auto"/>
        <w:ind w:firstLine="480" w:firstLineChars="200"/>
        <w:rPr>
          <w:b/>
          <w:color w:val="000000"/>
          <w:sz w:val="24"/>
          <w:highlight w:val="none"/>
          <w:u w:val="single"/>
        </w:rPr>
      </w:pPr>
      <w:r>
        <w:rPr>
          <w:rFonts w:hint="eastAsia"/>
          <w:color w:val="000000"/>
          <w:sz w:val="24"/>
          <w:highlight w:val="none"/>
        </w:rPr>
        <w:t xml:space="preserve">28、工程预付款  </w:t>
      </w:r>
    </w:p>
    <w:p w14:paraId="61A11A07">
      <w:pPr>
        <w:widowControl/>
        <w:spacing w:line="360" w:lineRule="auto"/>
        <w:ind w:firstLine="480" w:firstLineChars="200"/>
        <w:rPr>
          <w:b/>
          <w:sz w:val="24"/>
          <w:highlight w:val="none"/>
          <w:u w:val="single"/>
        </w:rPr>
      </w:pPr>
      <w:r>
        <w:rPr>
          <w:rFonts w:hint="eastAsia"/>
          <w:sz w:val="24"/>
          <w:highlight w:val="none"/>
        </w:rPr>
        <w:t>发包人向承包人预付工程款的时间和金额或占合同价款总额的比例：</w:t>
      </w:r>
      <w:r>
        <w:rPr>
          <w:rFonts w:hint="eastAsia"/>
          <w:sz w:val="24"/>
          <w:highlight w:val="none"/>
          <w:u w:val="single"/>
        </w:rPr>
        <w:t>在发、承包人双方合同签订一个月内预付工程款，比例为合同价款的</w:t>
      </w:r>
      <w:r>
        <w:rPr>
          <w:rFonts w:hint="eastAsia"/>
          <w:sz w:val="24"/>
          <w:highlight w:val="none"/>
          <w:u w:val="single"/>
          <w:lang w:val="en-US" w:eastAsia="zh-CN"/>
        </w:rPr>
        <w:t>40</w:t>
      </w:r>
      <w:r>
        <w:rPr>
          <w:rFonts w:hint="eastAsia"/>
          <w:sz w:val="24"/>
          <w:highlight w:val="none"/>
          <w:u w:val="single"/>
        </w:rPr>
        <w:t xml:space="preserve">﹪。   </w:t>
      </w:r>
    </w:p>
    <w:p w14:paraId="015371E3">
      <w:pPr>
        <w:widowControl/>
        <w:spacing w:line="360" w:lineRule="auto"/>
        <w:ind w:firstLine="480" w:firstLineChars="200"/>
        <w:rPr>
          <w:b/>
          <w:sz w:val="24"/>
          <w:highlight w:val="none"/>
          <w:u w:val="single"/>
        </w:rPr>
      </w:pPr>
      <w:r>
        <w:rPr>
          <w:rFonts w:hint="eastAsia"/>
          <w:sz w:val="24"/>
          <w:highlight w:val="none"/>
        </w:rPr>
        <w:t>预付安全防护、文明施工措施费用的比例和时间：</w:t>
      </w:r>
      <w:r>
        <w:rPr>
          <w:rFonts w:hint="eastAsia"/>
          <w:sz w:val="24"/>
          <w:highlight w:val="none"/>
          <w:u w:val="single"/>
        </w:rPr>
        <w:t>在发、承包人双方合同签订一个月内预付全部安全防护、文明施工措施费用。</w:t>
      </w:r>
    </w:p>
    <w:p w14:paraId="0B0F91A8">
      <w:pPr>
        <w:widowControl/>
        <w:spacing w:line="360" w:lineRule="auto"/>
        <w:ind w:firstLine="480" w:firstLineChars="200"/>
        <w:rPr>
          <w:b/>
          <w:sz w:val="24"/>
          <w:highlight w:val="none"/>
        </w:rPr>
      </w:pPr>
      <w:r>
        <w:rPr>
          <w:rFonts w:hint="eastAsia"/>
          <w:sz w:val="24"/>
          <w:highlight w:val="none"/>
        </w:rPr>
        <w:t>29、工程量确认</w:t>
      </w:r>
    </w:p>
    <w:p w14:paraId="210356AF">
      <w:pPr>
        <w:widowControl/>
        <w:spacing w:line="360" w:lineRule="auto"/>
        <w:ind w:left="251" w:leftChars="114" w:firstLine="240" w:firstLineChars="100"/>
        <w:rPr>
          <w:b/>
          <w:sz w:val="24"/>
          <w:highlight w:val="none"/>
          <w:u w:val="single"/>
        </w:rPr>
      </w:pPr>
      <w:r>
        <w:rPr>
          <w:rFonts w:hint="eastAsia"/>
          <w:sz w:val="24"/>
          <w:highlight w:val="none"/>
        </w:rPr>
        <w:t>29.1承包人向工程师提交已完工程量报告的时间：</w:t>
      </w:r>
      <w:r>
        <w:rPr>
          <w:rFonts w:hint="eastAsia"/>
          <w:sz w:val="24"/>
          <w:highlight w:val="none"/>
          <w:u w:val="single"/>
        </w:rPr>
        <w:t>每月1日申报上月已完合格工程量和月进度付款报表。发包人在次月1日前</w:t>
      </w:r>
      <w:r>
        <w:rPr>
          <w:rFonts w:hint="eastAsia"/>
          <w:sz w:val="24"/>
          <w:highlight w:val="none"/>
        </w:rPr>
        <w:t>对已完工程量进行核实，并</w:t>
      </w:r>
      <w:r>
        <w:rPr>
          <w:rFonts w:hint="eastAsia"/>
          <w:sz w:val="24"/>
          <w:highlight w:val="none"/>
          <w:u w:val="single"/>
        </w:rPr>
        <w:t>批复付款凭证。竣工结算工程量在竣工报告后28天内由承包人上报发包人。</w:t>
      </w:r>
    </w:p>
    <w:p w14:paraId="009AEAD8">
      <w:pPr>
        <w:widowControl/>
        <w:spacing w:line="360" w:lineRule="auto"/>
        <w:ind w:left="251" w:leftChars="114" w:firstLine="240" w:firstLineChars="100"/>
        <w:rPr>
          <w:b/>
          <w:sz w:val="24"/>
          <w:highlight w:val="none"/>
        </w:rPr>
      </w:pPr>
      <w:r>
        <w:rPr>
          <w:rFonts w:hint="eastAsia"/>
          <w:sz w:val="24"/>
          <w:highlight w:val="none"/>
        </w:rPr>
        <w:t>29.2进度过程中发包人确认的已完工程量，仅作为支付工程进度款的控制依据，不作为工程竣工结算工程量计量的依据，最终结算工程量以验收合格，并经发包人审核确认的工程量为准。</w:t>
      </w:r>
    </w:p>
    <w:p w14:paraId="0CD32000">
      <w:pPr>
        <w:spacing w:after="240" w:afterLines="100"/>
        <w:ind w:left="220" w:leftChars="100" w:firstLine="240" w:firstLineChars="100"/>
        <w:rPr>
          <w:b/>
          <w:color w:val="000000"/>
          <w:sz w:val="24"/>
          <w:highlight w:val="none"/>
        </w:rPr>
      </w:pPr>
      <w:r>
        <w:rPr>
          <w:rFonts w:hint="eastAsia"/>
          <w:sz w:val="24"/>
          <w:highlight w:val="none"/>
        </w:rPr>
        <w:t>29.4（补充条款）</w:t>
      </w:r>
      <w:r>
        <w:rPr>
          <w:rFonts w:hint="eastAsia"/>
          <w:color w:val="000000"/>
          <w:sz w:val="24"/>
          <w:highlight w:val="none"/>
        </w:rPr>
        <w:t>本合同规定采用工程签证计量因工程变更或下列原因增减的工程量或费用。工程签证的适用范围：</w:t>
      </w:r>
    </w:p>
    <w:p w14:paraId="7AA7DAE1">
      <w:pPr>
        <w:numPr>
          <w:ilvl w:val="0"/>
          <w:numId w:val="0"/>
        </w:numPr>
        <w:autoSpaceDE/>
        <w:autoSpaceDN/>
        <w:spacing w:after="240" w:afterLines="100"/>
        <w:ind w:left="1247" w:leftChars="0"/>
        <w:jc w:val="both"/>
        <w:rPr>
          <w:b/>
          <w:color w:val="000000"/>
          <w:sz w:val="24"/>
          <w:highlight w:val="none"/>
        </w:rPr>
      </w:pPr>
      <w:r>
        <w:rPr>
          <w:rFonts w:hint="eastAsia"/>
          <w:color w:val="000000"/>
          <w:sz w:val="24"/>
          <w:highlight w:val="none"/>
          <w:lang w:val="en-US" w:eastAsia="zh-CN"/>
        </w:rPr>
        <w:t>1</w:t>
      </w:r>
      <w:r>
        <w:rPr>
          <w:rFonts w:hint="eastAsia"/>
          <w:color w:val="000000"/>
          <w:sz w:val="24"/>
          <w:highlight w:val="none"/>
          <w:lang w:eastAsia="zh-CN"/>
        </w:rPr>
        <w:t>）</w:t>
      </w:r>
      <w:r>
        <w:rPr>
          <w:rFonts w:hint="eastAsia"/>
          <w:color w:val="000000"/>
          <w:sz w:val="24"/>
          <w:highlight w:val="none"/>
        </w:rPr>
        <w:t>按照合同规定需现场计量确定的工程量；</w:t>
      </w:r>
    </w:p>
    <w:p w14:paraId="484E3944">
      <w:pPr>
        <w:spacing w:after="240" w:afterLines="100"/>
        <w:ind w:left="1247"/>
        <w:rPr>
          <w:b/>
          <w:color w:val="000000"/>
          <w:sz w:val="24"/>
          <w:highlight w:val="none"/>
        </w:rPr>
      </w:pPr>
      <w:r>
        <w:rPr>
          <w:color w:val="000000"/>
          <w:sz w:val="24"/>
          <w:highlight w:val="none"/>
        </w:rPr>
        <w:t>2</w:t>
      </w:r>
      <w:r>
        <w:rPr>
          <w:rFonts w:hint="eastAsia"/>
          <w:color w:val="000000"/>
          <w:sz w:val="24"/>
          <w:highlight w:val="none"/>
        </w:rPr>
        <w:t>）因设计变更增加的或减少的工程量；</w:t>
      </w:r>
    </w:p>
    <w:p w14:paraId="3A41F98A">
      <w:pPr>
        <w:spacing w:after="240" w:afterLines="100"/>
        <w:ind w:left="1247"/>
        <w:rPr>
          <w:b/>
          <w:color w:val="000000"/>
          <w:sz w:val="24"/>
          <w:highlight w:val="none"/>
        </w:rPr>
      </w:pPr>
      <w:r>
        <w:rPr>
          <w:color w:val="000000"/>
          <w:sz w:val="24"/>
          <w:highlight w:val="none"/>
        </w:rPr>
        <w:t>3</w:t>
      </w:r>
      <w:r>
        <w:rPr>
          <w:rFonts w:hint="eastAsia"/>
          <w:color w:val="000000"/>
          <w:sz w:val="24"/>
          <w:highlight w:val="none"/>
        </w:rPr>
        <w:t>）现场指令增加的合同范围以外工作量；</w:t>
      </w:r>
    </w:p>
    <w:p w14:paraId="318C3530">
      <w:pPr>
        <w:spacing w:after="240" w:afterLines="100"/>
        <w:ind w:left="1247"/>
        <w:rPr>
          <w:b/>
          <w:color w:val="000000"/>
          <w:sz w:val="24"/>
          <w:highlight w:val="none"/>
        </w:rPr>
      </w:pPr>
      <w:r>
        <w:rPr>
          <w:color w:val="000000"/>
          <w:sz w:val="24"/>
          <w:highlight w:val="none"/>
        </w:rPr>
        <w:t>4</w:t>
      </w:r>
      <w:r>
        <w:rPr>
          <w:rFonts w:hint="eastAsia"/>
          <w:color w:val="000000"/>
          <w:sz w:val="24"/>
          <w:highlight w:val="none"/>
        </w:rPr>
        <w:t>）根据合同规定应由建设方补偿的费用；</w:t>
      </w:r>
    </w:p>
    <w:p w14:paraId="3183E97D">
      <w:pPr>
        <w:spacing w:after="240" w:afterLines="100"/>
        <w:ind w:left="1247"/>
        <w:rPr>
          <w:b/>
          <w:color w:val="000000"/>
          <w:sz w:val="24"/>
          <w:highlight w:val="none"/>
        </w:rPr>
      </w:pPr>
      <w:r>
        <w:rPr>
          <w:color w:val="000000"/>
          <w:sz w:val="24"/>
          <w:highlight w:val="none"/>
        </w:rPr>
        <w:t>5</w:t>
      </w:r>
      <w:r>
        <w:rPr>
          <w:rFonts w:hint="eastAsia"/>
          <w:color w:val="000000"/>
          <w:sz w:val="24"/>
          <w:highlight w:val="none"/>
        </w:rPr>
        <w:t>）因施工单位未能承担其合同义务，转由第三方单位实施的工作；</w:t>
      </w:r>
    </w:p>
    <w:p w14:paraId="0738A667">
      <w:pPr>
        <w:spacing w:after="240" w:afterLines="100"/>
        <w:ind w:left="1247"/>
        <w:rPr>
          <w:b/>
          <w:color w:val="000000"/>
          <w:sz w:val="24"/>
          <w:highlight w:val="none"/>
        </w:rPr>
      </w:pPr>
      <w:r>
        <w:rPr>
          <w:color w:val="000000"/>
          <w:sz w:val="24"/>
          <w:highlight w:val="none"/>
        </w:rPr>
        <w:t>6</w:t>
      </w:r>
      <w:r>
        <w:rPr>
          <w:rFonts w:hint="eastAsia"/>
          <w:color w:val="000000"/>
          <w:sz w:val="24"/>
          <w:highlight w:val="none"/>
        </w:rPr>
        <w:t>）因施工单位违约应扣除的费用等。</w:t>
      </w:r>
    </w:p>
    <w:p w14:paraId="0FC2DF52">
      <w:pPr>
        <w:spacing w:after="240" w:afterLines="100"/>
        <w:ind w:firstLine="480" w:firstLineChars="200"/>
        <w:rPr>
          <w:b/>
          <w:color w:val="000000"/>
          <w:sz w:val="24"/>
          <w:highlight w:val="none"/>
        </w:rPr>
      </w:pPr>
      <w:r>
        <w:rPr>
          <w:color w:val="000000"/>
          <w:sz w:val="24"/>
          <w:highlight w:val="none"/>
        </w:rPr>
        <w:t xml:space="preserve">29.5 </w:t>
      </w:r>
      <w:r>
        <w:rPr>
          <w:rFonts w:hint="eastAsia"/>
          <w:color w:val="000000"/>
          <w:sz w:val="24"/>
          <w:highlight w:val="none"/>
        </w:rPr>
        <w:t>（补充条款）：工程签证的审批应具备以下依据之一：</w:t>
      </w:r>
    </w:p>
    <w:p w14:paraId="1F774D81">
      <w:pPr>
        <w:spacing w:after="240" w:afterLines="100"/>
        <w:ind w:left="1247"/>
        <w:rPr>
          <w:b/>
          <w:color w:val="000000"/>
          <w:sz w:val="24"/>
          <w:highlight w:val="none"/>
        </w:rPr>
      </w:pPr>
      <w:r>
        <w:rPr>
          <w:color w:val="000000"/>
          <w:sz w:val="24"/>
          <w:highlight w:val="none"/>
        </w:rPr>
        <w:t>1</w:t>
      </w:r>
      <w:r>
        <w:rPr>
          <w:rFonts w:hint="eastAsia"/>
          <w:color w:val="000000"/>
          <w:sz w:val="24"/>
          <w:highlight w:val="none"/>
        </w:rPr>
        <w:t>）设计变更通知单；</w:t>
      </w:r>
    </w:p>
    <w:p w14:paraId="19494E81">
      <w:pPr>
        <w:spacing w:after="240" w:afterLines="100"/>
        <w:ind w:left="1247"/>
        <w:rPr>
          <w:rFonts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发包人确认的工地例会纪要；</w:t>
      </w:r>
    </w:p>
    <w:p w14:paraId="0380270A">
      <w:pPr>
        <w:spacing w:after="240" w:afterLines="100"/>
        <w:ind w:left="1247"/>
        <w:rPr>
          <w:rFonts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监理单位在授权范围内发布并甲方现场工程师签字确认的书面指令；</w:t>
      </w:r>
    </w:p>
    <w:p w14:paraId="32E5E710">
      <w:pPr>
        <w:spacing w:after="240" w:afterLines="100"/>
        <w:ind w:left="1247"/>
        <w:rPr>
          <w:rFonts w:ascii="宋体" w:hAnsi="宋体" w:eastAsia="宋体" w:cs="宋体"/>
          <w:color w:val="000000"/>
          <w:sz w:val="24"/>
          <w:highlight w:val="none"/>
        </w:rPr>
      </w:pP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发包人批复的施工单位、监理单位书面报告；</w:t>
      </w:r>
    </w:p>
    <w:p w14:paraId="10472579">
      <w:pPr>
        <w:spacing w:after="240" w:afterLines="100"/>
        <w:ind w:left="1247"/>
        <w:rPr>
          <w:rFonts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监理单位在授权范围内批复并甲方现场工程师签字确认的施工单位书面报告；</w:t>
      </w:r>
    </w:p>
    <w:p w14:paraId="17CE05C1">
      <w:pPr>
        <w:spacing w:after="240" w:afterLines="100"/>
        <w:ind w:left="1247"/>
        <w:rPr>
          <w:rFonts w:ascii="宋体" w:hAnsi="宋体" w:eastAsia="宋体" w:cs="宋体"/>
          <w:color w:val="000000"/>
          <w:sz w:val="24"/>
          <w:highlight w:val="none"/>
        </w:rPr>
      </w:pP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涉及工程签证内容的合同有关条款或设计要求；</w:t>
      </w:r>
    </w:p>
    <w:p w14:paraId="480A5246">
      <w:pPr>
        <w:spacing w:after="240" w:afterLines="100"/>
        <w:ind w:left="1247"/>
        <w:rPr>
          <w:b/>
          <w:color w:val="000000"/>
          <w:sz w:val="24"/>
          <w:highlight w:val="none"/>
        </w:rPr>
      </w:pPr>
      <w:r>
        <w:rPr>
          <w:rFonts w:hint="eastAsia" w:ascii="宋体" w:hAnsi="宋体" w:eastAsia="宋体" w:cs="宋体"/>
          <w:color w:val="000000"/>
          <w:sz w:val="24"/>
          <w:highlight w:val="none"/>
          <w:lang w:val="en-US" w:eastAsia="zh-CN"/>
        </w:rPr>
        <w:t>7</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索赔事件的其他有效证据。</w:t>
      </w:r>
    </w:p>
    <w:p w14:paraId="5BD17502">
      <w:pPr>
        <w:spacing w:line="360" w:lineRule="auto"/>
        <w:ind w:firstLine="480" w:firstLineChars="200"/>
        <w:rPr>
          <w:b/>
          <w:color w:val="000000"/>
          <w:sz w:val="24"/>
          <w:highlight w:val="none"/>
        </w:rPr>
      </w:pPr>
      <w:r>
        <w:rPr>
          <w:color w:val="000000"/>
          <w:sz w:val="24"/>
          <w:highlight w:val="none"/>
        </w:rPr>
        <w:t xml:space="preserve">29.6 </w:t>
      </w:r>
      <w:r>
        <w:rPr>
          <w:rFonts w:hint="eastAsia"/>
          <w:color w:val="000000"/>
          <w:sz w:val="24"/>
          <w:highlight w:val="none"/>
        </w:rPr>
        <w:t>（补充条款）：承包人申报工程签证应在不超过签证事件完结后的</w:t>
      </w:r>
      <w:r>
        <w:rPr>
          <w:color w:val="000000"/>
          <w:sz w:val="24"/>
          <w:highlight w:val="none"/>
        </w:rPr>
        <w:t>28</w:t>
      </w:r>
      <w:r>
        <w:rPr>
          <w:rFonts w:hint="eastAsia"/>
          <w:color w:val="000000"/>
          <w:sz w:val="24"/>
          <w:highlight w:val="none"/>
        </w:rPr>
        <w:t>天。超过此期限或在此期限内没有可据核查的有力证据的工程签证，发包人或会同工程师，可根据自己的记录决定拒绝接受或有限接受。持续时间超过</w:t>
      </w:r>
      <w:r>
        <w:rPr>
          <w:color w:val="000000"/>
          <w:sz w:val="24"/>
          <w:highlight w:val="none"/>
        </w:rPr>
        <w:t>28</w:t>
      </w:r>
      <w:r>
        <w:rPr>
          <w:rFonts w:hint="eastAsia"/>
          <w:color w:val="000000"/>
          <w:sz w:val="24"/>
          <w:highlight w:val="none"/>
        </w:rPr>
        <w:t>天的签证事件，应每月报送工程签证，直至签证事件结束。</w:t>
      </w:r>
    </w:p>
    <w:p w14:paraId="3E862023">
      <w:pPr>
        <w:spacing w:line="360" w:lineRule="auto"/>
        <w:ind w:firstLine="720" w:firstLineChars="300"/>
        <w:rPr>
          <w:b/>
          <w:color w:val="000000"/>
          <w:sz w:val="24"/>
          <w:highlight w:val="none"/>
        </w:rPr>
      </w:pPr>
      <w:r>
        <w:rPr>
          <w:rFonts w:hint="eastAsia"/>
          <w:color w:val="000000"/>
          <w:sz w:val="24"/>
          <w:highlight w:val="none"/>
        </w:rPr>
        <w:t>签证事件完结后，超过</w:t>
      </w:r>
      <w:r>
        <w:rPr>
          <w:color w:val="000000"/>
          <w:sz w:val="24"/>
          <w:highlight w:val="none"/>
        </w:rPr>
        <w:t>28</w:t>
      </w:r>
      <w:r>
        <w:rPr>
          <w:rFonts w:hint="eastAsia"/>
          <w:color w:val="000000"/>
          <w:sz w:val="24"/>
          <w:highlight w:val="none"/>
        </w:rPr>
        <w:t>天未申报的，发包人有权拒绝接受。</w:t>
      </w:r>
    </w:p>
    <w:p w14:paraId="5EFA5D9B">
      <w:pPr>
        <w:spacing w:line="360" w:lineRule="auto"/>
        <w:ind w:firstLine="480" w:firstLineChars="200"/>
        <w:rPr>
          <w:b/>
          <w:color w:val="000000"/>
          <w:sz w:val="24"/>
          <w:highlight w:val="none"/>
        </w:rPr>
      </w:pPr>
      <w:r>
        <w:rPr>
          <w:rFonts w:hint="eastAsia"/>
          <w:color w:val="000000"/>
          <w:sz w:val="24"/>
          <w:highlight w:val="none"/>
        </w:rPr>
        <w:t>工程师将在接到完整工程签证申报后的</w:t>
      </w:r>
      <w:r>
        <w:rPr>
          <w:color w:val="000000"/>
          <w:sz w:val="24"/>
          <w:highlight w:val="none"/>
        </w:rPr>
        <w:t>7</w:t>
      </w:r>
      <w:r>
        <w:rPr>
          <w:rFonts w:hint="eastAsia"/>
          <w:color w:val="000000"/>
          <w:sz w:val="24"/>
          <w:highlight w:val="none"/>
        </w:rPr>
        <w:t>日内，根据自己的独立记录，完成对签证事件的核查，根据事实与合同规定，决定是否拒签或报发包人。</w:t>
      </w:r>
    </w:p>
    <w:p w14:paraId="3ABC3BE0">
      <w:pPr>
        <w:spacing w:line="360" w:lineRule="auto"/>
        <w:ind w:firstLine="720" w:firstLineChars="300"/>
        <w:rPr>
          <w:b/>
          <w:color w:val="000000"/>
          <w:sz w:val="24"/>
          <w:highlight w:val="none"/>
        </w:rPr>
      </w:pPr>
      <w:r>
        <w:rPr>
          <w:rFonts w:hint="eastAsia"/>
          <w:color w:val="000000"/>
          <w:sz w:val="24"/>
          <w:highlight w:val="none"/>
        </w:rPr>
        <w:t>发包人应在28日内完成对工程签证的复查和审批。</w:t>
      </w:r>
    </w:p>
    <w:p w14:paraId="4F4CAA2B">
      <w:pPr>
        <w:widowControl/>
        <w:spacing w:line="360" w:lineRule="auto"/>
        <w:ind w:firstLine="480" w:firstLineChars="200"/>
        <w:rPr>
          <w:b/>
          <w:color w:val="000000"/>
          <w:sz w:val="24"/>
          <w:highlight w:val="none"/>
        </w:rPr>
      </w:pPr>
      <w:r>
        <w:rPr>
          <w:rFonts w:hint="eastAsia"/>
          <w:color w:val="000000"/>
          <w:sz w:val="24"/>
          <w:highlight w:val="none"/>
        </w:rPr>
        <w:t>30、工程进度款结算与支付</w:t>
      </w:r>
    </w:p>
    <w:p w14:paraId="09141271">
      <w:pPr>
        <w:widowControl/>
        <w:spacing w:line="360" w:lineRule="auto"/>
        <w:ind w:left="251" w:leftChars="114" w:firstLine="480" w:firstLineChars="200"/>
        <w:rPr>
          <w:b/>
          <w:sz w:val="24"/>
          <w:highlight w:val="none"/>
          <w:u w:val="single"/>
        </w:rPr>
      </w:pPr>
      <w:r>
        <w:rPr>
          <w:rFonts w:hint="eastAsia" w:ascii="Times New Roman" w:hAnsi="Times New Roman"/>
          <w:color w:val="000000"/>
          <w:sz w:val="24"/>
          <w:szCs w:val="20"/>
          <w:highlight w:val="none"/>
        </w:rPr>
        <w:t>双方约定的工程进度款支付的方式、时间和比例是：</w:t>
      </w:r>
      <w:r>
        <w:rPr>
          <w:rFonts w:hint="eastAsia" w:ascii="Times New Roman" w:hAnsi="Times New Roman"/>
          <w:color w:val="000000"/>
          <w:sz w:val="24"/>
          <w:szCs w:val="20"/>
          <w:highlight w:val="none"/>
          <w:u w:val="single"/>
          <w:lang w:val="en-US" w:eastAsia="zh-CN"/>
        </w:rPr>
        <w:t>工程</w:t>
      </w:r>
      <w:r>
        <w:rPr>
          <w:rFonts w:hint="eastAsia"/>
          <w:sz w:val="24"/>
          <w:highlight w:val="none"/>
          <w:u w:val="single"/>
          <w:lang w:val="en-US" w:eastAsia="zh-CN"/>
        </w:rPr>
        <w:t>完工后付款至合同价款的70%；工程竣工验收合格后付至合同价款的100%</w:t>
      </w:r>
      <w:r>
        <w:rPr>
          <w:rFonts w:hint="eastAsia"/>
          <w:sz w:val="24"/>
          <w:highlight w:val="none"/>
          <w:u w:val="single"/>
        </w:rPr>
        <w:t xml:space="preserve"> 。</w:t>
      </w:r>
    </w:p>
    <w:p w14:paraId="23A9775F">
      <w:pPr>
        <w:widowControl/>
        <w:spacing w:line="360" w:lineRule="auto"/>
        <w:ind w:left="251" w:leftChars="114" w:firstLine="480" w:firstLineChars="200"/>
        <w:rPr>
          <w:b/>
          <w:sz w:val="24"/>
          <w:highlight w:val="none"/>
          <w:u w:val="single"/>
        </w:rPr>
      </w:pPr>
      <w:r>
        <w:rPr>
          <w:rFonts w:hint="eastAsia"/>
          <w:sz w:val="24"/>
          <w:highlight w:val="none"/>
          <w:u w:val="single"/>
        </w:rPr>
        <w:t>每次付款前，乙方需按照甲方审定的进度工作量开具全额的增值税专用发票（税率按国家相关规定执行），工程竣工验收合格且决算完成后开具剩余全额的增值税专用发票，否则甲方有权拒绝付款。</w:t>
      </w:r>
    </w:p>
    <w:p w14:paraId="7E236E9C">
      <w:pPr>
        <w:widowControl/>
        <w:spacing w:line="360" w:lineRule="auto"/>
        <w:ind w:left="251" w:leftChars="114" w:firstLine="480" w:firstLineChars="200"/>
        <w:rPr>
          <w:sz w:val="24"/>
          <w:highlight w:val="none"/>
        </w:rPr>
      </w:pPr>
      <w:r>
        <w:rPr>
          <w:rFonts w:hint="eastAsia"/>
          <w:sz w:val="24"/>
          <w:highlight w:val="none"/>
        </w:rPr>
        <w:t>七、材料设备供应</w:t>
      </w:r>
    </w:p>
    <w:p w14:paraId="5E134B9C">
      <w:pPr>
        <w:widowControl/>
        <w:spacing w:line="360" w:lineRule="auto"/>
        <w:ind w:firstLine="480" w:firstLineChars="200"/>
        <w:rPr>
          <w:b/>
          <w:sz w:val="24"/>
          <w:highlight w:val="none"/>
        </w:rPr>
      </w:pPr>
      <w:r>
        <w:rPr>
          <w:rFonts w:hint="eastAsia"/>
          <w:sz w:val="24"/>
          <w:highlight w:val="none"/>
        </w:rPr>
        <w:t>31、发包人供应材料设备</w:t>
      </w:r>
    </w:p>
    <w:p w14:paraId="1671A003">
      <w:pPr>
        <w:widowControl/>
        <w:spacing w:line="360" w:lineRule="auto"/>
        <w:ind w:firstLine="480" w:firstLineChars="200"/>
        <w:rPr>
          <w:b/>
          <w:sz w:val="24"/>
          <w:highlight w:val="none"/>
        </w:rPr>
      </w:pPr>
      <w:r>
        <w:rPr>
          <w:rFonts w:hint="eastAsia"/>
          <w:sz w:val="24"/>
          <w:highlight w:val="none"/>
        </w:rPr>
        <w:t>31.4发包人供应的材料设备与一览表不符时，双方约定发包人承担责任如下：</w:t>
      </w:r>
    </w:p>
    <w:p w14:paraId="3CD09117">
      <w:pPr>
        <w:widowControl/>
        <w:spacing w:line="360" w:lineRule="auto"/>
        <w:ind w:firstLine="480" w:firstLineChars="200"/>
        <w:rPr>
          <w:b/>
          <w:sz w:val="24"/>
          <w:highlight w:val="none"/>
        </w:rPr>
      </w:pPr>
      <w:r>
        <w:rPr>
          <w:rFonts w:hint="eastAsia"/>
          <w:sz w:val="24"/>
          <w:highlight w:val="none"/>
        </w:rPr>
        <w:t>（1）材料设备单价与一览表不符：__________________</w:t>
      </w:r>
      <w:r>
        <w:rPr>
          <w:rFonts w:hint="eastAsia"/>
          <w:sz w:val="24"/>
          <w:highlight w:val="none"/>
          <w:u w:val="single"/>
        </w:rPr>
        <w:t>/</w:t>
      </w:r>
      <w:r>
        <w:rPr>
          <w:rFonts w:hint="eastAsia"/>
          <w:sz w:val="24"/>
          <w:highlight w:val="none"/>
        </w:rPr>
        <w:t>____</w:t>
      </w:r>
      <w:r>
        <w:rPr>
          <w:rFonts w:hint="eastAsia"/>
          <w:sz w:val="24"/>
          <w:highlight w:val="none"/>
          <w:u w:val="single"/>
        </w:rPr>
        <w:t xml:space="preserve">                </w:t>
      </w:r>
    </w:p>
    <w:p w14:paraId="78580DC8">
      <w:pPr>
        <w:widowControl/>
        <w:spacing w:line="360" w:lineRule="auto"/>
        <w:ind w:firstLine="480" w:firstLineChars="200"/>
        <w:rPr>
          <w:b/>
          <w:sz w:val="24"/>
          <w:highlight w:val="none"/>
          <w:u w:val="single"/>
        </w:rPr>
      </w:pPr>
      <w:r>
        <w:rPr>
          <w:rFonts w:hint="eastAsia"/>
          <w:sz w:val="24"/>
          <w:highlight w:val="none"/>
        </w:rPr>
        <w:t>（2）材料设备的品种、规格、型号、质量等级与一览表不符：</w:t>
      </w:r>
      <w:r>
        <w:rPr>
          <w:rFonts w:hint="eastAsia"/>
          <w:sz w:val="24"/>
          <w:highlight w:val="none"/>
          <w:u w:val="single"/>
        </w:rPr>
        <w:t xml:space="preserve">      /                    </w:t>
      </w:r>
    </w:p>
    <w:p w14:paraId="1BE01CE8">
      <w:pPr>
        <w:widowControl/>
        <w:spacing w:line="360" w:lineRule="auto"/>
        <w:ind w:firstLine="480" w:firstLineChars="200"/>
        <w:rPr>
          <w:b/>
          <w:sz w:val="24"/>
          <w:highlight w:val="none"/>
          <w:u w:val="single"/>
        </w:rPr>
      </w:pPr>
      <w:r>
        <w:rPr>
          <w:rFonts w:hint="eastAsia"/>
          <w:sz w:val="24"/>
          <w:highlight w:val="none"/>
        </w:rPr>
        <w:t>（3）承包人可代为调剂串换的材料：</w:t>
      </w:r>
      <w:r>
        <w:rPr>
          <w:rFonts w:hint="eastAsia"/>
          <w:sz w:val="24"/>
          <w:highlight w:val="none"/>
          <w:u w:val="single"/>
        </w:rPr>
        <w:t xml:space="preserve">                 /                   </w:t>
      </w:r>
    </w:p>
    <w:p w14:paraId="0954A25F">
      <w:pPr>
        <w:widowControl/>
        <w:spacing w:line="360" w:lineRule="auto"/>
        <w:ind w:firstLine="480" w:firstLineChars="200"/>
        <w:rPr>
          <w:b/>
          <w:sz w:val="24"/>
          <w:highlight w:val="none"/>
          <w:u w:val="single"/>
        </w:rPr>
      </w:pPr>
      <w:r>
        <w:rPr>
          <w:rFonts w:hint="eastAsia"/>
          <w:sz w:val="24"/>
          <w:highlight w:val="none"/>
        </w:rPr>
        <w:t>（4）到货地点与一览表不符：</w:t>
      </w:r>
      <w:r>
        <w:rPr>
          <w:rFonts w:hint="eastAsia"/>
          <w:sz w:val="24"/>
          <w:highlight w:val="none"/>
          <w:u w:val="single"/>
        </w:rPr>
        <w:t xml:space="preserve">                     /                         </w:t>
      </w:r>
    </w:p>
    <w:p w14:paraId="37160215">
      <w:pPr>
        <w:widowControl/>
        <w:spacing w:line="360" w:lineRule="auto"/>
        <w:ind w:firstLine="480" w:firstLineChars="200"/>
        <w:rPr>
          <w:b/>
          <w:sz w:val="24"/>
          <w:highlight w:val="none"/>
          <w:u w:val="single"/>
        </w:rPr>
      </w:pPr>
      <w:r>
        <w:rPr>
          <w:rFonts w:hint="eastAsia"/>
          <w:sz w:val="24"/>
          <w:highlight w:val="none"/>
        </w:rPr>
        <w:t>（5）供应数量与一览表不符：</w:t>
      </w:r>
      <w:r>
        <w:rPr>
          <w:rFonts w:hint="eastAsia"/>
          <w:sz w:val="24"/>
          <w:highlight w:val="none"/>
          <w:u w:val="single"/>
        </w:rPr>
        <w:t xml:space="preserve">                     /                    </w:t>
      </w:r>
    </w:p>
    <w:p w14:paraId="021F61CE">
      <w:pPr>
        <w:widowControl/>
        <w:spacing w:line="360" w:lineRule="auto"/>
        <w:ind w:firstLine="480" w:firstLineChars="200"/>
        <w:rPr>
          <w:b/>
          <w:sz w:val="24"/>
          <w:highlight w:val="none"/>
          <w:u w:val="single"/>
        </w:rPr>
      </w:pPr>
      <w:r>
        <w:rPr>
          <w:rFonts w:hint="eastAsia"/>
          <w:sz w:val="24"/>
          <w:highlight w:val="none"/>
        </w:rPr>
        <w:t>（6）到货时间与一览表不符：</w:t>
      </w:r>
      <w:r>
        <w:rPr>
          <w:rFonts w:hint="eastAsia"/>
          <w:sz w:val="24"/>
          <w:highlight w:val="none"/>
          <w:u w:val="single"/>
        </w:rPr>
        <w:t xml:space="preserve">                    /                        </w:t>
      </w:r>
    </w:p>
    <w:p w14:paraId="6F684861">
      <w:pPr>
        <w:widowControl/>
        <w:spacing w:line="360" w:lineRule="auto"/>
        <w:ind w:firstLine="480" w:firstLineChars="200"/>
        <w:rPr>
          <w:sz w:val="24"/>
          <w:highlight w:val="none"/>
          <w:u w:val="single"/>
        </w:rPr>
      </w:pPr>
      <w:r>
        <w:rPr>
          <w:rFonts w:hint="eastAsia"/>
          <w:sz w:val="24"/>
          <w:highlight w:val="none"/>
        </w:rPr>
        <w:t>31.6发包人供应材料设备的结算方法：</w:t>
      </w:r>
      <w:r>
        <w:rPr>
          <w:rFonts w:hint="eastAsia"/>
          <w:sz w:val="24"/>
          <w:highlight w:val="none"/>
          <w:u w:val="single"/>
        </w:rPr>
        <w:t xml:space="preserve">/ </w:t>
      </w:r>
    </w:p>
    <w:p w14:paraId="730C84B1">
      <w:pPr>
        <w:widowControl/>
        <w:spacing w:line="360" w:lineRule="auto"/>
        <w:ind w:firstLine="480" w:firstLineChars="200"/>
        <w:rPr>
          <w:b/>
          <w:sz w:val="24"/>
          <w:highlight w:val="none"/>
        </w:rPr>
      </w:pPr>
      <w:r>
        <w:rPr>
          <w:rFonts w:hint="eastAsia"/>
          <w:sz w:val="24"/>
          <w:highlight w:val="none"/>
        </w:rPr>
        <w:t>32、承包人采购材料设备</w:t>
      </w:r>
    </w:p>
    <w:p w14:paraId="14728E94">
      <w:pPr>
        <w:widowControl/>
        <w:spacing w:line="360" w:lineRule="auto"/>
        <w:ind w:firstLine="480" w:firstLineChars="200"/>
        <w:rPr>
          <w:b/>
          <w:sz w:val="24"/>
          <w:highlight w:val="none"/>
        </w:rPr>
      </w:pPr>
      <w:r>
        <w:rPr>
          <w:rFonts w:hint="eastAsia"/>
          <w:sz w:val="24"/>
          <w:highlight w:val="none"/>
        </w:rPr>
        <w:t>32.1承包人采购材料设备的约定：</w:t>
      </w:r>
    </w:p>
    <w:p w14:paraId="47C7A2E9">
      <w:pPr>
        <w:widowControl/>
        <w:spacing w:line="360" w:lineRule="auto"/>
        <w:ind w:firstLine="480" w:firstLineChars="200"/>
        <w:rPr>
          <w:sz w:val="24"/>
          <w:highlight w:val="none"/>
          <w:u w:val="single"/>
        </w:rPr>
      </w:pPr>
      <w:r>
        <w:rPr>
          <w:sz w:val="24"/>
          <w:highlight w:val="none"/>
          <w:u w:val="single"/>
        </w:rPr>
        <w:t>（1）采购的材料、设备、规格型号应与施工图设计相符，质量等级必须是合格产品。无论监理工程师和发包人是否验收合格，只要承包人采购并使用的材料设备不符合设计和标准要求，发包人都有权要求承包人负责修复、拆除或重新采购，并承担全部费用，由此延误的工期不予顺延。</w:t>
      </w:r>
    </w:p>
    <w:p w14:paraId="01EDF8BE">
      <w:pPr>
        <w:widowControl/>
        <w:spacing w:line="360" w:lineRule="auto"/>
        <w:ind w:firstLine="480" w:firstLineChars="200"/>
        <w:rPr>
          <w:sz w:val="24"/>
          <w:highlight w:val="none"/>
          <w:u w:val="single"/>
        </w:rPr>
      </w:pPr>
      <w:r>
        <w:rPr>
          <w:sz w:val="24"/>
          <w:highlight w:val="none"/>
          <w:u w:val="single"/>
        </w:rPr>
        <w:t>（2）承包人采购的水泥、砖、砾石及砂子的实际价格变化幅度在投标时当期材料信息价的±10﹪以内时（含10﹪），其风险由承包人承担；在投标时当期材料信息价的±10﹪以外时，其风险由发包人承担。</w:t>
      </w:r>
    </w:p>
    <w:p w14:paraId="5DA416C2">
      <w:pPr>
        <w:widowControl/>
        <w:spacing w:line="360" w:lineRule="auto"/>
        <w:ind w:firstLine="480" w:firstLineChars="200"/>
        <w:rPr>
          <w:sz w:val="24"/>
          <w:highlight w:val="none"/>
          <w:u w:val="single"/>
        </w:rPr>
      </w:pPr>
      <w:r>
        <w:rPr>
          <w:rFonts w:hint="eastAsia"/>
          <w:sz w:val="24"/>
          <w:highlight w:val="none"/>
          <w:u w:val="single"/>
        </w:rPr>
        <w:t>（3）本工程</w:t>
      </w:r>
      <w:r>
        <w:rPr>
          <w:sz w:val="24"/>
          <w:highlight w:val="none"/>
          <w:u w:val="single"/>
        </w:rPr>
        <w:t>材料</w:t>
      </w:r>
      <w:r>
        <w:rPr>
          <w:rFonts w:hint="eastAsia"/>
          <w:sz w:val="24"/>
          <w:highlight w:val="none"/>
          <w:u w:val="single"/>
        </w:rPr>
        <w:t>均</w:t>
      </w:r>
      <w:r>
        <w:rPr>
          <w:sz w:val="24"/>
          <w:highlight w:val="none"/>
          <w:u w:val="single"/>
        </w:rPr>
        <w:t>由乙方自行采购，</w:t>
      </w:r>
      <w:r>
        <w:rPr>
          <w:rFonts w:hint="eastAsia"/>
          <w:sz w:val="24"/>
          <w:highlight w:val="none"/>
          <w:u w:val="single"/>
        </w:rPr>
        <w:t>但</w:t>
      </w:r>
      <w:r>
        <w:rPr>
          <w:sz w:val="24"/>
          <w:highlight w:val="none"/>
          <w:u w:val="single"/>
        </w:rPr>
        <w:t>质量必须达到合格</w:t>
      </w:r>
      <w:r>
        <w:rPr>
          <w:rFonts w:hint="eastAsia"/>
          <w:sz w:val="24"/>
          <w:highlight w:val="none"/>
          <w:u w:val="single"/>
        </w:rPr>
        <w:t>。</w:t>
      </w:r>
    </w:p>
    <w:p w14:paraId="0BC04BB8">
      <w:pPr>
        <w:widowControl/>
        <w:spacing w:line="360" w:lineRule="auto"/>
        <w:ind w:firstLine="480" w:firstLineChars="200"/>
        <w:rPr>
          <w:sz w:val="24"/>
          <w:highlight w:val="none"/>
        </w:rPr>
      </w:pPr>
      <w:r>
        <w:rPr>
          <w:rFonts w:hint="eastAsia"/>
          <w:sz w:val="24"/>
          <w:highlight w:val="none"/>
        </w:rPr>
        <w:t>八、工程变更</w:t>
      </w:r>
    </w:p>
    <w:p w14:paraId="3E5AF59D">
      <w:pPr>
        <w:spacing w:line="440" w:lineRule="exact"/>
        <w:ind w:firstLine="480" w:firstLineChars="200"/>
        <w:rPr>
          <w:sz w:val="24"/>
          <w:highlight w:val="none"/>
        </w:rPr>
      </w:pPr>
      <w:r>
        <w:rPr>
          <w:rFonts w:hint="eastAsia"/>
          <w:sz w:val="24"/>
          <w:highlight w:val="none"/>
        </w:rPr>
        <w:t>九、竣工验收与结算</w:t>
      </w:r>
    </w:p>
    <w:p w14:paraId="0DEF9822">
      <w:pPr>
        <w:pStyle w:val="238"/>
        <w:snapToGrid w:val="0"/>
        <w:spacing w:line="500" w:lineRule="exact"/>
        <w:ind w:firstLine="424" w:firstLineChars="177"/>
        <w:rPr>
          <w:b w:val="0"/>
          <w:bCs/>
          <w:i w:val="0"/>
          <w:iCs w:val="0"/>
          <w:highlight w:val="none"/>
        </w:rPr>
      </w:pPr>
      <w:r>
        <w:rPr>
          <w:rFonts w:hint="eastAsia"/>
          <w:b w:val="0"/>
          <w:bCs/>
          <w:i w:val="0"/>
          <w:iCs w:val="0"/>
          <w:highlight w:val="none"/>
        </w:rPr>
        <w:t>33.2</w:t>
      </w:r>
      <w:r>
        <w:rPr>
          <w:rFonts w:hint="eastAsia" w:cs="Times New Roman"/>
          <w:b w:val="0"/>
          <w:bCs/>
          <w:i w:val="0"/>
          <w:iCs w:val="0"/>
          <w:highlight w:val="none"/>
        </w:rPr>
        <w:t>承包人必须严格按照施工图（含设计单位提供的设计变更图纸、工艺要求）与技术资料施工，</w:t>
      </w:r>
      <w:r>
        <w:rPr>
          <w:rFonts w:hint="eastAsia"/>
          <w:b w:val="0"/>
          <w:bCs/>
          <w:i w:val="0"/>
          <w:iCs w:val="0"/>
          <w:highlight w:val="none"/>
        </w:rPr>
        <w:t>不得对原工程设计进行变更。因承包人擅自变更设计发生的费用和由此导致发包人的直接和间接损失，由承包人承担，延误的工期不予顺延。</w:t>
      </w:r>
    </w:p>
    <w:p w14:paraId="4F6F7EFF">
      <w:pPr>
        <w:widowControl/>
        <w:spacing w:line="360" w:lineRule="auto"/>
        <w:ind w:firstLine="480" w:firstLineChars="200"/>
        <w:rPr>
          <w:b/>
          <w:sz w:val="24"/>
          <w:highlight w:val="none"/>
        </w:rPr>
      </w:pPr>
      <w:r>
        <w:rPr>
          <w:rFonts w:hint="eastAsia"/>
          <w:sz w:val="24"/>
          <w:highlight w:val="none"/>
        </w:rPr>
        <w:t>35、确定变更价款</w:t>
      </w:r>
    </w:p>
    <w:p w14:paraId="496DB3A5">
      <w:pPr>
        <w:spacing w:line="440" w:lineRule="exact"/>
        <w:ind w:firstLine="480" w:firstLineChars="200"/>
        <w:rPr>
          <w:b/>
          <w:highlight w:val="none"/>
        </w:rPr>
      </w:pPr>
      <w:r>
        <w:rPr>
          <w:rFonts w:hint="eastAsia"/>
          <w:sz w:val="24"/>
          <w:highlight w:val="none"/>
        </w:rPr>
        <w:t>35.3</w:t>
      </w:r>
      <w:r>
        <w:rPr>
          <w:sz w:val="24"/>
          <w:highlight w:val="none"/>
        </w:rPr>
        <w:t> </w:t>
      </w:r>
      <w:r>
        <w:rPr>
          <w:rFonts w:hint="eastAsia"/>
          <w:sz w:val="24"/>
          <w:highlight w:val="none"/>
        </w:rPr>
        <w:t>工程师应在收到变更工程价款报告后及时确认。</w:t>
      </w:r>
    </w:p>
    <w:p w14:paraId="08880EE3">
      <w:pPr>
        <w:widowControl/>
        <w:spacing w:line="360" w:lineRule="auto"/>
        <w:ind w:firstLine="480" w:firstLineChars="200"/>
        <w:rPr>
          <w:b/>
          <w:sz w:val="24"/>
          <w:highlight w:val="none"/>
        </w:rPr>
      </w:pPr>
      <w:r>
        <w:rPr>
          <w:rFonts w:hint="eastAsia"/>
          <w:sz w:val="24"/>
          <w:highlight w:val="none"/>
        </w:rPr>
        <w:t>36、竣工验收</w:t>
      </w:r>
    </w:p>
    <w:p w14:paraId="101EB608">
      <w:pPr>
        <w:widowControl/>
        <w:spacing w:line="360" w:lineRule="auto"/>
        <w:ind w:firstLine="480" w:firstLineChars="200"/>
        <w:rPr>
          <w:b/>
          <w:sz w:val="24"/>
          <w:highlight w:val="none"/>
        </w:rPr>
      </w:pPr>
      <w:r>
        <w:rPr>
          <w:rFonts w:hint="eastAsia"/>
          <w:sz w:val="24"/>
          <w:highlight w:val="none"/>
        </w:rPr>
        <w:t>36.1承包人提供竣工图的约定：</w:t>
      </w:r>
    </w:p>
    <w:p w14:paraId="2A0396C0">
      <w:pPr>
        <w:widowControl/>
        <w:spacing w:line="360" w:lineRule="auto"/>
        <w:ind w:left="502" w:leftChars="228" w:firstLine="480" w:firstLineChars="200"/>
        <w:rPr>
          <w:b/>
          <w:sz w:val="24"/>
          <w:highlight w:val="none"/>
          <w:u w:val="single"/>
        </w:rPr>
      </w:pPr>
      <w:r>
        <w:rPr>
          <w:rFonts w:hint="eastAsia"/>
          <w:sz w:val="24"/>
          <w:highlight w:val="none"/>
          <w:u w:val="single"/>
        </w:rPr>
        <w:t>承包人除按照建设部《城市建设档案管理规定》向城建档案馆报送竣工资料外，还应向发包人提交四套竣工资料。</w:t>
      </w:r>
    </w:p>
    <w:p w14:paraId="2B3EA169">
      <w:pPr>
        <w:widowControl/>
        <w:spacing w:line="500" w:lineRule="exact"/>
        <w:ind w:firstLine="424" w:firstLineChars="177"/>
        <w:rPr>
          <w:b/>
          <w:sz w:val="24"/>
          <w:highlight w:val="none"/>
        </w:rPr>
      </w:pPr>
      <w:r>
        <w:rPr>
          <w:rFonts w:hint="eastAsia"/>
          <w:sz w:val="24"/>
          <w:highlight w:val="none"/>
        </w:rPr>
        <w:t>36.3发包人收到承包人送交的竣工验收报告后应及时组织验收。</w:t>
      </w:r>
    </w:p>
    <w:p w14:paraId="2D4B7579">
      <w:pPr>
        <w:widowControl/>
        <w:spacing w:line="360" w:lineRule="auto"/>
        <w:ind w:firstLine="480" w:firstLineChars="200"/>
        <w:rPr>
          <w:b/>
          <w:sz w:val="24"/>
          <w:highlight w:val="none"/>
          <w:u w:val="single"/>
        </w:rPr>
      </w:pPr>
      <w:r>
        <w:rPr>
          <w:rFonts w:hint="eastAsia"/>
          <w:sz w:val="24"/>
          <w:highlight w:val="none"/>
        </w:rPr>
        <w:t>36.6中间交工工程的范围和竣工时间：</w:t>
      </w:r>
      <w:r>
        <w:rPr>
          <w:rFonts w:hint="eastAsia"/>
          <w:sz w:val="24"/>
          <w:highlight w:val="none"/>
          <w:u w:val="single"/>
        </w:rPr>
        <w:t xml:space="preserve">    无     </w:t>
      </w:r>
    </w:p>
    <w:p w14:paraId="61EBB2E4">
      <w:pPr>
        <w:widowControl/>
        <w:spacing w:line="400" w:lineRule="exact"/>
        <w:ind w:firstLine="480" w:firstLineChars="200"/>
        <w:rPr>
          <w:b/>
          <w:sz w:val="24"/>
          <w:highlight w:val="none"/>
        </w:rPr>
      </w:pPr>
      <w:r>
        <w:rPr>
          <w:rFonts w:hint="eastAsia"/>
          <w:sz w:val="24"/>
          <w:highlight w:val="none"/>
        </w:rPr>
        <w:t>37、竣工结算</w:t>
      </w:r>
    </w:p>
    <w:p w14:paraId="0DD93044">
      <w:pPr>
        <w:widowControl/>
        <w:spacing w:line="400" w:lineRule="exact"/>
        <w:ind w:firstLine="480" w:firstLineChars="200"/>
        <w:rPr>
          <w:b/>
          <w:sz w:val="24"/>
          <w:highlight w:val="none"/>
          <w:u w:val="single"/>
        </w:rPr>
      </w:pPr>
      <w:r>
        <w:rPr>
          <w:rFonts w:hint="eastAsia"/>
          <w:sz w:val="24"/>
          <w:highlight w:val="none"/>
        </w:rPr>
        <w:t xml:space="preserve">结算审查期限： </w:t>
      </w:r>
      <w:r>
        <w:rPr>
          <w:rFonts w:hint="eastAsia"/>
          <w:sz w:val="24"/>
          <w:highlight w:val="none"/>
          <w:u w:val="single"/>
        </w:rPr>
        <w:t>自收到发包人审批通过的《竣工结算申请单》六个月内完成结算。</w:t>
      </w:r>
    </w:p>
    <w:p w14:paraId="6E72FE0B">
      <w:pPr>
        <w:widowControl/>
        <w:spacing w:line="400" w:lineRule="exact"/>
        <w:ind w:firstLine="480" w:firstLineChars="200"/>
        <w:rPr>
          <w:b/>
          <w:sz w:val="24"/>
          <w:highlight w:val="none"/>
        </w:rPr>
      </w:pPr>
      <w:r>
        <w:rPr>
          <w:rFonts w:hint="eastAsia"/>
          <w:sz w:val="24"/>
          <w:highlight w:val="none"/>
        </w:rPr>
        <w:t>37.1 工程竣工结算付款的条件是：</w:t>
      </w:r>
    </w:p>
    <w:p w14:paraId="2C7344C8">
      <w:pPr>
        <w:widowControl/>
        <w:spacing w:line="400" w:lineRule="exact"/>
        <w:ind w:firstLine="480" w:firstLineChars="200"/>
        <w:rPr>
          <w:b/>
          <w:sz w:val="24"/>
          <w:highlight w:val="none"/>
        </w:rPr>
      </w:pPr>
      <w:r>
        <w:rPr>
          <w:rFonts w:hint="eastAsia"/>
          <w:sz w:val="24"/>
          <w:highlight w:val="none"/>
        </w:rPr>
        <w:t>（1）完成全部合同规定的工程（工作）内容；</w:t>
      </w:r>
    </w:p>
    <w:p w14:paraId="0F9D8C4E">
      <w:pPr>
        <w:widowControl/>
        <w:spacing w:line="400" w:lineRule="exact"/>
        <w:ind w:firstLine="480" w:firstLineChars="200"/>
        <w:rPr>
          <w:b/>
          <w:sz w:val="24"/>
          <w:highlight w:val="none"/>
        </w:rPr>
      </w:pPr>
      <w:r>
        <w:rPr>
          <w:rFonts w:hint="eastAsia"/>
          <w:sz w:val="24"/>
          <w:highlight w:val="none"/>
        </w:rPr>
        <w:t>（2）撤出全部临时设施；</w:t>
      </w:r>
    </w:p>
    <w:p w14:paraId="78D78A4E">
      <w:pPr>
        <w:widowControl/>
        <w:spacing w:line="400" w:lineRule="exact"/>
        <w:ind w:firstLine="480" w:firstLineChars="200"/>
        <w:rPr>
          <w:b/>
          <w:sz w:val="24"/>
          <w:highlight w:val="none"/>
        </w:rPr>
      </w:pPr>
      <w:r>
        <w:rPr>
          <w:rFonts w:hint="eastAsia"/>
          <w:sz w:val="24"/>
          <w:highlight w:val="none"/>
        </w:rPr>
        <w:t>（3）工程通过竣工验收；</w:t>
      </w:r>
    </w:p>
    <w:p w14:paraId="7A4F35D8">
      <w:pPr>
        <w:widowControl/>
        <w:spacing w:line="400" w:lineRule="exact"/>
        <w:ind w:firstLine="480" w:firstLineChars="200"/>
        <w:rPr>
          <w:b/>
          <w:sz w:val="24"/>
          <w:highlight w:val="none"/>
        </w:rPr>
      </w:pPr>
      <w:r>
        <w:rPr>
          <w:rFonts w:hint="eastAsia"/>
          <w:sz w:val="24"/>
          <w:highlight w:val="none"/>
        </w:rPr>
        <w:t>（4）工程完全移交；</w:t>
      </w:r>
    </w:p>
    <w:p w14:paraId="2DA6205E">
      <w:pPr>
        <w:widowControl/>
        <w:spacing w:line="400" w:lineRule="exact"/>
        <w:ind w:firstLine="480" w:firstLineChars="200"/>
        <w:rPr>
          <w:b/>
          <w:sz w:val="24"/>
          <w:highlight w:val="none"/>
        </w:rPr>
      </w:pPr>
      <w:r>
        <w:rPr>
          <w:rFonts w:hint="eastAsia"/>
          <w:sz w:val="24"/>
          <w:highlight w:val="none"/>
        </w:rPr>
        <w:t>（5）工程竣工资料完整移交；</w:t>
      </w:r>
    </w:p>
    <w:p w14:paraId="70829C53">
      <w:pPr>
        <w:widowControl/>
        <w:spacing w:line="400" w:lineRule="exact"/>
        <w:ind w:firstLine="480" w:firstLineChars="200"/>
        <w:rPr>
          <w:b/>
          <w:sz w:val="24"/>
          <w:highlight w:val="none"/>
        </w:rPr>
      </w:pPr>
      <w:r>
        <w:rPr>
          <w:rFonts w:hint="eastAsia"/>
          <w:sz w:val="24"/>
          <w:highlight w:val="none"/>
        </w:rPr>
        <w:t>（6）提供工程质量保修书；</w:t>
      </w:r>
    </w:p>
    <w:p w14:paraId="0E7A656D">
      <w:pPr>
        <w:widowControl/>
        <w:spacing w:line="400" w:lineRule="exact"/>
        <w:ind w:firstLine="480" w:firstLineChars="200"/>
        <w:rPr>
          <w:b/>
          <w:sz w:val="24"/>
          <w:highlight w:val="none"/>
        </w:rPr>
      </w:pPr>
      <w:r>
        <w:rPr>
          <w:rFonts w:hint="eastAsia"/>
          <w:sz w:val="24"/>
          <w:highlight w:val="none"/>
        </w:rPr>
        <w:t>（7）工程结算完成；</w:t>
      </w:r>
    </w:p>
    <w:p w14:paraId="04E55A85">
      <w:pPr>
        <w:widowControl/>
        <w:spacing w:line="360" w:lineRule="auto"/>
        <w:ind w:firstLine="480" w:firstLineChars="200"/>
        <w:rPr>
          <w:b/>
          <w:sz w:val="24"/>
          <w:highlight w:val="none"/>
        </w:rPr>
      </w:pPr>
      <w:r>
        <w:rPr>
          <w:rFonts w:hint="eastAsia"/>
          <w:sz w:val="24"/>
          <w:highlight w:val="none"/>
        </w:rPr>
        <w:t>（8）财务决算完成。</w:t>
      </w:r>
    </w:p>
    <w:p w14:paraId="7051400B">
      <w:pPr>
        <w:widowControl/>
        <w:tabs>
          <w:tab w:val="left" w:pos="284"/>
          <w:tab w:val="left" w:pos="426"/>
          <w:tab w:val="left" w:pos="709"/>
        </w:tabs>
        <w:spacing w:line="360" w:lineRule="auto"/>
        <w:ind w:firstLine="480" w:firstLineChars="200"/>
        <w:rPr>
          <w:b/>
          <w:sz w:val="24"/>
          <w:highlight w:val="none"/>
          <w:u w:val="single"/>
        </w:rPr>
      </w:pPr>
      <w:r>
        <w:rPr>
          <w:rFonts w:hint="eastAsia"/>
          <w:sz w:val="24"/>
          <w:highlight w:val="none"/>
        </w:rPr>
        <w:t>37.7</w:t>
      </w:r>
      <w:r>
        <w:rPr>
          <w:rFonts w:hint="eastAsia"/>
          <w:sz w:val="24"/>
          <w:highlight w:val="none"/>
          <w:u w:val="single"/>
        </w:rPr>
        <w:t>承包人未能按期向发包人递交竣工结算报告及合格、完整且有效的结算资料，或不积极配合发包人进行工程结算和财务决算，造成工程竣工结算不能正常进行或结算价款不能及时支付，以及因此给发包人造成的所有直接和间接损失及责任由承包人自行承担。发包人要求交付工程的，承包人应当交付，发包人不要求交付工程的，承包人承担保管责任以及毁损灭失的风险。</w:t>
      </w:r>
    </w:p>
    <w:p w14:paraId="386D99FC">
      <w:pPr>
        <w:widowControl/>
        <w:spacing w:line="360" w:lineRule="auto"/>
        <w:ind w:firstLine="480" w:firstLineChars="200"/>
        <w:rPr>
          <w:sz w:val="24"/>
          <w:highlight w:val="none"/>
        </w:rPr>
      </w:pPr>
      <w:r>
        <w:rPr>
          <w:rFonts w:hint="eastAsia"/>
          <w:sz w:val="24"/>
          <w:highlight w:val="none"/>
        </w:rPr>
        <w:t>十、违约、索赔和争议</w:t>
      </w:r>
    </w:p>
    <w:p w14:paraId="33468168">
      <w:pPr>
        <w:widowControl/>
        <w:spacing w:line="360" w:lineRule="auto"/>
        <w:ind w:firstLine="480" w:firstLineChars="200"/>
        <w:rPr>
          <w:b/>
          <w:sz w:val="24"/>
          <w:highlight w:val="none"/>
        </w:rPr>
      </w:pPr>
      <w:r>
        <w:rPr>
          <w:rFonts w:hint="eastAsia"/>
          <w:sz w:val="24"/>
          <w:highlight w:val="none"/>
        </w:rPr>
        <w:t>39、违约</w:t>
      </w:r>
    </w:p>
    <w:p w14:paraId="42807A2E">
      <w:pPr>
        <w:widowControl/>
        <w:spacing w:line="360" w:lineRule="auto"/>
        <w:ind w:firstLine="480" w:firstLineChars="200"/>
        <w:rPr>
          <w:b/>
          <w:sz w:val="24"/>
          <w:highlight w:val="none"/>
        </w:rPr>
      </w:pPr>
      <w:r>
        <w:rPr>
          <w:rFonts w:hint="eastAsia"/>
          <w:sz w:val="24"/>
          <w:highlight w:val="none"/>
        </w:rPr>
        <w:t>39.1本合同中关于发包人违约的具体责任如下：</w:t>
      </w:r>
    </w:p>
    <w:p w14:paraId="7ED72ECC">
      <w:pPr>
        <w:widowControl/>
        <w:spacing w:line="360" w:lineRule="auto"/>
        <w:ind w:firstLine="480" w:firstLineChars="200"/>
        <w:rPr>
          <w:b/>
          <w:sz w:val="24"/>
          <w:highlight w:val="none"/>
          <w:u w:val="single"/>
        </w:rPr>
      </w:pPr>
      <w:r>
        <w:rPr>
          <w:rFonts w:hint="eastAsia"/>
          <w:sz w:val="24"/>
          <w:highlight w:val="none"/>
        </w:rPr>
        <w:t>本合同通用条款第28.1条约定发包人违约应承担的违约责任：</w:t>
      </w:r>
      <w:r>
        <w:rPr>
          <w:rFonts w:hint="eastAsia"/>
          <w:sz w:val="24"/>
          <w:highlight w:val="none"/>
          <w:u w:val="single"/>
        </w:rPr>
        <w:t xml:space="preserve">  无   </w:t>
      </w:r>
    </w:p>
    <w:p w14:paraId="3F526343">
      <w:pPr>
        <w:widowControl/>
        <w:spacing w:line="360" w:lineRule="auto"/>
        <w:ind w:firstLine="480" w:firstLineChars="200"/>
        <w:rPr>
          <w:b/>
          <w:sz w:val="24"/>
          <w:highlight w:val="none"/>
        </w:rPr>
      </w:pPr>
      <w:r>
        <w:rPr>
          <w:rFonts w:hint="eastAsia"/>
          <w:sz w:val="24"/>
          <w:highlight w:val="none"/>
        </w:rPr>
        <w:t>本合同通用条款第30.5款约定发包人违约应承担的违约责任：__</w:t>
      </w:r>
      <w:r>
        <w:rPr>
          <w:rFonts w:hint="eastAsia"/>
          <w:sz w:val="24"/>
          <w:highlight w:val="none"/>
          <w:u w:val="single"/>
        </w:rPr>
        <w:t xml:space="preserve">无  </w:t>
      </w:r>
      <w:r>
        <w:rPr>
          <w:rFonts w:hint="eastAsia"/>
          <w:sz w:val="24"/>
          <w:highlight w:val="none"/>
        </w:rPr>
        <w:t>_</w:t>
      </w:r>
    </w:p>
    <w:p w14:paraId="7F4E9C46">
      <w:pPr>
        <w:widowControl/>
        <w:spacing w:line="360" w:lineRule="auto"/>
        <w:ind w:firstLine="480" w:firstLineChars="200"/>
        <w:rPr>
          <w:b/>
          <w:sz w:val="24"/>
          <w:highlight w:val="none"/>
          <w:u w:val="single"/>
        </w:rPr>
      </w:pPr>
      <w:r>
        <w:rPr>
          <w:rFonts w:hint="eastAsia"/>
          <w:sz w:val="24"/>
          <w:highlight w:val="none"/>
        </w:rPr>
        <w:t>本合同通用条款第37.6款约定发包人违约应承担的违约责任：</w:t>
      </w:r>
      <w:r>
        <w:rPr>
          <w:rFonts w:hint="eastAsia"/>
          <w:sz w:val="24"/>
          <w:highlight w:val="none"/>
          <w:u w:val="single"/>
        </w:rPr>
        <w:t xml:space="preserve">  无   </w:t>
      </w:r>
    </w:p>
    <w:p w14:paraId="6718FA96">
      <w:pPr>
        <w:widowControl/>
        <w:spacing w:line="360" w:lineRule="auto"/>
        <w:ind w:firstLine="480" w:firstLineChars="200"/>
        <w:rPr>
          <w:b/>
          <w:sz w:val="24"/>
          <w:highlight w:val="none"/>
          <w:u w:val="single"/>
        </w:rPr>
      </w:pPr>
      <w:r>
        <w:rPr>
          <w:rFonts w:hint="eastAsia"/>
          <w:sz w:val="24"/>
          <w:highlight w:val="none"/>
        </w:rPr>
        <w:t>双方约定的发包人其他违约责任：</w:t>
      </w:r>
      <w:r>
        <w:rPr>
          <w:rFonts w:hint="eastAsia"/>
          <w:sz w:val="24"/>
          <w:highlight w:val="none"/>
          <w:u w:val="single"/>
        </w:rPr>
        <w:t>其他违约双方协商解决。</w:t>
      </w:r>
    </w:p>
    <w:p w14:paraId="526F7622">
      <w:pPr>
        <w:widowControl/>
        <w:spacing w:line="360" w:lineRule="auto"/>
        <w:ind w:firstLine="480" w:firstLineChars="200"/>
        <w:rPr>
          <w:b/>
          <w:sz w:val="24"/>
          <w:highlight w:val="none"/>
        </w:rPr>
      </w:pPr>
      <w:r>
        <w:rPr>
          <w:rFonts w:hint="eastAsia"/>
          <w:sz w:val="24"/>
          <w:highlight w:val="none"/>
        </w:rPr>
        <w:t>39.2本合同中关于承包人违约的具体责任如下：</w:t>
      </w:r>
    </w:p>
    <w:p w14:paraId="15E66419">
      <w:pPr>
        <w:widowControl/>
        <w:spacing w:line="360" w:lineRule="auto"/>
        <w:ind w:firstLine="480" w:firstLineChars="200"/>
        <w:rPr>
          <w:b/>
          <w:sz w:val="24"/>
          <w:highlight w:val="none"/>
          <w:u w:val="single"/>
        </w:rPr>
      </w:pPr>
      <w:r>
        <w:rPr>
          <w:rFonts w:hint="eastAsia"/>
          <w:sz w:val="24"/>
          <w:highlight w:val="none"/>
        </w:rPr>
        <w:t>本合同通用条款第14.2款约定承包人违约承担的违约责任：</w:t>
      </w:r>
      <w:r>
        <w:rPr>
          <w:rFonts w:hint="eastAsia"/>
          <w:sz w:val="24"/>
          <w:highlight w:val="none"/>
          <w:u w:val="single"/>
        </w:rPr>
        <w:t>每推后一天，按合同价的万分之二向发包人支付违约金。</w:t>
      </w:r>
    </w:p>
    <w:p w14:paraId="443BB243">
      <w:pPr>
        <w:widowControl/>
        <w:spacing w:line="360" w:lineRule="auto"/>
        <w:ind w:firstLine="480" w:firstLineChars="200"/>
        <w:rPr>
          <w:b/>
          <w:sz w:val="24"/>
          <w:highlight w:val="none"/>
          <w:u w:val="single"/>
        </w:rPr>
      </w:pPr>
      <w:r>
        <w:rPr>
          <w:rFonts w:hint="eastAsia"/>
          <w:sz w:val="24"/>
          <w:highlight w:val="none"/>
        </w:rPr>
        <w:t>本合同通用条款第15.1款约定承包人违约应承担的违约责任：</w:t>
      </w:r>
      <w:r>
        <w:rPr>
          <w:rFonts w:hint="eastAsia"/>
          <w:sz w:val="24"/>
          <w:highlight w:val="none"/>
          <w:u w:val="single"/>
        </w:rPr>
        <w:t xml:space="preserve"> 承包人承担因工程质量达不到技术规范规定的质量标准所造成检测、返工、加固等所有质量补救措施的全部费用，工期不予顺延。当质量问题严重，或承包人拒绝尽快采取弥补质量缺陷措施时，发包人有权立即解除本合同，承包人承担发包人因此终止合同更换施工单位的全部责任，承担发包人因此产生的全部费用（包括但不限于招投标或重新选择施工单位的费用、工期延误的损失等），并按本合同总价款的5%支付质量违约金。因工程质量导致第三方索赔，由承包人承担全部责任（包括但不限于发包人向第三方的赔偿款、诉讼费、律师费、罚款、发包人名誉损失等）。</w:t>
      </w:r>
    </w:p>
    <w:p w14:paraId="76A8B1F2">
      <w:pPr>
        <w:widowControl/>
        <w:spacing w:line="360" w:lineRule="auto"/>
        <w:ind w:firstLine="480" w:firstLineChars="200"/>
        <w:rPr>
          <w:b/>
          <w:sz w:val="24"/>
          <w:highlight w:val="none"/>
          <w:u w:val="single"/>
        </w:rPr>
      </w:pPr>
      <w:r>
        <w:rPr>
          <w:rFonts w:hint="eastAsia"/>
          <w:sz w:val="24"/>
          <w:highlight w:val="none"/>
        </w:rPr>
        <w:t>双方约定的承包人其他违约责任：</w:t>
      </w:r>
      <w:r>
        <w:rPr>
          <w:rFonts w:hint="eastAsia"/>
          <w:sz w:val="24"/>
          <w:highlight w:val="none"/>
          <w:u w:val="single"/>
        </w:rPr>
        <w:t>其他违约双方协商解决。</w:t>
      </w:r>
    </w:p>
    <w:p w14:paraId="120407E5">
      <w:pPr>
        <w:widowControl/>
        <w:spacing w:line="360" w:lineRule="auto"/>
        <w:ind w:firstLine="480" w:firstLineChars="200"/>
        <w:rPr>
          <w:b/>
          <w:sz w:val="24"/>
          <w:highlight w:val="none"/>
          <w:u w:val="single"/>
        </w:rPr>
      </w:pPr>
      <w:r>
        <w:rPr>
          <w:rFonts w:hint="eastAsia"/>
          <w:sz w:val="24"/>
          <w:highlight w:val="none"/>
          <w:u w:val="single"/>
        </w:rPr>
        <w:t>非因甲方原因及不可抗力，导致甲方须对外承担责任的，甲方有权向乙方追偿。乙方应承担甲方因此支付的一切费用，包括但不限于诉讼费、仲裁费、律师费、评估费、拍卖费、执行费、代偿款、赔偿款等。</w:t>
      </w:r>
    </w:p>
    <w:p w14:paraId="09D48B79">
      <w:pPr>
        <w:pStyle w:val="238"/>
        <w:snapToGrid w:val="0"/>
        <w:spacing w:before="0" w:beforeAutospacing="0" w:after="0" w:afterAutospacing="0" w:line="500" w:lineRule="exact"/>
        <w:ind w:firstLine="426" w:firstLineChars="177"/>
        <w:rPr>
          <w:rFonts w:cs="Times New Roman"/>
          <w:b/>
          <w:highlight w:val="none"/>
        </w:rPr>
      </w:pPr>
      <w:r>
        <w:rPr>
          <w:rFonts w:hint="eastAsia" w:cs="Times New Roman"/>
          <w:b/>
          <w:highlight w:val="none"/>
        </w:rPr>
        <w:t>40、索赔</w:t>
      </w:r>
    </w:p>
    <w:p w14:paraId="1DA1A76D">
      <w:pPr>
        <w:pStyle w:val="238"/>
        <w:snapToGrid w:val="0"/>
        <w:spacing w:before="0" w:beforeAutospacing="0" w:after="0" w:afterAutospacing="0" w:line="500" w:lineRule="exact"/>
        <w:ind w:firstLine="426" w:firstLineChars="177"/>
        <w:rPr>
          <w:rFonts w:cs="Times New Roman"/>
          <w:b/>
          <w:highlight w:val="none"/>
        </w:rPr>
      </w:pPr>
      <w:r>
        <w:rPr>
          <w:rFonts w:hint="eastAsia" w:cs="Times New Roman"/>
          <w:b/>
          <w:highlight w:val="none"/>
        </w:rPr>
        <w:t>40.2（4）工程师在收到承包人送交的索赔报告和有关资料后，应及时予以审核。</w:t>
      </w:r>
    </w:p>
    <w:p w14:paraId="00E53B8A">
      <w:pPr>
        <w:widowControl/>
        <w:spacing w:line="360" w:lineRule="auto"/>
        <w:ind w:firstLine="480" w:firstLineChars="200"/>
        <w:rPr>
          <w:b/>
          <w:sz w:val="24"/>
          <w:highlight w:val="none"/>
        </w:rPr>
      </w:pPr>
      <w:r>
        <w:rPr>
          <w:rFonts w:hint="eastAsia"/>
          <w:sz w:val="24"/>
          <w:highlight w:val="none"/>
        </w:rPr>
        <w:t>41、争议</w:t>
      </w:r>
    </w:p>
    <w:p w14:paraId="05D65F2C">
      <w:pPr>
        <w:widowControl/>
        <w:spacing w:line="360" w:lineRule="auto"/>
        <w:ind w:firstLine="480" w:firstLineChars="200"/>
        <w:rPr>
          <w:b/>
          <w:sz w:val="24"/>
          <w:highlight w:val="none"/>
        </w:rPr>
      </w:pPr>
      <w:r>
        <w:rPr>
          <w:rFonts w:hint="eastAsia"/>
          <w:sz w:val="24"/>
          <w:highlight w:val="none"/>
        </w:rPr>
        <w:t>41.1双方当事人约定，在履行合同过程中产生争议时：</w:t>
      </w:r>
    </w:p>
    <w:p w14:paraId="4548EB55">
      <w:pPr>
        <w:widowControl/>
        <w:spacing w:line="360" w:lineRule="auto"/>
        <w:ind w:firstLine="480" w:firstLineChars="200"/>
        <w:rPr>
          <w:b/>
          <w:sz w:val="24"/>
          <w:highlight w:val="none"/>
        </w:rPr>
      </w:pPr>
      <w:r>
        <w:rPr>
          <w:rFonts w:hint="eastAsia"/>
          <w:sz w:val="24"/>
          <w:highlight w:val="none"/>
        </w:rPr>
        <w:t xml:space="preserve">（1）请  </w:t>
      </w:r>
      <w:r>
        <w:rPr>
          <w:rFonts w:hint="eastAsia"/>
          <w:sz w:val="24"/>
          <w:highlight w:val="none"/>
          <w:u w:val="single"/>
        </w:rPr>
        <w:t xml:space="preserve">       /         </w:t>
      </w:r>
      <w:r>
        <w:rPr>
          <w:rFonts w:hint="eastAsia"/>
          <w:sz w:val="24"/>
          <w:highlight w:val="none"/>
        </w:rPr>
        <w:t xml:space="preserve"> 调解；</w:t>
      </w:r>
    </w:p>
    <w:p w14:paraId="188E3615">
      <w:pPr>
        <w:widowControl/>
        <w:spacing w:line="360" w:lineRule="auto"/>
        <w:ind w:firstLine="480" w:firstLineChars="200"/>
        <w:rPr>
          <w:b/>
          <w:sz w:val="24"/>
          <w:highlight w:val="none"/>
        </w:rPr>
      </w:pPr>
      <w:r>
        <w:rPr>
          <w:rFonts w:hint="eastAsia"/>
          <w:sz w:val="24"/>
          <w:highlight w:val="none"/>
        </w:rPr>
        <w:t>（2）合同争议调解不成的，按下列第</w:t>
      </w:r>
      <w:r>
        <w:rPr>
          <w:rFonts w:hint="eastAsia"/>
          <w:sz w:val="24"/>
          <w:highlight w:val="none"/>
          <w:u w:val="single"/>
        </w:rPr>
        <w:t xml:space="preserve">  2 </w:t>
      </w:r>
      <w:r>
        <w:rPr>
          <w:rFonts w:hint="eastAsia"/>
          <w:sz w:val="24"/>
          <w:highlight w:val="none"/>
        </w:rPr>
        <w:t>种方式解决：</w:t>
      </w:r>
    </w:p>
    <w:p w14:paraId="3CF1971D">
      <w:pPr>
        <w:widowControl/>
        <w:spacing w:line="360" w:lineRule="auto"/>
        <w:ind w:firstLine="720" w:firstLineChars="300"/>
        <w:rPr>
          <w:b/>
          <w:sz w:val="24"/>
          <w:highlight w:val="none"/>
        </w:rPr>
      </w:pPr>
      <w:r>
        <w:rPr>
          <w:rFonts w:hint="eastAsia"/>
          <w:sz w:val="24"/>
          <w:highlight w:val="none"/>
        </w:rPr>
        <w:t xml:space="preserve">1）提交  </w:t>
      </w:r>
      <w:r>
        <w:rPr>
          <w:rFonts w:hint="eastAsia"/>
          <w:sz w:val="24"/>
          <w:highlight w:val="none"/>
          <w:u w:val="single"/>
        </w:rPr>
        <w:t xml:space="preserve">   西安   </w:t>
      </w:r>
      <w:r>
        <w:rPr>
          <w:rFonts w:hint="eastAsia"/>
          <w:sz w:val="24"/>
          <w:highlight w:val="none"/>
        </w:rPr>
        <w:t>仲裁委员会申请仲裁；</w:t>
      </w:r>
    </w:p>
    <w:p w14:paraId="3237496B">
      <w:pPr>
        <w:widowControl/>
        <w:spacing w:line="360" w:lineRule="auto"/>
        <w:ind w:firstLine="720" w:firstLineChars="300"/>
        <w:rPr>
          <w:b/>
          <w:sz w:val="24"/>
          <w:highlight w:val="none"/>
        </w:rPr>
      </w:pPr>
      <w:r>
        <w:rPr>
          <w:rFonts w:hint="eastAsia"/>
          <w:sz w:val="24"/>
          <w:highlight w:val="none"/>
        </w:rPr>
        <w:t xml:space="preserve">2）依法向 </w:t>
      </w:r>
      <w:r>
        <w:rPr>
          <w:rFonts w:hint="eastAsia"/>
          <w:sz w:val="24"/>
          <w:highlight w:val="none"/>
          <w:u w:val="single"/>
        </w:rPr>
        <w:t xml:space="preserve"> 工程所在地 </w:t>
      </w:r>
      <w:r>
        <w:rPr>
          <w:rFonts w:hint="eastAsia"/>
          <w:sz w:val="24"/>
          <w:highlight w:val="none"/>
        </w:rPr>
        <w:t xml:space="preserve"> 人民法院提起诉讼。</w:t>
      </w:r>
    </w:p>
    <w:p w14:paraId="1F9825EA">
      <w:pPr>
        <w:widowControl/>
        <w:spacing w:line="360" w:lineRule="auto"/>
        <w:ind w:firstLine="480" w:firstLineChars="200"/>
        <w:rPr>
          <w:sz w:val="24"/>
          <w:highlight w:val="none"/>
        </w:rPr>
      </w:pPr>
      <w:r>
        <w:rPr>
          <w:rFonts w:hint="eastAsia"/>
          <w:sz w:val="24"/>
          <w:highlight w:val="none"/>
        </w:rPr>
        <w:t>十一、其他</w:t>
      </w:r>
    </w:p>
    <w:p w14:paraId="1DF7606E">
      <w:pPr>
        <w:widowControl/>
        <w:spacing w:line="360" w:lineRule="auto"/>
        <w:ind w:firstLine="480" w:firstLineChars="200"/>
        <w:rPr>
          <w:b/>
          <w:sz w:val="24"/>
          <w:highlight w:val="none"/>
        </w:rPr>
      </w:pPr>
      <w:r>
        <w:rPr>
          <w:rFonts w:hint="eastAsia"/>
          <w:sz w:val="24"/>
          <w:highlight w:val="none"/>
        </w:rPr>
        <w:t>42、工程分包</w:t>
      </w:r>
    </w:p>
    <w:p w14:paraId="5765474F">
      <w:pPr>
        <w:widowControl/>
        <w:spacing w:line="360" w:lineRule="auto"/>
        <w:ind w:firstLine="480" w:firstLineChars="200"/>
        <w:rPr>
          <w:b/>
          <w:sz w:val="24"/>
          <w:highlight w:val="none"/>
        </w:rPr>
      </w:pPr>
      <w:r>
        <w:rPr>
          <w:rFonts w:hint="eastAsia"/>
          <w:sz w:val="24"/>
          <w:highlight w:val="none"/>
        </w:rPr>
        <w:t xml:space="preserve">42.1本工程发包人同意承包人分包的专业工程： </w:t>
      </w:r>
      <w:r>
        <w:rPr>
          <w:rFonts w:hint="eastAsia"/>
          <w:sz w:val="24"/>
          <w:highlight w:val="none"/>
          <w:u w:val="single"/>
        </w:rPr>
        <w:t xml:space="preserve">    无     </w:t>
      </w:r>
    </w:p>
    <w:p w14:paraId="6DBEA2F1">
      <w:pPr>
        <w:widowControl/>
        <w:spacing w:line="360" w:lineRule="auto"/>
        <w:ind w:firstLine="480" w:firstLineChars="200"/>
        <w:rPr>
          <w:b/>
          <w:sz w:val="24"/>
          <w:highlight w:val="none"/>
          <w:u w:val="single"/>
        </w:rPr>
      </w:pPr>
      <w:r>
        <w:rPr>
          <w:rFonts w:hint="eastAsia"/>
          <w:sz w:val="24"/>
          <w:highlight w:val="none"/>
        </w:rPr>
        <w:t xml:space="preserve">分包施工单位为：  </w:t>
      </w:r>
      <w:r>
        <w:rPr>
          <w:rFonts w:hint="eastAsia"/>
          <w:sz w:val="24"/>
          <w:highlight w:val="none"/>
          <w:u w:val="single"/>
        </w:rPr>
        <w:t xml:space="preserve">     无     </w:t>
      </w:r>
    </w:p>
    <w:p w14:paraId="3F86693C">
      <w:pPr>
        <w:widowControl/>
        <w:spacing w:line="360" w:lineRule="auto"/>
        <w:ind w:firstLine="480" w:firstLineChars="200"/>
        <w:rPr>
          <w:b/>
          <w:sz w:val="24"/>
          <w:highlight w:val="none"/>
        </w:rPr>
      </w:pPr>
      <w:r>
        <w:rPr>
          <w:rFonts w:hint="eastAsia"/>
          <w:sz w:val="24"/>
          <w:highlight w:val="none"/>
        </w:rPr>
        <w:t>43、不可抗力</w:t>
      </w:r>
    </w:p>
    <w:p w14:paraId="37A47CA0">
      <w:pPr>
        <w:widowControl/>
        <w:spacing w:line="360" w:lineRule="auto"/>
        <w:ind w:right="2" w:rightChars="1" w:firstLine="480" w:firstLineChars="200"/>
        <w:rPr>
          <w:b/>
          <w:sz w:val="24"/>
          <w:highlight w:val="none"/>
        </w:rPr>
      </w:pPr>
      <w:r>
        <w:rPr>
          <w:rFonts w:hint="eastAsia"/>
          <w:sz w:val="24"/>
          <w:highlight w:val="none"/>
        </w:rPr>
        <w:t>43.1双方关于不可抗力的约定：</w:t>
      </w:r>
    </w:p>
    <w:p w14:paraId="6E73076D">
      <w:pPr>
        <w:widowControl/>
        <w:spacing w:line="360" w:lineRule="auto"/>
        <w:ind w:left="502" w:leftChars="228" w:right="2" w:rightChars="1" w:firstLine="480" w:firstLineChars="200"/>
        <w:rPr>
          <w:b/>
          <w:sz w:val="24"/>
          <w:highlight w:val="none"/>
        </w:rPr>
      </w:pPr>
      <w:r>
        <w:rPr>
          <w:rFonts w:hint="eastAsia"/>
          <w:sz w:val="24"/>
          <w:highlight w:val="none"/>
        </w:rPr>
        <w:t>不可抗力包括战争、动乱、空中飞行物体坠落、造成灾害性影响的地震或其他非发包人承包人责任造成的爆炸。</w:t>
      </w:r>
    </w:p>
    <w:p w14:paraId="61D08760">
      <w:pPr>
        <w:widowControl/>
        <w:spacing w:line="360" w:lineRule="auto"/>
        <w:ind w:right="2" w:rightChars="1" w:firstLine="480" w:firstLineChars="200"/>
        <w:rPr>
          <w:b/>
          <w:sz w:val="24"/>
          <w:highlight w:val="none"/>
        </w:rPr>
      </w:pPr>
      <w:r>
        <w:rPr>
          <w:rFonts w:hint="eastAsia"/>
          <w:sz w:val="24"/>
          <w:highlight w:val="none"/>
        </w:rPr>
        <w:t>44、保险</w:t>
      </w:r>
    </w:p>
    <w:p w14:paraId="1BECDAB4">
      <w:pPr>
        <w:widowControl/>
        <w:spacing w:line="360" w:lineRule="auto"/>
        <w:ind w:right="2" w:rightChars="1" w:firstLine="480" w:firstLineChars="200"/>
        <w:rPr>
          <w:b/>
          <w:sz w:val="24"/>
          <w:highlight w:val="none"/>
        </w:rPr>
      </w:pPr>
      <w:r>
        <w:rPr>
          <w:rFonts w:hint="eastAsia"/>
          <w:sz w:val="24"/>
          <w:highlight w:val="none"/>
        </w:rPr>
        <w:t>44.6本工程双方约定投保内容如下：</w:t>
      </w:r>
    </w:p>
    <w:p w14:paraId="57C177A9">
      <w:pPr>
        <w:widowControl/>
        <w:spacing w:line="360" w:lineRule="auto"/>
        <w:ind w:right="2" w:rightChars="1" w:firstLine="480" w:firstLineChars="200"/>
        <w:rPr>
          <w:b/>
          <w:sz w:val="24"/>
          <w:highlight w:val="none"/>
          <w:u w:val="single"/>
        </w:rPr>
      </w:pPr>
      <w:r>
        <w:rPr>
          <w:rFonts w:hint="eastAsia"/>
          <w:sz w:val="24"/>
          <w:highlight w:val="none"/>
        </w:rPr>
        <w:t>（1）发包人投保内容：</w:t>
      </w:r>
      <w:r>
        <w:rPr>
          <w:rFonts w:hint="eastAsia"/>
          <w:sz w:val="24"/>
          <w:highlight w:val="none"/>
          <w:u w:val="single"/>
        </w:rPr>
        <w:t>为建设工程和施工场地内的自有人员生命财产办理保险。</w:t>
      </w:r>
    </w:p>
    <w:p w14:paraId="270A5CB3">
      <w:pPr>
        <w:widowControl/>
        <w:spacing w:line="360" w:lineRule="auto"/>
        <w:ind w:right="2" w:rightChars="1" w:firstLine="480" w:firstLineChars="200"/>
        <w:rPr>
          <w:b/>
          <w:sz w:val="24"/>
          <w:highlight w:val="none"/>
          <w:u w:val="single"/>
        </w:rPr>
      </w:pPr>
      <w:r>
        <w:rPr>
          <w:rFonts w:hint="eastAsia"/>
          <w:sz w:val="24"/>
          <w:highlight w:val="none"/>
        </w:rPr>
        <w:t xml:space="preserve">发包人委托承包人办理的保险事项： </w:t>
      </w:r>
      <w:r>
        <w:rPr>
          <w:rFonts w:hint="eastAsia"/>
          <w:sz w:val="24"/>
          <w:highlight w:val="none"/>
          <w:u w:val="single"/>
        </w:rPr>
        <w:t xml:space="preserve">      无     </w:t>
      </w:r>
    </w:p>
    <w:p w14:paraId="5CB26F40">
      <w:pPr>
        <w:widowControl/>
        <w:spacing w:line="360" w:lineRule="auto"/>
        <w:ind w:right="2" w:rightChars="1" w:firstLine="480" w:firstLineChars="200"/>
        <w:rPr>
          <w:b/>
          <w:sz w:val="24"/>
          <w:highlight w:val="none"/>
          <w:u w:val="single"/>
        </w:rPr>
      </w:pPr>
      <w:r>
        <w:rPr>
          <w:rFonts w:hint="eastAsia"/>
          <w:sz w:val="24"/>
          <w:highlight w:val="none"/>
        </w:rPr>
        <w:t>（2）承包人投保内容：</w:t>
      </w:r>
      <w:r>
        <w:rPr>
          <w:rFonts w:hint="eastAsia"/>
          <w:sz w:val="24"/>
          <w:highlight w:val="none"/>
          <w:u w:val="single"/>
        </w:rPr>
        <w:t>为从事危险作业的职工办理意外伤害保险，并为施工场地内自有人员生命财产和机械设备办理保险，并支付相应的保险费用。</w:t>
      </w:r>
    </w:p>
    <w:p w14:paraId="3FC7C132">
      <w:pPr>
        <w:widowControl/>
        <w:spacing w:line="360" w:lineRule="auto"/>
        <w:ind w:right="2" w:rightChars="1" w:firstLine="480" w:firstLineChars="200"/>
        <w:rPr>
          <w:b/>
          <w:sz w:val="24"/>
          <w:highlight w:val="none"/>
        </w:rPr>
      </w:pPr>
      <w:r>
        <w:rPr>
          <w:rFonts w:hint="eastAsia"/>
          <w:sz w:val="24"/>
          <w:highlight w:val="none"/>
        </w:rPr>
        <w:t>45、担保</w:t>
      </w:r>
    </w:p>
    <w:p w14:paraId="21ED511A">
      <w:pPr>
        <w:widowControl/>
        <w:spacing w:line="360" w:lineRule="auto"/>
        <w:ind w:right="2" w:rightChars="1" w:firstLine="480" w:firstLineChars="200"/>
        <w:rPr>
          <w:b/>
          <w:sz w:val="24"/>
          <w:highlight w:val="none"/>
        </w:rPr>
      </w:pPr>
      <w:r>
        <w:rPr>
          <w:rFonts w:hint="eastAsia"/>
          <w:sz w:val="24"/>
          <w:highlight w:val="none"/>
        </w:rPr>
        <w:t>45.3本工程双方约定担保事项如下：</w:t>
      </w:r>
    </w:p>
    <w:p w14:paraId="062D9106">
      <w:pPr>
        <w:widowControl/>
        <w:spacing w:line="360" w:lineRule="auto"/>
        <w:ind w:right="2" w:rightChars="1" w:firstLine="480" w:firstLineChars="200"/>
        <w:rPr>
          <w:b/>
          <w:sz w:val="24"/>
          <w:highlight w:val="none"/>
        </w:rPr>
      </w:pPr>
      <w:r>
        <w:rPr>
          <w:rFonts w:hint="eastAsia"/>
          <w:sz w:val="24"/>
          <w:highlight w:val="none"/>
        </w:rPr>
        <w:t>（1）发包人向承包人提供支付担保，担保方式为：</w:t>
      </w:r>
      <w:r>
        <w:rPr>
          <w:rFonts w:hint="eastAsia"/>
          <w:sz w:val="24"/>
          <w:highlight w:val="none"/>
          <w:u w:val="single"/>
        </w:rPr>
        <w:t xml:space="preserve">     /              </w:t>
      </w:r>
      <w:r>
        <w:rPr>
          <w:rFonts w:hint="eastAsia"/>
          <w:sz w:val="24"/>
          <w:highlight w:val="none"/>
        </w:rPr>
        <w:t xml:space="preserve"> ，担保金额：</w:t>
      </w:r>
      <w:r>
        <w:rPr>
          <w:rFonts w:hint="eastAsia"/>
          <w:sz w:val="24"/>
          <w:highlight w:val="none"/>
          <w:u w:val="single"/>
        </w:rPr>
        <w:t xml:space="preserve">      /       </w:t>
      </w:r>
      <w:r>
        <w:rPr>
          <w:rFonts w:hint="eastAsia"/>
          <w:sz w:val="24"/>
          <w:highlight w:val="none"/>
        </w:rPr>
        <w:t xml:space="preserve">  ，担保有效期：</w:t>
      </w:r>
      <w:r>
        <w:rPr>
          <w:rFonts w:hint="eastAsia"/>
          <w:sz w:val="24"/>
          <w:highlight w:val="none"/>
          <w:u w:val="single"/>
        </w:rPr>
        <w:t xml:space="preserve">         /      </w:t>
      </w:r>
      <w:r>
        <w:rPr>
          <w:rFonts w:hint="eastAsia"/>
          <w:sz w:val="24"/>
          <w:highlight w:val="none"/>
        </w:rPr>
        <w:t>。</w:t>
      </w:r>
    </w:p>
    <w:p w14:paraId="2873B6D7">
      <w:pPr>
        <w:widowControl/>
        <w:spacing w:line="360" w:lineRule="auto"/>
        <w:ind w:right="2" w:rightChars="1" w:firstLine="480" w:firstLineChars="200"/>
        <w:rPr>
          <w:b/>
          <w:sz w:val="24"/>
          <w:highlight w:val="none"/>
          <w:u w:val="single"/>
        </w:rPr>
      </w:pPr>
      <w:r>
        <w:rPr>
          <w:rFonts w:hint="eastAsia"/>
          <w:sz w:val="24"/>
          <w:highlight w:val="none"/>
        </w:rPr>
        <w:t xml:space="preserve">（2）承包人向发包人提供履约担保，担保方式为： </w:t>
      </w:r>
      <w:r>
        <w:rPr>
          <w:rFonts w:hint="eastAsia"/>
          <w:sz w:val="24"/>
          <w:highlight w:val="none"/>
          <w:u w:val="single"/>
        </w:rPr>
        <w:t xml:space="preserve">  /   </w:t>
      </w:r>
    </w:p>
    <w:p w14:paraId="34A44EDA">
      <w:pPr>
        <w:widowControl/>
        <w:spacing w:line="360" w:lineRule="auto"/>
        <w:ind w:right="2" w:rightChars="1" w:firstLine="480" w:firstLineChars="200"/>
        <w:rPr>
          <w:b/>
          <w:sz w:val="24"/>
          <w:highlight w:val="none"/>
        </w:rPr>
      </w:pPr>
      <w:r>
        <w:rPr>
          <w:rFonts w:hint="eastAsia"/>
          <w:sz w:val="24"/>
          <w:highlight w:val="none"/>
        </w:rPr>
        <w:t xml:space="preserve">，担保金额： </w:t>
      </w:r>
      <w:r>
        <w:rPr>
          <w:rFonts w:hint="eastAsia"/>
          <w:sz w:val="24"/>
          <w:highlight w:val="none"/>
          <w:u w:val="single"/>
        </w:rPr>
        <w:t xml:space="preserve">  / </w:t>
      </w:r>
      <w:r>
        <w:rPr>
          <w:rFonts w:hint="eastAsia"/>
          <w:sz w:val="24"/>
          <w:highlight w:val="none"/>
        </w:rPr>
        <w:t xml:space="preserve"> ，担保有效期：</w:t>
      </w:r>
      <w:r>
        <w:rPr>
          <w:rFonts w:hint="eastAsia"/>
          <w:sz w:val="24"/>
          <w:highlight w:val="none"/>
          <w:u w:val="single"/>
        </w:rPr>
        <w:t xml:space="preserve">   /    </w:t>
      </w:r>
      <w:r>
        <w:rPr>
          <w:rFonts w:hint="eastAsia"/>
          <w:sz w:val="24"/>
          <w:highlight w:val="none"/>
        </w:rPr>
        <w:t>。</w:t>
      </w:r>
    </w:p>
    <w:p w14:paraId="48478874">
      <w:pPr>
        <w:widowControl/>
        <w:spacing w:line="360" w:lineRule="auto"/>
        <w:ind w:right="2" w:rightChars="1" w:firstLine="480" w:firstLineChars="200"/>
        <w:rPr>
          <w:b/>
          <w:sz w:val="24"/>
          <w:highlight w:val="none"/>
        </w:rPr>
      </w:pPr>
      <w:r>
        <w:rPr>
          <w:rFonts w:hint="eastAsia"/>
          <w:sz w:val="24"/>
          <w:highlight w:val="none"/>
        </w:rPr>
        <w:t xml:space="preserve">（3）双方约定的其他担保事项： </w:t>
      </w:r>
      <w:r>
        <w:rPr>
          <w:rFonts w:hint="eastAsia"/>
          <w:sz w:val="24"/>
          <w:highlight w:val="none"/>
          <w:u w:val="single"/>
        </w:rPr>
        <w:t xml:space="preserve">            /          </w:t>
      </w:r>
      <w:r>
        <w:rPr>
          <w:rFonts w:hint="eastAsia"/>
          <w:sz w:val="24"/>
          <w:highlight w:val="none"/>
        </w:rPr>
        <w:t xml:space="preserve"> 。</w:t>
      </w:r>
    </w:p>
    <w:p w14:paraId="48273C80">
      <w:pPr>
        <w:widowControl/>
        <w:spacing w:line="360" w:lineRule="auto"/>
        <w:ind w:right="2" w:rightChars="1" w:firstLine="480" w:firstLineChars="200"/>
        <w:rPr>
          <w:b/>
          <w:sz w:val="24"/>
          <w:highlight w:val="none"/>
        </w:rPr>
      </w:pPr>
      <w:r>
        <w:rPr>
          <w:rFonts w:hint="eastAsia"/>
          <w:sz w:val="24"/>
          <w:highlight w:val="none"/>
        </w:rPr>
        <w:t>50、合同份数</w:t>
      </w:r>
    </w:p>
    <w:p w14:paraId="0A137446">
      <w:pPr>
        <w:widowControl/>
        <w:spacing w:line="360" w:lineRule="auto"/>
        <w:ind w:right="2" w:rightChars="1" w:firstLine="480" w:firstLineChars="200"/>
        <w:rPr>
          <w:b/>
          <w:sz w:val="24"/>
          <w:highlight w:val="none"/>
          <w:u w:val="single"/>
        </w:rPr>
      </w:pPr>
      <w:r>
        <w:rPr>
          <w:rFonts w:hint="eastAsia"/>
          <w:sz w:val="24"/>
          <w:highlight w:val="none"/>
        </w:rPr>
        <w:t>50.2双方约定合同副本份数：</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份，甲方执 </w:t>
      </w:r>
      <w:r>
        <w:rPr>
          <w:sz w:val="24"/>
          <w:highlight w:val="none"/>
          <w:u w:val="single"/>
        </w:rPr>
        <w:t xml:space="preserve">  </w:t>
      </w:r>
      <w:r>
        <w:rPr>
          <w:rFonts w:hint="eastAsia"/>
          <w:sz w:val="24"/>
          <w:highlight w:val="none"/>
          <w:u w:val="single"/>
        </w:rPr>
        <w:t xml:space="preserve">份、乙方执 </w:t>
      </w:r>
      <w:r>
        <w:rPr>
          <w:sz w:val="24"/>
          <w:highlight w:val="none"/>
          <w:u w:val="single"/>
        </w:rPr>
        <w:t xml:space="preserve">  </w:t>
      </w:r>
      <w:r>
        <w:rPr>
          <w:rFonts w:hint="eastAsia"/>
          <w:sz w:val="24"/>
          <w:highlight w:val="none"/>
          <w:u w:val="single"/>
        </w:rPr>
        <w:t>份。每份均具有同等法律效力。</w:t>
      </w:r>
    </w:p>
    <w:p w14:paraId="170B85F1">
      <w:pPr>
        <w:widowControl/>
        <w:spacing w:line="360" w:lineRule="auto"/>
        <w:ind w:right="2" w:rightChars="1" w:firstLine="360" w:firstLineChars="150"/>
        <w:rPr>
          <w:b/>
          <w:sz w:val="24"/>
          <w:highlight w:val="none"/>
        </w:rPr>
      </w:pPr>
      <w:r>
        <w:rPr>
          <w:rFonts w:hint="eastAsia"/>
          <w:sz w:val="24"/>
          <w:highlight w:val="none"/>
        </w:rPr>
        <w:t xml:space="preserve"> 51、补充条款</w:t>
      </w:r>
    </w:p>
    <w:p w14:paraId="58C4153A">
      <w:pPr>
        <w:pStyle w:val="238"/>
        <w:snapToGrid w:val="0"/>
        <w:spacing w:before="0" w:beforeAutospacing="0" w:after="0" w:afterAutospacing="0" w:line="500" w:lineRule="exact"/>
        <w:ind w:firstLine="424" w:firstLineChars="177"/>
        <w:rPr>
          <w:highlight w:val="none"/>
        </w:rPr>
      </w:pPr>
      <w:r>
        <w:rPr>
          <w:highlight w:val="none"/>
        </w:rPr>
        <w:t xml:space="preserve">51.1 </w:t>
      </w:r>
      <w:r>
        <w:rPr>
          <w:rFonts w:hint="eastAsia"/>
          <w:highlight w:val="none"/>
        </w:rPr>
        <w:t>承包人进入</w:t>
      </w:r>
      <w:r>
        <w:rPr>
          <w:rFonts w:hint="eastAsia"/>
          <w:highlight w:val="none"/>
          <w:u w:val="single"/>
        </w:rPr>
        <w:t xml:space="preserve">   </w:t>
      </w:r>
      <w:r>
        <w:rPr>
          <w:rFonts w:hint="eastAsia"/>
          <w:highlight w:val="none"/>
        </w:rPr>
        <w:t>区施工，应服从</w:t>
      </w:r>
      <w:r>
        <w:rPr>
          <w:rFonts w:hint="eastAsia"/>
          <w:highlight w:val="none"/>
          <w:u w:val="single"/>
        </w:rPr>
        <w:t xml:space="preserve">      </w:t>
      </w:r>
      <w:r>
        <w:rPr>
          <w:rFonts w:hint="eastAsia"/>
          <w:highlight w:val="none"/>
        </w:rPr>
        <w:t>管委会对有关建设、市政、市容、环保、消防、供电等各部门的管理及发包人制定的各项管理制度，积极主动做好相关工作，确保工期和工程的正常运行，并自行承担因此而产生的各项费用以及因违反相关规定而造成的罚款。</w:t>
      </w:r>
    </w:p>
    <w:p w14:paraId="4E98470C">
      <w:pPr>
        <w:pStyle w:val="238"/>
        <w:snapToGrid w:val="0"/>
        <w:spacing w:before="0" w:beforeAutospacing="0" w:after="0" w:afterAutospacing="0" w:line="500" w:lineRule="exact"/>
        <w:ind w:firstLine="424" w:firstLineChars="177"/>
        <w:rPr>
          <w:highlight w:val="none"/>
        </w:rPr>
      </w:pPr>
      <w:r>
        <w:rPr>
          <w:highlight w:val="none"/>
        </w:rPr>
        <w:t>51.2</w:t>
      </w:r>
      <w:r>
        <w:rPr>
          <w:rFonts w:hint="eastAsia"/>
          <w:highlight w:val="none"/>
        </w:rPr>
        <w:t xml:space="preserve"> 承包人需与其它专业施工队进行穿插施工，但工期不能顺延。</w:t>
      </w:r>
    </w:p>
    <w:p w14:paraId="445E9030">
      <w:pPr>
        <w:pStyle w:val="238"/>
        <w:snapToGrid w:val="0"/>
        <w:spacing w:before="0" w:beforeAutospacing="0" w:after="0" w:afterAutospacing="0" w:line="500" w:lineRule="exact"/>
        <w:ind w:firstLine="424" w:firstLineChars="177"/>
        <w:rPr>
          <w:highlight w:val="none"/>
        </w:rPr>
      </w:pPr>
      <w:r>
        <w:rPr>
          <w:highlight w:val="none"/>
        </w:rPr>
        <w:t>51.</w:t>
      </w:r>
      <w:r>
        <w:rPr>
          <w:rFonts w:hint="eastAsia"/>
          <w:highlight w:val="none"/>
        </w:rPr>
        <w:t>3</w:t>
      </w:r>
      <w:r>
        <w:rPr>
          <w:highlight w:val="none"/>
        </w:rPr>
        <w:t xml:space="preserve"> </w:t>
      </w:r>
      <w:r>
        <w:rPr>
          <w:rFonts w:hint="eastAsia"/>
          <w:highlight w:val="none"/>
        </w:rPr>
        <w:t>承包人未经发包人同意，不得擅自更换发包人在招标时认定的本工程项目经理及施工人员。</w:t>
      </w:r>
    </w:p>
    <w:p w14:paraId="15527F8E">
      <w:pPr>
        <w:pStyle w:val="238"/>
        <w:snapToGrid w:val="0"/>
        <w:spacing w:before="0" w:beforeAutospacing="0" w:after="0" w:afterAutospacing="0" w:line="500" w:lineRule="exact"/>
        <w:ind w:firstLine="424" w:firstLineChars="177"/>
        <w:rPr>
          <w:highlight w:val="none"/>
        </w:rPr>
      </w:pPr>
      <w:r>
        <w:rPr>
          <w:highlight w:val="none"/>
        </w:rPr>
        <w:t>51.</w:t>
      </w:r>
      <w:r>
        <w:rPr>
          <w:rFonts w:hint="eastAsia"/>
          <w:highlight w:val="none"/>
        </w:rPr>
        <w:t>4</w:t>
      </w:r>
      <w:r>
        <w:rPr>
          <w:highlight w:val="none"/>
        </w:rPr>
        <w:t xml:space="preserve"> </w:t>
      </w:r>
      <w:r>
        <w:rPr>
          <w:rFonts w:hint="eastAsia"/>
          <w:highlight w:val="none"/>
        </w:rPr>
        <w:t>本工程开挖的土方按发包人指定地点堆放，按内倒土计算；施工图以外土方、问题坑、垃圾土外运、场内超距离运土的费用，实际发生时按现场签证工程量和发包人认定价格进行结算。</w:t>
      </w:r>
    </w:p>
    <w:p w14:paraId="0B1EEBD1">
      <w:pPr>
        <w:pStyle w:val="238"/>
        <w:snapToGrid w:val="0"/>
        <w:spacing w:before="0" w:beforeAutospacing="0" w:after="0" w:afterAutospacing="0" w:line="500" w:lineRule="exact"/>
        <w:ind w:firstLine="424" w:firstLineChars="177"/>
        <w:rPr>
          <w:highlight w:val="none"/>
        </w:rPr>
      </w:pPr>
      <w:r>
        <w:rPr>
          <w:rFonts w:hint="eastAsia"/>
          <w:highlight w:val="none"/>
        </w:rPr>
        <w:t>51.5 招标后发、承包双方确认的工程量清单作为结算的依据，承包人编制的工程结算书应包含变更签证费用，由承包人上报发包人，发包人审核后确定结算造价。</w:t>
      </w:r>
    </w:p>
    <w:p w14:paraId="662FD4D8">
      <w:pPr>
        <w:pStyle w:val="238"/>
        <w:snapToGrid w:val="0"/>
        <w:spacing w:before="0" w:beforeAutospacing="0" w:after="0" w:afterAutospacing="0" w:line="500" w:lineRule="exact"/>
        <w:ind w:firstLine="424" w:firstLineChars="177"/>
        <w:rPr>
          <w:highlight w:val="none"/>
        </w:rPr>
      </w:pPr>
      <w:r>
        <w:rPr>
          <w:rFonts w:hint="eastAsia"/>
          <w:highlight w:val="none"/>
        </w:rPr>
        <w:t>51.6 工程竣工后，承包人应严格按照招标确定的计算方法编制结算，如发生多估冒算，超出审核定案工程造价的3</w:t>
      </w:r>
      <w:r>
        <w:rPr>
          <w:highlight w:val="none"/>
        </w:rPr>
        <w:t>%</w:t>
      </w:r>
      <w:r>
        <w:rPr>
          <w:rFonts w:hint="eastAsia"/>
          <w:highlight w:val="none"/>
        </w:rPr>
        <w:t xml:space="preserve">以外部分的审计费由承包人承担。   </w:t>
      </w:r>
    </w:p>
    <w:p w14:paraId="3CB65C00">
      <w:pPr>
        <w:pStyle w:val="238"/>
        <w:snapToGrid w:val="0"/>
        <w:spacing w:before="0" w:beforeAutospacing="0" w:after="0" w:afterAutospacing="0" w:line="500" w:lineRule="exact"/>
        <w:ind w:firstLine="424" w:firstLineChars="177"/>
        <w:rPr>
          <w:highlight w:val="none"/>
        </w:rPr>
      </w:pPr>
      <w:r>
        <w:rPr>
          <w:highlight w:val="none"/>
        </w:rPr>
        <w:t>51.</w:t>
      </w:r>
      <w:r>
        <w:rPr>
          <w:rFonts w:hint="eastAsia"/>
          <w:highlight w:val="none"/>
        </w:rPr>
        <w:t>7</w:t>
      </w:r>
      <w:r>
        <w:rPr>
          <w:highlight w:val="none"/>
        </w:rPr>
        <w:t xml:space="preserve"> </w:t>
      </w:r>
      <w:r>
        <w:rPr>
          <w:rFonts w:hint="eastAsia"/>
          <w:highlight w:val="none"/>
        </w:rPr>
        <w:t>对设计变更发生的签证和工程变更价格，双方除按合同通用条款</w:t>
      </w:r>
      <w:r>
        <w:rPr>
          <w:highlight w:val="none"/>
        </w:rPr>
        <w:t>33.1</w:t>
      </w:r>
      <w:r>
        <w:rPr>
          <w:rFonts w:hint="eastAsia"/>
          <w:highlight w:val="none"/>
        </w:rPr>
        <w:t>和</w:t>
      </w:r>
      <w:r>
        <w:rPr>
          <w:highlight w:val="none"/>
        </w:rPr>
        <w:t>35.1</w:t>
      </w:r>
      <w:r>
        <w:rPr>
          <w:rFonts w:hint="eastAsia"/>
          <w:highlight w:val="none"/>
        </w:rPr>
        <w:t>执行外，承包人不得以任何理由拒绝、拖延施工，否则承包人应承担违约责任。</w:t>
      </w:r>
    </w:p>
    <w:p w14:paraId="29E45227">
      <w:pPr>
        <w:pStyle w:val="238"/>
        <w:snapToGrid w:val="0"/>
        <w:spacing w:before="0" w:beforeAutospacing="0" w:after="0" w:afterAutospacing="0" w:line="500" w:lineRule="exact"/>
        <w:ind w:firstLine="424" w:firstLineChars="177"/>
        <w:rPr>
          <w:highlight w:val="none"/>
        </w:rPr>
      </w:pPr>
      <w:r>
        <w:rPr>
          <w:highlight w:val="none"/>
        </w:rPr>
        <w:t>51.</w:t>
      </w:r>
      <w:r>
        <w:rPr>
          <w:rFonts w:hint="eastAsia"/>
          <w:highlight w:val="none"/>
        </w:rPr>
        <w:t>8</w:t>
      </w:r>
      <w:r>
        <w:rPr>
          <w:highlight w:val="none"/>
        </w:rPr>
        <w:t xml:space="preserve"> </w:t>
      </w:r>
      <w:r>
        <w:rPr>
          <w:rFonts w:hint="eastAsia"/>
          <w:highlight w:val="none"/>
        </w:rPr>
        <w:t>现场工程经济签证，承包人应及时并按发包人经济签证规定办理，未经有关部门签证或签证不全者结算时将不予承认。</w:t>
      </w:r>
    </w:p>
    <w:p w14:paraId="4610D0AC">
      <w:pPr>
        <w:pStyle w:val="238"/>
        <w:snapToGrid w:val="0"/>
        <w:spacing w:line="500" w:lineRule="exact"/>
        <w:ind w:firstLine="424" w:firstLineChars="177"/>
        <w:rPr>
          <w:highlight w:val="none"/>
        </w:rPr>
      </w:pPr>
      <w:r>
        <w:rPr>
          <w:highlight w:val="none"/>
        </w:rPr>
        <w:t>51.9由于设计变更、签证引起工作量变化，结算按以下原则办理：</w:t>
      </w:r>
    </w:p>
    <w:p w14:paraId="776428E3">
      <w:pPr>
        <w:pStyle w:val="238"/>
        <w:snapToGrid w:val="0"/>
        <w:spacing w:line="500" w:lineRule="exact"/>
        <w:ind w:firstLine="424" w:firstLineChars="177"/>
        <w:rPr>
          <w:highlight w:val="none"/>
        </w:rPr>
      </w:pPr>
      <w:r>
        <w:rPr>
          <w:rFonts w:hint="eastAsia"/>
          <w:highlight w:val="none"/>
        </w:rPr>
        <w:t>（</w:t>
      </w:r>
      <w:r>
        <w:rPr>
          <w:highlight w:val="none"/>
        </w:rPr>
        <w:t>1） 只是项目用料（包括规格）改变时，只调整相应项目的主材费用，若主材单价表没有该种材料，则该主材费用需经招标人确认价后进行换算，换算时仅计算主要材料价差和规费、税金。</w:t>
      </w:r>
    </w:p>
    <w:p w14:paraId="3EFB8ED6">
      <w:pPr>
        <w:pStyle w:val="238"/>
        <w:snapToGrid w:val="0"/>
        <w:spacing w:line="500" w:lineRule="exact"/>
        <w:ind w:firstLine="424" w:firstLineChars="177"/>
        <w:rPr>
          <w:highlight w:val="none"/>
        </w:rPr>
      </w:pPr>
      <w:r>
        <w:rPr>
          <w:rFonts w:hint="eastAsia"/>
          <w:highlight w:val="none"/>
        </w:rPr>
        <w:t>（</w:t>
      </w:r>
      <w:r>
        <w:rPr>
          <w:highlight w:val="none"/>
        </w:rPr>
        <w:t>2）若工程量清单中未有的项目，首先参照工程量清单类似项目计价，没有类似项目的，按照标底编制原则计算直接费，其中投标报价中已有的材料按投标报价中材料价作为结算材料价，投标报价中没有的材料价按招标人确认价或调拨价作为结算材料价；各项取费按清单工程量规定的费率、招标文件中规定的计算原则计算出总价，再乘以中标总价与标底价的比例作为结算价。</w:t>
      </w:r>
    </w:p>
    <w:p w14:paraId="17E49818">
      <w:pPr>
        <w:pStyle w:val="238"/>
        <w:snapToGrid w:val="0"/>
        <w:spacing w:line="500" w:lineRule="exact"/>
        <w:ind w:firstLine="424" w:firstLineChars="177"/>
        <w:rPr>
          <w:highlight w:val="none"/>
        </w:rPr>
      </w:pPr>
      <w:r>
        <w:rPr>
          <w:rFonts w:hint="eastAsia"/>
          <w:highlight w:val="none"/>
        </w:rPr>
        <w:t>（</w:t>
      </w:r>
      <w:r>
        <w:rPr>
          <w:highlight w:val="none"/>
        </w:rPr>
        <w:t>3）若由于材料变化引起综合单价的变化，自承包人收到变更单后一个月内上报调整综合单价，经发包人审核确认后作为结算的依据。</w:t>
      </w:r>
    </w:p>
    <w:p w14:paraId="4529D505">
      <w:pPr>
        <w:pStyle w:val="238"/>
        <w:snapToGrid w:val="0"/>
        <w:spacing w:before="0" w:beforeAutospacing="0" w:after="0" w:afterAutospacing="0" w:line="500" w:lineRule="exact"/>
        <w:ind w:firstLine="424" w:firstLineChars="177"/>
        <w:rPr>
          <w:highlight w:val="none"/>
        </w:rPr>
      </w:pPr>
      <w:r>
        <w:rPr>
          <w:highlight w:val="none"/>
        </w:rPr>
        <w:t>51.10承包人中标的措施项目费为合同价款的组成部分，一般不作调整。但出现下列情况时可作调整：（1）发包人更改已审定的施工方案（修正错误除外），引起措施项目费用增加时予以增加，减少时不予减少；（2）由于工程量变化引起措施项目费用增加时予以增加，减少时予以减少；（3）由于设计变更、签证工程量变化引起措施项目费用增加时予以增加，减少时予以减少。以上情况发生时，承包人原中标价以综合单价计算的措施项目按合同51.9（2）条办理；承包人原中标价以系数计算的措施项目，按原中标系数计算。</w:t>
      </w:r>
    </w:p>
    <w:p w14:paraId="610E27E9">
      <w:pPr>
        <w:pStyle w:val="238"/>
        <w:snapToGrid w:val="0"/>
        <w:spacing w:before="0" w:beforeAutospacing="0" w:after="0" w:afterAutospacing="0" w:line="500" w:lineRule="exact"/>
        <w:ind w:firstLine="424" w:firstLineChars="177"/>
        <w:rPr>
          <w:highlight w:val="none"/>
        </w:rPr>
      </w:pPr>
      <w:r>
        <w:rPr>
          <w:highlight w:val="none"/>
        </w:rPr>
        <w:t>51.1</w:t>
      </w:r>
      <w:r>
        <w:rPr>
          <w:rFonts w:hint="eastAsia"/>
          <w:highlight w:val="none"/>
        </w:rPr>
        <w:t>1</w:t>
      </w:r>
      <w:r>
        <w:rPr>
          <w:highlight w:val="none"/>
        </w:rPr>
        <w:t xml:space="preserve"> </w:t>
      </w:r>
      <w:r>
        <w:rPr>
          <w:rFonts w:hint="eastAsia"/>
          <w:highlight w:val="none"/>
        </w:rPr>
        <w:t>《陕西省建设工程工程量清单计价规则》中规定的其他项目清单的暂列金额、计日工，属于招标人发生的预估费用，归招标人所有，在工程付款和结算时扣除。</w:t>
      </w:r>
    </w:p>
    <w:p w14:paraId="48A28BEE">
      <w:pPr>
        <w:pStyle w:val="238"/>
        <w:snapToGrid w:val="0"/>
        <w:spacing w:before="0" w:beforeAutospacing="0" w:after="0" w:afterAutospacing="0" w:line="500" w:lineRule="exact"/>
        <w:ind w:firstLine="424" w:firstLineChars="177"/>
        <w:rPr>
          <w:highlight w:val="none"/>
        </w:rPr>
      </w:pPr>
      <w:r>
        <w:rPr>
          <w:rFonts w:hint="eastAsia"/>
          <w:highlight w:val="none"/>
        </w:rPr>
        <w:t>51.12 保修：乙方在工程交工验收后五天内，应向甲方提交工程保修书。保修期从本工程验收合格之日起计算。</w:t>
      </w:r>
    </w:p>
    <w:p w14:paraId="66D6011F">
      <w:pPr>
        <w:pStyle w:val="238"/>
        <w:snapToGrid w:val="0"/>
        <w:spacing w:before="0" w:beforeAutospacing="0" w:after="0" w:afterAutospacing="0" w:line="500" w:lineRule="exact"/>
        <w:ind w:firstLine="424" w:firstLineChars="177"/>
        <w:rPr>
          <w:highlight w:val="none"/>
        </w:rPr>
      </w:pPr>
      <w:r>
        <w:rPr>
          <w:rFonts w:hint="eastAsia"/>
          <w:highlight w:val="none"/>
        </w:rPr>
        <w:t>51.13 材料、设备结算方式：无</w:t>
      </w:r>
      <w:r>
        <w:rPr>
          <w:highlight w:val="none"/>
        </w:rPr>
        <w:t>。</w:t>
      </w:r>
    </w:p>
    <w:p w14:paraId="67AFDA4D">
      <w:pPr>
        <w:pStyle w:val="238"/>
        <w:snapToGrid w:val="0"/>
        <w:spacing w:before="0" w:beforeAutospacing="0" w:after="0" w:afterAutospacing="0" w:line="500" w:lineRule="exact"/>
        <w:ind w:firstLine="424" w:firstLineChars="177"/>
        <w:rPr>
          <w:highlight w:val="none"/>
        </w:rPr>
      </w:pPr>
      <w:r>
        <w:rPr>
          <w:rFonts w:hint="eastAsia"/>
          <w:highlight w:val="none"/>
        </w:rPr>
        <w:t>51.14 遵守地方政府和有关部门对施工现场扬尘污染问题的规定，工地出入口道路必须硬化，必须进行净化处理，并配合专门的清洗设备和人员，负责清除驶出施工工地运输车体和车轮的泥土，车体和车轮不得带泥土驶出工地。承包人负责承担违反上述规定所发生的费用。</w:t>
      </w:r>
    </w:p>
    <w:p w14:paraId="3D275E27">
      <w:pPr>
        <w:pStyle w:val="238"/>
        <w:snapToGrid w:val="0"/>
        <w:spacing w:before="0" w:beforeAutospacing="0" w:after="0" w:afterAutospacing="0" w:line="500" w:lineRule="exact"/>
        <w:ind w:firstLine="424" w:firstLineChars="177"/>
        <w:rPr>
          <w:highlight w:val="none"/>
        </w:rPr>
      </w:pPr>
      <w:r>
        <w:rPr>
          <w:highlight w:val="none"/>
        </w:rPr>
        <w:t>51.1</w:t>
      </w:r>
      <w:r>
        <w:rPr>
          <w:rFonts w:hint="eastAsia"/>
          <w:highlight w:val="none"/>
        </w:rPr>
        <w:t xml:space="preserve">5 </w:t>
      </w:r>
      <w:r>
        <w:rPr>
          <w:highlight w:val="none"/>
        </w:rPr>
        <w:t>按照国家、西安市有关规定，承包人应按月对民工工资造册上报发包人，承包人确保按月发放民工工资，如不能按月发放民工工资而引起纠纷，发包人可根据民工工资单代为发放，并从承包人工程款中扣除</w:t>
      </w:r>
      <w:r>
        <w:rPr>
          <w:rFonts w:hint="eastAsia"/>
          <w:highlight w:val="none"/>
        </w:rPr>
        <w:t>。</w:t>
      </w:r>
    </w:p>
    <w:p w14:paraId="10A16EC9">
      <w:pPr>
        <w:pStyle w:val="238"/>
        <w:snapToGrid w:val="0"/>
        <w:spacing w:before="0" w:beforeAutospacing="0" w:after="0" w:afterAutospacing="0" w:line="500" w:lineRule="exact"/>
        <w:ind w:firstLine="424" w:firstLineChars="177"/>
        <w:rPr>
          <w:highlight w:val="none"/>
        </w:rPr>
      </w:pPr>
      <w:r>
        <w:rPr>
          <w:rFonts w:hint="eastAsia"/>
          <w:highlight w:val="none"/>
        </w:rPr>
        <w:t>51.1</w:t>
      </w:r>
      <w:r>
        <w:rPr>
          <w:highlight w:val="none"/>
        </w:rPr>
        <w:t>6</w:t>
      </w:r>
      <w:r>
        <w:rPr>
          <w:rFonts w:hint="eastAsia"/>
          <w:highlight w:val="none"/>
        </w:rPr>
        <w:t>根据政府要求或市场需要，发生工程停建、范围缩减或工程设计修改，导致相应承包工程项目不存在或不再继续建设的，发包人有权单方面解除合同，双方按照合同约定以及相应的中标单价对已完工程量据实结算（本条所述情况不适用合同专用条款第26.2（2）③条的约定）。</w:t>
      </w:r>
    </w:p>
    <w:p w14:paraId="4F7E45E4">
      <w:pPr>
        <w:pStyle w:val="238"/>
        <w:snapToGrid w:val="0"/>
        <w:spacing w:before="0" w:beforeAutospacing="0" w:after="0" w:afterAutospacing="0" w:line="500" w:lineRule="exact"/>
        <w:ind w:firstLine="424" w:firstLineChars="177"/>
        <w:rPr>
          <w:highlight w:val="none"/>
        </w:rPr>
      </w:pPr>
      <w:r>
        <w:rPr>
          <w:rFonts w:hint="eastAsia"/>
          <w:highlight w:val="none"/>
        </w:rPr>
        <w:t>51.1</w:t>
      </w:r>
      <w:r>
        <w:rPr>
          <w:highlight w:val="none"/>
        </w:rPr>
        <w:t>7</w:t>
      </w:r>
      <w:r>
        <w:rPr>
          <w:rFonts w:hint="eastAsia"/>
          <w:highlight w:val="none"/>
        </w:rPr>
        <w:t>合同解除后，不影响双方在合同中约定的结算、资料提供、现场清理及收尾工作等条款的效力。</w:t>
      </w:r>
    </w:p>
    <w:p w14:paraId="5620CEB3">
      <w:pPr>
        <w:pStyle w:val="238"/>
        <w:snapToGrid w:val="0"/>
        <w:spacing w:before="0" w:beforeAutospacing="0" w:after="0" w:afterAutospacing="0" w:line="500" w:lineRule="exact"/>
        <w:ind w:firstLine="424" w:firstLineChars="177"/>
        <w:rPr>
          <w:highlight w:val="none"/>
        </w:rPr>
      </w:pPr>
      <w:r>
        <w:rPr>
          <w:rFonts w:hint="eastAsia"/>
          <w:highlight w:val="none"/>
        </w:rPr>
        <w:t>51.1</w:t>
      </w:r>
      <w:r>
        <w:rPr>
          <w:highlight w:val="none"/>
        </w:rPr>
        <w:t>8</w:t>
      </w:r>
      <w:r>
        <w:rPr>
          <w:rFonts w:hint="eastAsia"/>
          <w:highlight w:val="none"/>
        </w:rPr>
        <w:t>承包人现场施工管理不满足发包人要求的，在发包人或监理提出整改意见后，于要求的整改期内未整改的，发包人或监理有权视情节严重程度要求承包人支付违约金，违约金由发包人签字确认后从工程款中扣除。</w:t>
      </w:r>
    </w:p>
    <w:p w14:paraId="558C11AA">
      <w:pPr>
        <w:pStyle w:val="238"/>
        <w:snapToGrid w:val="0"/>
        <w:spacing w:before="0" w:beforeAutospacing="0" w:after="0" w:afterAutospacing="0" w:line="500" w:lineRule="exact"/>
        <w:ind w:firstLine="424" w:firstLineChars="177"/>
        <w:rPr>
          <w:highlight w:val="none"/>
        </w:rPr>
      </w:pPr>
      <w:r>
        <w:rPr>
          <w:rFonts w:hint="eastAsia"/>
          <w:highlight w:val="none"/>
        </w:rPr>
        <w:t>50.</w:t>
      </w:r>
      <w:r>
        <w:rPr>
          <w:highlight w:val="none"/>
        </w:rPr>
        <w:t>19</w:t>
      </w:r>
      <w:r>
        <w:rPr>
          <w:rFonts w:hint="eastAsia"/>
          <w:highlight w:val="none"/>
        </w:rPr>
        <w:t>本合同约定的承包人应承担的各项费用，包括但不限于：违约金、赔偿款、罚款、维修费用、农民工工资、水费、电费等，发包人均有权从应付承包人的工程款（进度款）或质量保修金中直接扣除。</w:t>
      </w:r>
    </w:p>
    <w:p w14:paraId="5265EA64">
      <w:pPr>
        <w:pStyle w:val="238"/>
        <w:snapToGrid w:val="0"/>
        <w:spacing w:before="0" w:beforeAutospacing="0" w:after="0" w:afterAutospacing="0" w:line="500" w:lineRule="exact"/>
        <w:ind w:firstLine="424" w:firstLineChars="177"/>
        <w:rPr>
          <w:highlight w:val="none"/>
        </w:rPr>
      </w:pPr>
      <w:r>
        <w:rPr>
          <w:rFonts w:hint="eastAsia"/>
          <w:highlight w:val="none"/>
        </w:rPr>
        <w:t>50.</w:t>
      </w:r>
      <w:r>
        <w:rPr>
          <w:highlight w:val="none"/>
        </w:rPr>
        <w:t>20</w:t>
      </w:r>
      <w:r>
        <w:rPr>
          <w:rFonts w:hint="eastAsia"/>
          <w:highlight w:val="none"/>
        </w:rPr>
        <w:t>承包人应遵守发包人制定的各项管理制度。</w:t>
      </w:r>
    </w:p>
    <w:p w14:paraId="5FD480C7">
      <w:pPr>
        <w:pStyle w:val="238"/>
        <w:snapToGrid w:val="0"/>
        <w:spacing w:before="0" w:beforeAutospacing="0" w:after="0" w:afterAutospacing="0" w:line="500" w:lineRule="exact"/>
        <w:ind w:firstLine="424" w:firstLineChars="177"/>
        <w:rPr>
          <w:highlight w:val="none"/>
        </w:rPr>
      </w:pPr>
      <w:r>
        <w:rPr>
          <w:rFonts w:hint="eastAsia"/>
          <w:highlight w:val="none"/>
        </w:rPr>
        <w:t>5</w:t>
      </w:r>
      <w:r>
        <w:rPr>
          <w:highlight w:val="none"/>
        </w:rPr>
        <w:t>0.21非因甲方原因及不可抗力，导致甲方须对外承担责任的，甲方有权向乙方追偿。乙方应承担甲方因此支付的一切费用，包括但不限于诉讼费、仲裁费、律师费、评估费、拍卖费、执行费、代偿款、赔偿款等。</w:t>
      </w:r>
    </w:p>
    <w:p w14:paraId="432CE2DB">
      <w:pPr>
        <w:pStyle w:val="238"/>
        <w:snapToGrid w:val="0"/>
        <w:spacing w:before="0" w:beforeAutospacing="0" w:after="0" w:afterAutospacing="0" w:line="500" w:lineRule="exact"/>
        <w:ind w:firstLine="424" w:firstLineChars="177"/>
        <w:rPr>
          <w:highlight w:val="none"/>
        </w:rPr>
      </w:pPr>
    </w:p>
    <w:p w14:paraId="7981512B">
      <w:pPr>
        <w:widowControl/>
        <w:spacing w:line="360" w:lineRule="auto"/>
        <w:ind w:right="2" w:rightChars="1"/>
        <w:rPr>
          <w:sz w:val="24"/>
          <w:highlight w:val="none"/>
        </w:rPr>
      </w:pPr>
      <w:r>
        <w:rPr>
          <w:rFonts w:hint="eastAsia"/>
          <w:sz w:val="24"/>
          <w:highlight w:val="none"/>
        </w:rPr>
        <w:t>附件1：承包人承揽工程项目一览表</w:t>
      </w:r>
    </w:p>
    <w:p w14:paraId="5EE4519F">
      <w:pPr>
        <w:widowControl/>
        <w:spacing w:line="360" w:lineRule="auto"/>
        <w:ind w:right="2" w:rightChars="1"/>
        <w:rPr>
          <w:sz w:val="24"/>
          <w:highlight w:val="none"/>
        </w:rPr>
      </w:pPr>
      <w:r>
        <w:rPr>
          <w:rFonts w:hint="eastAsia"/>
          <w:sz w:val="24"/>
          <w:highlight w:val="none"/>
        </w:rPr>
        <w:t>附件2：工程质量保修书</w:t>
      </w:r>
    </w:p>
    <w:p w14:paraId="54944E17">
      <w:pPr>
        <w:widowControl/>
        <w:spacing w:line="360" w:lineRule="auto"/>
        <w:ind w:right="2" w:rightChars="1"/>
        <w:rPr>
          <w:sz w:val="24"/>
          <w:highlight w:val="none"/>
        </w:rPr>
      </w:pPr>
      <w:r>
        <w:rPr>
          <w:rFonts w:hint="eastAsia"/>
          <w:sz w:val="24"/>
          <w:highlight w:val="none"/>
        </w:rPr>
        <w:t>附件</w:t>
      </w:r>
      <w:r>
        <w:rPr>
          <w:sz w:val="24"/>
          <w:highlight w:val="none"/>
        </w:rPr>
        <w:t>3  廉洁管理协议</w:t>
      </w:r>
    </w:p>
    <w:p w14:paraId="2FFCF91F">
      <w:pPr>
        <w:spacing w:line="360" w:lineRule="auto"/>
        <w:ind w:firstLine="480" w:firstLineChars="200"/>
        <w:rPr>
          <w:sz w:val="24"/>
          <w:highlight w:val="none"/>
          <w:u w:val="single"/>
        </w:rPr>
        <w:sectPr>
          <w:pgSz w:w="11907" w:h="16839"/>
          <w:pgMar w:top="1440" w:right="1800" w:bottom="1440" w:left="1800" w:header="720" w:footer="720" w:gutter="0"/>
          <w:cols w:space="720" w:num="1"/>
          <w:docGrid w:linePitch="287" w:charSpace="0"/>
        </w:sectPr>
      </w:pPr>
    </w:p>
    <w:p w14:paraId="0AA647A3">
      <w:pPr>
        <w:pStyle w:val="4"/>
        <w:spacing w:line="415" w:lineRule="auto"/>
        <w:rPr>
          <w:rFonts w:ascii="宋体" w:hAnsi="宋体" w:cs="宋体"/>
          <w:sz w:val="40"/>
          <w:szCs w:val="40"/>
          <w:highlight w:val="none"/>
        </w:rPr>
      </w:pPr>
      <w:r>
        <w:rPr>
          <w:rFonts w:hint="eastAsia" w:ascii="宋体" w:hAnsi="宋体" w:cs="宋体"/>
          <w:sz w:val="40"/>
          <w:szCs w:val="40"/>
          <w:highlight w:val="none"/>
        </w:rPr>
        <w:t>附件1：</w:t>
      </w:r>
      <w:r>
        <w:rPr>
          <w:rFonts w:ascii="宋体" w:hAnsi="宋体" w:cs="宋体"/>
          <w:sz w:val="40"/>
          <w:szCs w:val="40"/>
          <w:highlight w:val="none"/>
        </w:rPr>
        <w:t>承包人承揽工程项目一览表</w:t>
      </w:r>
    </w:p>
    <w:p w14:paraId="256C21E1">
      <w:pPr>
        <w:spacing w:line="360" w:lineRule="auto"/>
        <w:ind w:leftChars="-268" w:hanging="589" w:hangingChars="268"/>
        <w:jc w:val="center"/>
        <w:rPr>
          <w:sz w:val="24"/>
          <w:highlight w:val="none"/>
          <w:u w:val="single"/>
        </w:rPr>
      </w:pPr>
      <w:r>
        <w:rPr>
          <w:rFonts w:hint="eastAsia"/>
          <w:highlight w:val="none"/>
          <w:lang w:val="en-US" w:eastAsia="zh-CN" w:bidi="ar-SA"/>
        </w:rPr>
        <w:t xml:space="preserve">     </w:t>
      </w:r>
      <w:r>
        <w:rPr>
          <w:highlight w:val="none"/>
          <w:lang w:val="en-US" w:bidi="ar-SA"/>
        </w:rPr>
        <w:drawing>
          <wp:inline distT="0" distB="0" distL="0" distR="0">
            <wp:extent cx="5274310" cy="6661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274310" cy="6661653"/>
                    </a:xfrm>
                    <a:prstGeom prst="rect">
                      <a:avLst/>
                    </a:prstGeom>
                  </pic:spPr>
                </pic:pic>
              </a:graphicData>
            </a:graphic>
          </wp:inline>
        </w:drawing>
      </w:r>
    </w:p>
    <w:bookmarkEnd w:id="220"/>
    <w:bookmarkEnd w:id="221"/>
    <w:bookmarkEnd w:id="222"/>
    <w:bookmarkEnd w:id="223"/>
    <w:bookmarkEnd w:id="224"/>
    <w:bookmarkEnd w:id="225"/>
    <w:bookmarkEnd w:id="226"/>
    <w:bookmarkEnd w:id="227"/>
    <w:bookmarkEnd w:id="228"/>
    <w:p w14:paraId="551EBFF9">
      <w:pPr>
        <w:spacing w:line="360" w:lineRule="auto"/>
        <w:ind w:firstLine="480" w:firstLineChars="200"/>
        <w:rPr>
          <w:sz w:val="24"/>
          <w:highlight w:val="none"/>
          <w:u w:val="single"/>
        </w:rPr>
      </w:pPr>
    </w:p>
    <w:p w14:paraId="01C545EA">
      <w:pPr>
        <w:widowControl/>
        <w:spacing w:line="360" w:lineRule="auto"/>
        <w:rPr>
          <w:color w:val="000000"/>
          <w:szCs w:val="18"/>
          <w:highlight w:val="none"/>
        </w:rPr>
      </w:pPr>
    </w:p>
    <w:p w14:paraId="11846FC9">
      <w:pPr>
        <w:pStyle w:val="56"/>
        <w:ind w:firstLine="440"/>
        <w:rPr>
          <w:highlight w:val="none"/>
        </w:rPr>
      </w:pPr>
    </w:p>
    <w:p w14:paraId="03DEC8F9">
      <w:pPr>
        <w:pStyle w:val="56"/>
        <w:ind w:firstLine="440"/>
        <w:rPr>
          <w:highlight w:val="none"/>
        </w:rPr>
      </w:pPr>
    </w:p>
    <w:p w14:paraId="28E39BA1">
      <w:pPr>
        <w:pStyle w:val="56"/>
        <w:ind w:firstLine="440"/>
        <w:rPr>
          <w:highlight w:val="none"/>
        </w:rPr>
      </w:pPr>
    </w:p>
    <w:p w14:paraId="464FC897">
      <w:pPr>
        <w:pStyle w:val="56"/>
        <w:ind w:firstLine="440"/>
        <w:rPr>
          <w:highlight w:val="none"/>
        </w:rPr>
      </w:pPr>
    </w:p>
    <w:p w14:paraId="77CD0DDB">
      <w:pPr>
        <w:pStyle w:val="4"/>
        <w:spacing w:line="415" w:lineRule="auto"/>
        <w:jc w:val="center"/>
        <w:rPr>
          <w:rFonts w:ascii="宋体" w:hAnsi="宋体" w:cs="宋体"/>
          <w:sz w:val="40"/>
          <w:szCs w:val="40"/>
          <w:highlight w:val="none"/>
        </w:rPr>
      </w:pPr>
      <w:r>
        <w:rPr>
          <w:rFonts w:hint="eastAsia" w:ascii="宋体" w:hAnsi="宋体" w:cs="宋体"/>
          <w:sz w:val="40"/>
          <w:szCs w:val="40"/>
          <w:highlight w:val="none"/>
        </w:rPr>
        <w:t>附件2：工程质量保修书</w:t>
      </w:r>
    </w:p>
    <w:p w14:paraId="0A85F958">
      <w:pPr>
        <w:widowControl/>
        <w:spacing w:line="360" w:lineRule="auto"/>
        <w:rPr>
          <w:b/>
          <w:color w:val="000000"/>
          <w:szCs w:val="18"/>
          <w:highlight w:val="none"/>
        </w:rPr>
      </w:pPr>
    </w:p>
    <w:p w14:paraId="70CECA57">
      <w:pPr>
        <w:widowControl/>
        <w:spacing w:line="360" w:lineRule="auto"/>
        <w:ind w:firstLine="480" w:firstLineChars="200"/>
        <w:rPr>
          <w:b/>
          <w:sz w:val="24"/>
          <w:highlight w:val="none"/>
          <w:u w:val="single"/>
        </w:rPr>
      </w:pPr>
      <w:r>
        <w:rPr>
          <w:rFonts w:hint="eastAsia"/>
          <w:sz w:val="24"/>
          <w:highlight w:val="none"/>
        </w:rPr>
        <w:t>发包人(全称)：</w:t>
      </w:r>
      <w:r>
        <w:rPr>
          <w:rFonts w:hint="eastAsia"/>
          <w:sz w:val="24"/>
          <w:highlight w:val="none"/>
          <w:u w:val="single"/>
        </w:rPr>
        <w:t xml:space="preserve">                                         </w:t>
      </w:r>
    </w:p>
    <w:p w14:paraId="2FF7FFEF">
      <w:pPr>
        <w:widowControl/>
        <w:spacing w:line="360" w:lineRule="auto"/>
        <w:ind w:firstLine="480" w:firstLineChars="200"/>
        <w:rPr>
          <w:b/>
          <w:sz w:val="24"/>
          <w:highlight w:val="none"/>
          <w:u w:val="single"/>
        </w:rPr>
      </w:pPr>
      <w:r>
        <w:rPr>
          <w:rFonts w:hint="eastAsia"/>
          <w:sz w:val="24"/>
          <w:highlight w:val="none"/>
        </w:rPr>
        <w:t>承包人(全称)：</w:t>
      </w:r>
      <w:r>
        <w:rPr>
          <w:rFonts w:hint="eastAsia"/>
          <w:sz w:val="24"/>
          <w:highlight w:val="none"/>
          <w:u w:val="single"/>
        </w:rPr>
        <w:t xml:space="preserve">                                         </w:t>
      </w:r>
    </w:p>
    <w:p w14:paraId="4354DB54">
      <w:pPr>
        <w:widowControl/>
        <w:spacing w:line="360" w:lineRule="auto"/>
        <w:ind w:firstLine="480" w:firstLineChars="200"/>
        <w:rPr>
          <w:b/>
          <w:sz w:val="24"/>
          <w:highlight w:val="none"/>
        </w:rPr>
      </w:pPr>
      <w:r>
        <w:rPr>
          <w:rFonts w:hint="eastAsia"/>
          <w:sz w:val="24"/>
          <w:highlight w:val="none"/>
        </w:rPr>
        <w:t>为保证</w:t>
      </w:r>
      <w:r>
        <w:rPr>
          <w:rFonts w:hint="eastAsia"/>
          <w:sz w:val="24"/>
          <w:highlight w:val="none"/>
          <w:u w:val="single"/>
        </w:rPr>
        <w:t xml:space="preserve">                     </w:t>
      </w:r>
      <w:r>
        <w:rPr>
          <w:rFonts w:hint="eastAsia"/>
          <w:sz w:val="24"/>
          <w:highlight w:val="none"/>
        </w:rPr>
        <w:t>（工程名称）在合理使用期限内正常使用，发包人、承包人协商一致签订工程质量保修书。承包人在质量保修期内按照有关管理规定及双方约定承担工程质量保修责任。</w:t>
      </w:r>
    </w:p>
    <w:p w14:paraId="4A9A5691">
      <w:pPr>
        <w:widowControl/>
        <w:spacing w:line="360" w:lineRule="auto"/>
        <w:ind w:firstLine="480" w:firstLineChars="200"/>
        <w:rPr>
          <w:rFonts w:ascii="黑体" w:eastAsia="黑体"/>
          <w:b/>
          <w:sz w:val="24"/>
          <w:highlight w:val="none"/>
        </w:rPr>
      </w:pPr>
      <w:r>
        <w:rPr>
          <w:rFonts w:hint="eastAsia" w:ascii="黑体" w:eastAsia="黑体"/>
          <w:sz w:val="24"/>
          <w:highlight w:val="none"/>
        </w:rPr>
        <w:t xml:space="preserve">一、工程质量保修范围和内容 </w:t>
      </w:r>
    </w:p>
    <w:p w14:paraId="41EC82EF">
      <w:pPr>
        <w:widowControl/>
        <w:spacing w:line="360" w:lineRule="auto"/>
        <w:ind w:firstLine="480" w:firstLineChars="200"/>
        <w:rPr>
          <w:b/>
          <w:sz w:val="24"/>
          <w:highlight w:val="none"/>
          <w:u w:val="single"/>
        </w:rPr>
      </w:pPr>
      <w:r>
        <w:rPr>
          <w:rFonts w:hint="eastAsia"/>
          <w:sz w:val="24"/>
          <w:highlight w:val="none"/>
        </w:rPr>
        <w:t>质量保修范围包括地基基础工程、主体结构工程、屋面防水工程和双方约定的其他土建工程，以及电气管线、上下水管线的安装工程，供热、供冷系统工程等项目。具体质量保修内容双方约定如下：</w:t>
      </w:r>
      <w:r>
        <w:rPr>
          <w:rFonts w:hint="eastAsia"/>
          <w:sz w:val="24"/>
          <w:highlight w:val="none"/>
          <w:u w:val="single"/>
        </w:rPr>
        <w:t>招标文件规定的全部内容。</w:t>
      </w:r>
    </w:p>
    <w:p w14:paraId="531F1ACD">
      <w:pPr>
        <w:widowControl/>
        <w:spacing w:line="360" w:lineRule="auto"/>
        <w:rPr>
          <w:b/>
          <w:sz w:val="24"/>
          <w:highlight w:val="none"/>
        </w:rPr>
      </w:pPr>
      <w:r>
        <w:rPr>
          <w:rFonts w:hint="eastAsia"/>
          <w:sz w:val="24"/>
          <w:highlight w:val="none"/>
        </w:rPr>
        <w:t xml:space="preserve">                </w:t>
      </w:r>
    </w:p>
    <w:p w14:paraId="313C18A3">
      <w:pPr>
        <w:widowControl/>
        <w:spacing w:line="360" w:lineRule="auto"/>
        <w:ind w:firstLine="480" w:firstLineChars="200"/>
        <w:rPr>
          <w:b/>
          <w:sz w:val="24"/>
          <w:highlight w:val="none"/>
        </w:rPr>
      </w:pPr>
      <w:r>
        <w:rPr>
          <w:rFonts w:hint="eastAsia" w:ascii="黑体" w:eastAsia="黑体"/>
          <w:sz w:val="24"/>
          <w:highlight w:val="none"/>
        </w:rPr>
        <w:t>二、质量保修期</w:t>
      </w:r>
      <w:r>
        <w:rPr>
          <w:rFonts w:hint="eastAsia"/>
          <w:sz w:val="24"/>
          <w:highlight w:val="none"/>
        </w:rPr>
        <w:t xml:space="preserve"> </w:t>
      </w:r>
    </w:p>
    <w:p w14:paraId="74D499CE">
      <w:pPr>
        <w:widowControl/>
        <w:spacing w:line="360" w:lineRule="auto"/>
        <w:ind w:firstLine="480" w:firstLineChars="200"/>
        <w:rPr>
          <w:b/>
          <w:sz w:val="24"/>
          <w:highlight w:val="none"/>
        </w:rPr>
      </w:pPr>
      <w:r>
        <w:rPr>
          <w:rFonts w:hint="eastAsia"/>
          <w:sz w:val="24"/>
          <w:highlight w:val="none"/>
        </w:rPr>
        <w:t xml:space="preserve">质量保修期自工程竣工验收合格之日起计算。分单项竣工验收的工程，按单项工程分别计算质量保修期。 </w:t>
      </w:r>
    </w:p>
    <w:p w14:paraId="5F24A297">
      <w:pPr>
        <w:widowControl/>
        <w:spacing w:line="360" w:lineRule="auto"/>
        <w:ind w:firstLine="480" w:firstLineChars="200"/>
        <w:rPr>
          <w:b/>
          <w:sz w:val="24"/>
          <w:highlight w:val="none"/>
        </w:rPr>
      </w:pPr>
      <w:r>
        <w:rPr>
          <w:rFonts w:hint="eastAsia"/>
          <w:sz w:val="24"/>
          <w:highlight w:val="none"/>
        </w:rPr>
        <w:t xml:space="preserve">双方根据《建设工程质量管理条例》及国家有关规定，结合具体工程约定质量保修期如下： </w:t>
      </w:r>
    </w:p>
    <w:p w14:paraId="50F54EBA">
      <w:pPr>
        <w:widowControl/>
        <w:spacing w:line="360" w:lineRule="auto"/>
        <w:rPr>
          <w:b/>
          <w:sz w:val="24"/>
          <w:highlight w:val="none"/>
        </w:rPr>
      </w:pPr>
      <w:r>
        <w:rPr>
          <w:rFonts w:hint="eastAsia"/>
          <w:sz w:val="24"/>
          <w:highlight w:val="none"/>
        </w:rPr>
        <w:t xml:space="preserve">1、土建工程为 </w:t>
      </w:r>
      <w:r>
        <w:rPr>
          <w:rFonts w:hint="eastAsia"/>
          <w:sz w:val="24"/>
          <w:highlight w:val="none"/>
          <w:u w:val="single"/>
        </w:rPr>
        <w:t xml:space="preserve">      /      </w:t>
      </w:r>
      <w:r>
        <w:rPr>
          <w:rFonts w:hint="eastAsia"/>
          <w:sz w:val="24"/>
          <w:highlight w:val="none"/>
        </w:rPr>
        <w:t xml:space="preserve">  年，屋面防水工程为 </w:t>
      </w:r>
      <w:r>
        <w:rPr>
          <w:rFonts w:hint="eastAsia"/>
          <w:sz w:val="24"/>
          <w:highlight w:val="none"/>
          <w:u w:val="single"/>
        </w:rPr>
        <w:t xml:space="preserve">  /  </w:t>
      </w:r>
      <w:r>
        <w:rPr>
          <w:rFonts w:hint="eastAsia"/>
          <w:sz w:val="24"/>
          <w:highlight w:val="none"/>
        </w:rPr>
        <w:t xml:space="preserve"> 年； </w:t>
      </w:r>
    </w:p>
    <w:p w14:paraId="0FA5FDA6">
      <w:pPr>
        <w:widowControl/>
        <w:spacing w:line="360" w:lineRule="auto"/>
        <w:rPr>
          <w:b/>
          <w:sz w:val="24"/>
          <w:highlight w:val="none"/>
        </w:rPr>
      </w:pPr>
      <w:r>
        <w:rPr>
          <w:rFonts w:hint="eastAsia"/>
          <w:sz w:val="24"/>
          <w:highlight w:val="none"/>
        </w:rPr>
        <w:t>2、电气管线，上下水管安装工程为</w:t>
      </w:r>
      <w:r>
        <w:rPr>
          <w:rFonts w:hint="eastAsia"/>
          <w:sz w:val="24"/>
          <w:highlight w:val="none"/>
          <w:u w:val="single"/>
        </w:rPr>
        <w:t xml:space="preserve">        </w:t>
      </w:r>
      <w:r>
        <w:rPr>
          <w:sz w:val="24"/>
          <w:highlight w:val="none"/>
          <w:u w:val="single"/>
        </w:rPr>
        <w:t>/</w:t>
      </w:r>
      <w:r>
        <w:rPr>
          <w:rFonts w:hint="eastAsia"/>
          <w:sz w:val="24"/>
          <w:highlight w:val="none"/>
          <w:u w:val="single"/>
        </w:rPr>
        <w:t xml:space="preserve">     年</w:t>
      </w:r>
      <w:r>
        <w:rPr>
          <w:rFonts w:hint="eastAsia"/>
          <w:sz w:val="24"/>
          <w:highlight w:val="none"/>
        </w:rPr>
        <w:t>；</w:t>
      </w:r>
    </w:p>
    <w:p w14:paraId="73EDB8F0">
      <w:pPr>
        <w:widowControl/>
        <w:spacing w:line="360" w:lineRule="auto"/>
        <w:rPr>
          <w:b/>
          <w:sz w:val="24"/>
          <w:highlight w:val="none"/>
        </w:rPr>
      </w:pPr>
      <w:r>
        <w:rPr>
          <w:rFonts w:hint="eastAsia"/>
          <w:sz w:val="24"/>
          <w:highlight w:val="none"/>
        </w:rPr>
        <w:t>3、供热及供冷为</w:t>
      </w:r>
      <w:r>
        <w:rPr>
          <w:rFonts w:hint="eastAsia"/>
          <w:sz w:val="24"/>
          <w:highlight w:val="none"/>
          <w:u w:val="single"/>
        </w:rPr>
        <w:t xml:space="preserve">    /     </w:t>
      </w:r>
      <w:r>
        <w:rPr>
          <w:rFonts w:hint="eastAsia"/>
          <w:sz w:val="24"/>
          <w:highlight w:val="none"/>
        </w:rPr>
        <w:t xml:space="preserve">个采暖期及供冷期； </w:t>
      </w:r>
    </w:p>
    <w:p w14:paraId="1EE755F3">
      <w:pPr>
        <w:widowControl/>
        <w:spacing w:line="360" w:lineRule="auto"/>
        <w:rPr>
          <w:b/>
          <w:sz w:val="24"/>
          <w:highlight w:val="none"/>
        </w:rPr>
      </w:pPr>
      <w:r>
        <w:rPr>
          <w:rFonts w:hint="eastAsia"/>
          <w:sz w:val="24"/>
          <w:highlight w:val="none"/>
        </w:rPr>
        <w:t>4、室外的上下水和小区道路等市政公用工程为</w:t>
      </w:r>
      <w:r>
        <w:rPr>
          <w:rFonts w:hint="eastAsia"/>
          <w:sz w:val="24"/>
          <w:highlight w:val="none"/>
          <w:u w:val="single"/>
        </w:rPr>
        <w:t xml:space="preserve">  两  </w:t>
      </w:r>
      <w:r>
        <w:rPr>
          <w:rFonts w:hint="eastAsia"/>
          <w:sz w:val="24"/>
          <w:highlight w:val="none"/>
        </w:rPr>
        <w:t xml:space="preserve"> 年； </w:t>
      </w:r>
    </w:p>
    <w:p w14:paraId="6525B7B4">
      <w:pPr>
        <w:widowControl/>
        <w:spacing w:line="360" w:lineRule="auto"/>
        <w:rPr>
          <w:b/>
          <w:sz w:val="24"/>
          <w:highlight w:val="none"/>
        </w:rPr>
      </w:pPr>
      <w:r>
        <w:rPr>
          <w:rFonts w:hint="eastAsia"/>
          <w:sz w:val="24"/>
          <w:highlight w:val="none"/>
        </w:rPr>
        <w:t>5、其他约定：</w:t>
      </w:r>
      <w:r>
        <w:rPr>
          <w:rFonts w:hint="eastAsia"/>
          <w:sz w:val="24"/>
          <w:highlight w:val="none"/>
          <w:u w:val="single"/>
        </w:rPr>
        <w:t xml:space="preserve"> 本工程整体保修两年 </w:t>
      </w:r>
      <w:r>
        <w:rPr>
          <w:rFonts w:hint="eastAsia"/>
          <w:sz w:val="24"/>
          <w:highlight w:val="none"/>
        </w:rPr>
        <w:t xml:space="preserve"> 质量保修期自工程竣工验收合格之日起计算。</w:t>
      </w:r>
    </w:p>
    <w:p w14:paraId="642D6316">
      <w:pPr>
        <w:widowControl/>
        <w:spacing w:line="360" w:lineRule="auto"/>
        <w:ind w:firstLine="480" w:firstLineChars="200"/>
        <w:rPr>
          <w:b/>
          <w:sz w:val="24"/>
          <w:highlight w:val="none"/>
        </w:rPr>
      </w:pPr>
      <w:r>
        <w:rPr>
          <w:rFonts w:hint="eastAsia" w:ascii="黑体" w:eastAsia="黑体"/>
          <w:sz w:val="24"/>
          <w:highlight w:val="none"/>
        </w:rPr>
        <w:t>三、质量保修责任</w:t>
      </w:r>
      <w:r>
        <w:rPr>
          <w:rFonts w:hint="eastAsia"/>
          <w:sz w:val="24"/>
          <w:highlight w:val="none"/>
        </w:rPr>
        <w:t xml:space="preserve"> </w:t>
      </w:r>
    </w:p>
    <w:p w14:paraId="63972B37">
      <w:pPr>
        <w:widowControl/>
        <w:spacing w:line="360" w:lineRule="auto"/>
        <w:ind w:firstLine="480" w:firstLineChars="200"/>
        <w:rPr>
          <w:b/>
          <w:sz w:val="24"/>
          <w:highlight w:val="none"/>
        </w:rPr>
      </w:pPr>
      <w:r>
        <w:rPr>
          <w:rFonts w:hint="eastAsia"/>
          <w:sz w:val="24"/>
          <w:highlight w:val="none"/>
        </w:rPr>
        <w:t xml:space="preserve">1、承包人应在接到修理通知（以发包人的电话通知记录为准）之日后24小时内派人修理。若专项维修电话（专人接听）发生变化，承包人应在24小时内书面通知发包人，承包人不在约定期限内派人修理的，发包人可委托其他人员修理，保修费用从质量保修金内扣除。 </w:t>
      </w:r>
    </w:p>
    <w:p w14:paraId="1FAE3C0B">
      <w:pPr>
        <w:widowControl/>
        <w:spacing w:line="360" w:lineRule="auto"/>
        <w:ind w:firstLine="480" w:firstLineChars="200"/>
        <w:rPr>
          <w:b/>
          <w:sz w:val="24"/>
          <w:highlight w:val="none"/>
        </w:rPr>
      </w:pPr>
      <w:r>
        <w:rPr>
          <w:rFonts w:hint="eastAsia"/>
          <w:sz w:val="24"/>
          <w:highlight w:val="none"/>
        </w:rPr>
        <w:t xml:space="preserve">2、发生须紧急抢修事故（如上水跑水、暖气漏水漏气、燃气漏气等），承包人接到事故通知后，应立即到达事故现场抢修。非承包人施工质量引起的事故，抢修费用由发包人承担。 </w:t>
      </w:r>
    </w:p>
    <w:p w14:paraId="6A91A816">
      <w:pPr>
        <w:widowControl/>
        <w:spacing w:line="360" w:lineRule="auto"/>
        <w:rPr>
          <w:b/>
          <w:sz w:val="24"/>
          <w:highlight w:val="none"/>
        </w:rPr>
      </w:pPr>
      <w:r>
        <w:rPr>
          <w:rFonts w:hint="eastAsia"/>
          <w:sz w:val="24"/>
          <w:highlight w:val="none"/>
        </w:rPr>
        <w:t xml:space="preserve">    3、对于一时不能判定责任归属的维修项目，承包人应服从发包人的安排，先行组织维修，不得推诿。非承包人施工质量引起的事故，维修费用由发包人承担。</w:t>
      </w:r>
    </w:p>
    <w:p w14:paraId="2B151FA3">
      <w:pPr>
        <w:widowControl/>
        <w:numPr>
          <w:ilvl w:val="0"/>
          <w:numId w:val="41"/>
        </w:numPr>
        <w:autoSpaceDE/>
        <w:autoSpaceDN/>
        <w:spacing w:line="360" w:lineRule="auto"/>
        <w:ind w:firstLine="480" w:firstLineChars="200"/>
        <w:jc w:val="both"/>
        <w:rPr>
          <w:b/>
          <w:sz w:val="24"/>
          <w:highlight w:val="none"/>
        </w:rPr>
      </w:pPr>
      <w:r>
        <w:rPr>
          <w:rFonts w:hint="eastAsia"/>
          <w:sz w:val="24"/>
          <w:highlight w:val="none"/>
        </w:rPr>
        <w:t>无论因何原因，承包人未按约定时间派人到现场落实维修，则视为承包人默认施工质量问题属实且应由承包人承担保修责任。承包人不在约定期限内派人修理，或承包人的维修质量及服务不能满足发包人的要求，或所维修项目在保修范围内在相同部位再次出现类似问题的，发包人可自行组织修理或委托第三方修理，维修费用从质量保修金内扣除，不足部分由承包人另行支付。</w:t>
      </w:r>
    </w:p>
    <w:p w14:paraId="07C8710E">
      <w:pPr>
        <w:widowControl/>
        <w:numPr>
          <w:ilvl w:val="0"/>
          <w:numId w:val="41"/>
        </w:numPr>
        <w:autoSpaceDE/>
        <w:autoSpaceDN/>
        <w:spacing w:line="360" w:lineRule="auto"/>
        <w:ind w:firstLine="480"/>
        <w:jc w:val="both"/>
        <w:rPr>
          <w:b/>
          <w:sz w:val="24"/>
          <w:highlight w:val="none"/>
        </w:rPr>
      </w:pPr>
      <w:r>
        <w:rPr>
          <w:rFonts w:hint="eastAsia"/>
          <w:sz w:val="24"/>
          <w:highlight w:val="none"/>
        </w:rPr>
        <w:t xml:space="preserve">在国家规定的工程合理使用期限内，承包人确保地基基础工程和主体结构的质量。因承包人原因致使工程在合理使用期限内造成人身和财产损害的，承包人应承担损害赔偿责任。 </w:t>
      </w:r>
    </w:p>
    <w:p w14:paraId="015E009B">
      <w:pPr>
        <w:widowControl/>
        <w:numPr>
          <w:ilvl w:val="0"/>
          <w:numId w:val="41"/>
        </w:numPr>
        <w:autoSpaceDE/>
        <w:autoSpaceDN/>
        <w:spacing w:line="360" w:lineRule="auto"/>
        <w:ind w:firstLine="480"/>
        <w:jc w:val="both"/>
        <w:rPr>
          <w:b/>
          <w:sz w:val="24"/>
          <w:highlight w:val="none"/>
        </w:rPr>
      </w:pPr>
      <w:r>
        <w:rPr>
          <w:rFonts w:hint="eastAsia"/>
          <w:sz w:val="24"/>
          <w:highlight w:val="none"/>
        </w:rPr>
        <w:t>如因工程质量缺陷或承包人未按有关规定和本合同约定及时履行保修义务造成发包人或任何第三方人身、财产损害的，承包人应承担全部责任。如因第三人向发包人索赔而使发包人遭受损失，发包人有权向承包人追偿全部直接和间接损失。</w:t>
      </w:r>
    </w:p>
    <w:p w14:paraId="6946935F">
      <w:pPr>
        <w:spacing w:line="360" w:lineRule="auto"/>
        <w:rPr>
          <w:b/>
          <w:sz w:val="24"/>
          <w:highlight w:val="none"/>
        </w:rPr>
      </w:pPr>
      <w:r>
        <w:rPr>
          <w:rFonts w:hint="eastAsia"/>
          <w:sz w:val="24"/>
          <w:highlight w:val="none"/>
        </w:rPr>
        <w:t xml:space="preserve">    7、在本保修书规定的各分部分项保修期限届满后，如因承包人未按有关规定、标准和设计要求施工或采购、使用不合格材料、构配件和设备所造成的质量缺陷，导致影响该工程的使用功能或房屋使用年限的，承包人仍应承担相应责任。</w:t>
      </w:r>
    </w:p>
    <w:p w14:paraId="3FC45DF2">
      <w:pPr>
        <w:widowControl/>
        <w:spacing w:line="360" w:lineRule="auto"/>
        <w:ind w:firstLine="480" w:firstLineChars="200"/>
        <w:rPr>
          <w:b/>
          <w:sz w:val="24"/>
          <w:highlight w:val="none"/>
        </w:rPr>
      </w:pPr>
      <w:r>
        <w:rPr>
          <w:rFonts w:hint="eastAsia" w:ascii="黑体" w:eastAsia="黑体"/>
          <w:sz w:val="24"/>
          <w:highlight w:val="none"/>
        </w:rPr>
        <w:t>四、质量保修金的支付</w:t>
      </w:r>
      <w:r>
        <w:rPr>
          <w:rFonts w:hint="eastAsia"/>
          <w:sz w:val="24"/>
          <w:highlight w:val="none"/>
        </w:rPr>
        <w:t xml:space="preserve"> </w:t>
      </w:r>
    </w:p>
    <w:p w14:paraId="7D28D529">
      <w:pPr>
        <w:widowControl/>
        <w:spacing w:line="360" w:lineRule="auto"/>
        <w:ind w:firstLine="480" w:firstLineChars="200"/>
        <w:rPr>
          <w:rFonts w:hint="eastAsia" w:eastAsia="宋体"/>
          <w:b/>
          <w:sz w:val="24"/>
          <w:highlight w:val="none"/>
          <w:lang w:eastAsia="zh-CN"/>
        </w:rPr>
      </w:pPr>
      <w:r>
        <w:rPr>
          <w:rFonts w:hint="eastAsia"/>
          <w:sz w:val="24"/>
          <w:highlight w:val="none"/>
        </w:rPr>
        <w:t>工程质量保修金一般不超过施工合同价款的3%，本工程约定的工程质量保修金为工程总造价的</w:t>
      </w:r>
      <w:r>
        <w:rPr>
          <w:rFonts w:hint="eastAsia"/>
          <w:sz w:val="24"/>
          <w:highlight w:val="none"/>
          <w:u w:val="single"/>
        </w:rPr>
        <w:t xml:space="preserve"> </w:t>
      </w:r>
      <w:r>
        <w:rPr>
          <w:rFonts w:hint="eastAsia"/>
          <w:sz w:val="24"/>
          <w:highlight w:val="none"/>
          <w:u w:val="single"/>
          <w:lang w:val="en-US" w:eastAsia="zh-CN"/>
        </w:rPr>
        <w:t xml:space="preserve">   /  </w:t>
      </w:r>
      <w:r>
        <w:rPr>
          <w:rFonts w:hint="eastAsia"/>
          <w:sz w:val="24"/>
          <w:highlight w:val="none"/>
          <w:u w:val="single"/>
        </w:rPr>
        <w:t xml:space="preserve"> </w:t>
      </w:r>
      <w:r>
        <w:rPr>
          <w:rFonts w:hint="eastAsia"/>
          <w:sz w:val="24"/>
          <w:highlight w:val="none"/>
          <w:u w:val="single"/>
          <w:lang w:eastAsia="zh-CN"/>
        </w:rPr>
        <w:t>。</w:t>
      </w:r>
    </w:p>
    <w:p w14:paraId="6741FE81">
      <w:pPr>
        <w:widowControl/>
        <w:spacing w:line="360" w:lineRule="auto"/>
        <w:rPr>
          <w:b/>
          <w:sz w:val="24"/>
          <w:highlight w:val="none"/>
          <w:u w:val="single"/>
        </w:rPr>
      </w:pPr>
      <w:r>
        <w:rPr>
          <w:rFonts w:hint="eastAsia"/>
          <w:sz w:val="24"/>
          <w:highlight w:val="none"/>
        </w:rPr>
        <w:t xml:space="preserve">本工程双方约定承包人向发包人支付工程质量保修金金额为 </w:t>
      </w:r>
      <w:r>
        <w:rPr>
          <w:rFonts w:hint="eastAsia"/>
          <w:sz w:val="24"/>
          <w:highlight w:val="none"/>
          <w:u w:val="single"/>
        </w:rPr>
        <w:t xml:space="preserve">    </w:t>
      </w:r>
      <w:r>
        <w:rPr>
          <w:rFonts w:hint="eastAsia"/>
          <w:sz w:val="24"/>
          <w:highlight w:val="none"/>
          <w:u w:val="single"/>
          <w:lang w:val="en-US" w:eastAsia="zh-CN"/>
        </w:rPr>
        <w:t>/</w:t>
      </w:r>
      <w:r>
        <w:rPr>
          <w:rFonts w:hint="eastAsia"/>
          <w:sz w:val="24"/>
          <w:highlight w:val="none"/>
          <w:u w:val="single"/>
        </w:rPr>
        <w:t xml:space="preserve">   </w:t>
      </w:r>
      <w:r>
        <w:rPr>
          <w:rFonts w:hint="eastAsia"/>
          <w:sz w:val="24"/>
          <w:highlight w:val="none"/>
        </w:rPr>
        <w:t xml:space="preserve">（大写）。质量保修金银行利率为 </w:t>
      </w:r>
      <w:r>
        <w:rPr>
          <w:rFonts w:hint="eastAsia"/>
          <w:sz w:val="24"/>
          <w:highlight w:val="none"/>
          <w:u w:val="single"/>
        </w:rPr>
        <w:t xml:space="preserve">    </w:t>
      </w:r>
      <w:r>
        <w:rPr>
          <w:rFonts w:hint="eastAsia"/>
          <w:sz w:val="24"/>
          <w:highlight w:val="none"/>
          <w:u w:val="single"/>
          <w:lang w:val="en-US" w:eastAsia="zh-CN"/>
        </w:rPr>
        <w:t>/</w:t>
      </w:r>
      <w:r>
        <w:rPr>
          <w:rFonts w:hint="eastAsia"/>
          <w:sz w:val="24"/>
          <w:highlight w:val="none"/>
          <w:u w:val="single"/>
        </w:rPr>
        <w:t xml:space="preserve">   。</w:t>
      </w:r>
    </w:p>
    <w:p w14:paraId="558C8D02">
      <w:pPr>
        <w:widowControl/>
        <w:spacing w:line="360" w:lineRule="auto"/>
        <w:ind w:firstLine="480" w:firstLineChars="200"/>
        <w:rPr>
          <w:b/>
          <w:sz w:val="24"/>
          <w:highlight w:val="none"/>
        </w:rPr>
      </w:pPr>
      <w:r>
        <w:rPr>
          <w:rFonts w:hint="eastAsia" w:ascii="黑体" w:eastAsia="黑体"/>
          <w:sz w:val="24"/>
          <w:highlight w:val="none"/>
        </w:rPr>
        <w:t>五、质量保修金的返还</w:t>
      </w:r>
      <w:r>
        <w:rPr>
          <w:rFonts w:hint="eastAsia"/>
          <w:sz w:val="24"/>
          <w:highlight w:val="none"/>
        </w:rPr>
        <w:t xml:space="preserve"> </w:t>
      </w:r>
    </w:p>
    <w:p w14:paraId="1EEE3B3B">
      <w:pPr>
        <w:widowControl/>
        <w:spacing w:line="360" w:lineRule="auto"/>
        <w:ind w:firstLine="480" w:firstLineChars="200"/>
        <w:rPr>
          <w:b/>
          <w:sz w:val="24"/>
          <w:highlight w:val="none"/>
        </w:rPr>
      </w:pPr>
      <w:r>
        <w:rPr>
          <w:rFonts w:hint="eastAsia"/>
          <w:sz w:val="24"/>
          <w:highlight w:val="none"/>
        </w:rPr>
        <w:t>发包人在质量保修期满后60天内，</w:t>
      </w:r>
      <w:r>
        <w:rPr>
          <w:rFonts w:hint="eastAsia"/>
          <w:color w:val="000000"/>
          <w:sz w:val="24"/>
          <w:highlight w:val="none"/>
        </w:rPr>
        <w:t>承包人向发包人提出支付保修金的书面申请，发包人经审核确认不存在未解决的质量问题后，</w:t>
      </w:r>
      <w:r>
        <w:rPr>
          <w:rFonts w:hint="eastAsia"/>
          <w:sz w:val="24"/>
          <w:highlight w:val="none"/>
        </w:rPr>
        <w:t xml:space="preserve">将剩余保修金返还承包人（无息）。 </w:t>
      </w:r>
    </w:p>
    <w:p w14:paraId="0088566A">
      <w:pPr>
        <w:widowControl/>
        <w:spacing w:line="360" w:lineRule="auto"/>
        <w:ind w:firstLine="480" w:firstLineChars="200"/>
        <w:rPr>
          <w:rFonts w:ascii="黑体" w:eastAsia="黑体"/>
          <w:b/>
          <w:sz w:val="24"/>
          <w:highlight w:val="none"/>
        </w:rPr>
      </w:pPr>
      <w:r>
        <w:rPr>
          <w:rFonts w:hint="eastAsia" w:ascii="黑体" w:eastAsia="黑体"/>
          <w:sz w:val="24"/>
          <w:highlight w:val="none"/>
        </w:rPr>
        <w:t xml:space="preserve">六、其他 </w:t>
      </w:r>
    </w:p>
    <w:p w14:paraId="4E69AE4F">
      <w:pPr>
        <w:widowControl/>
        <w:spacing w:line="360" w:lineRule="auto"/>
        <w:ind w:firstLine="480" w:firstLineChars="200"/>
        <w:rPr>
          <w:b/>
          <w:sz w:val="24"/>
          <w:highlight w:val="none"/>
        </w:rPr>
      </w:pPr>
      <w:r>
        <w:rPr>
          <w:rFonts w:hint="eastAsia"/>
          <w:sz w:val="24"/>
          <w:highlight w:val="none"/>
        </w:rPr>
        <w:t>双方约定的其他工程质量保修事项：</w:t>
      </w:r>
    </w:p>
    <w:p w14:paraId="40CCEB60">
      <w:pPr>
        <w:spacing w:after="156" w:afterLines="50"/>
        <w:rPr>
          <w:b/>
          <w:sz w:val="24"/>
          <w:highlight w:val="none"/>
          <w:u w:val="none"/>
        </w:rPr>
      </w:pPr>
      <w:r>
        <w:rPr>
          <w:rFonts w:hint="eastAsia"/>
          <w:sz w:val="24"/>
          <w:highlight w:val="none"/>
          <w:u w:val="none"/>
        </w:rPr>
        <w:t xml:space="preserve">1、执行国家《建设工程质量管理条例》的保修条款,履行合同义务。 </w:t>
      </w:r>
    </w:p>
    <w:p w14:paraId="09AB7653">
      <w:pPr>
        <w:spacing w:after="156" w:afterLines="50"/>
        <w:rPr>
          <w:b/>
          <w:sz w:val="24"/>
          <w:highlight w:val="none"/>
          <w:u w:val="none"/>
        </w:rPr>
      </w:pPr>
      <w:r>
        <w:rPr>
          <w:rFonts w:hint="eastAsia"/>
          <w:sz w:val="24"/>
          <w:highlight w:val="none"/>
          <w:u w:val="none"/>
        </w:rPr>
        <w:t>2、保修金由</w:t>
      </w:r>
      <w:r>
        <w:rPr>
          <w:rFonts w:hint="eastAsia"/>
          <w:color w:val="FF0000"/>
          <w:sz w:val="24"/>
          <w:highlight w:val="none"/>
          <w:u w:val="single"/>
        </w:rPr>
        <w:t xml:space="preserve">          </w:t>
      </w:r>
      <w:r>
        <w:rPr>
          <w:rFonts w:hint="eastAsia"/>
          <w:color w:val="FF0000"/>
          <w:sz w:val="24"/>
          <w:highlight w:val="none"/>
          <w:u w:val="single"/>
          <w:lang w:val="en-US" w:eastAsia="zh-CN"/>
        </w:rPr>
        <w:t>/</w:t>
      </w:r>
      <w:r>
        <w:rPr>
          <w:rFonts w:hint="eastAsia"/>
          <w:color w:val="FF0000"/>
          <w:sz w:val="24"/>
          <w:highlight w:val="none"/>
          <w:u w:val="single"/>
        </w:rPr>
        <w:t xml:space="preserve">         </w:t>
      </w:r>
      <w:r>
        <w:rPr>
          <w:rFonts w:hint="eastAsia"/>
          <w:sz w:val="24"/>
          <w:highlight w:val="none"/>
          <w:u w:val="none"/>
        </w:rPr>
        <w:t xml:space="preserve">统一管理，保修期满后，承包人应按照有关规定办理相关手续 ，方可办理保修金退还手续。                                                                      </w:t>
      </w:r>
    </w:p>
    <w:p w14:paraId="39863411">
      <w:pPr>
        <w:widowControl/>
        <w:spacing w:line="360" w:lineRule="auto"/>
        <w:rPr>
          <w:b/>
          <w:sz w:val="24"/>
          <w:highlight w:val="none"/>
          <w:u w:val="none"/>
        </w:rPr>
      </w:pPr>
      <w:r>
        <w:rPr>
          <w:rFonts w:hint="eastAsia"/>
          <w:sz w:val="24"/>
          <w:highlight w:val="none"/>
          <w:u w:val="none"/>
        </w:rPr>
        <w:t xml:space="preserve">3、维修联系人：      </w:t>
      </w:r>
      <w:r>
        <w:rPr>
          <w:rFonts w:hint="eastAsia"/>
          <w:sz w:val="24"/>
          <w:highlight w:val="none"/>
          <w:u w:val="none"/>
          <w:lang w:val="en-US" w:eastAsia="zh-CN"/>
        </w:rPr>
        <w:t xml:space="preserve">  </w:t>
      </w:r>
      <w:r>
        <w:rPr>
          <w:rFonts w:hint="eastAsia"/>
          <w:sz w:val="24"/>
          <w:highlight w:val="none"/>
          <w:u w:val="none"/>
        </w:rPr>
        <w:t xml:space="preserve">专项维修电话：      </w:t>
      </w:r>
    </w:p>
    <w:p w14:paraId="05F29730">
      <w:pPr>
        <w:widowControl/>
        <w:spacing w:line="360" w:lineRule="auto"/>
        <w:rPr>
          <w:b/>
          <w:sz w:val="24"/>
          <w:highlight w:val="none"/>
        </w:rPr>
      </w:pPr>
      <w:r>
        <w:rPr>
          <w:rFonts w:hint="eastAsia"/>
          <w:sz w:val="24"/>
          <w:highlight w:val="none"/>
        </w:rPr>
        <w:t>本工程质量保修作书为施工合同的附件，由施工合同发包人、承包人双方共同签订。</w:t>
      </w:r>
    </w:p>
    <w:p w14:paraId="35A190AB">
      <w:pPr>
        <w:widowControl/>
        <w:spacing w:line="360" w:lineRule="auto"/>
        <w:rPr>
          <w:b/>
          <w:sz w:val="24"/>
          <w:highlight w:val="none"/>
        </w:rPr>
      </w:pPr>
      <w:r>
        <w:rPr>
          <w:rFonts w:hint="eastAsia"/>
          <w:sz w:val="24"/>
          <w:highlight w:val="none"/>
        </w:rPr>
        <w:t>发 包 人（公章）：________________</w:t>
      </w:r>
      <w:r>
        <w:rPr>
          <w:rFonts w:hint="eastAsia"/>
          <w:sz w:val="24"/>
          <w:highlight w:val="none"/>
          <w:lang w:val="en-US" w:eastAsia="zh-CN"/>
        </w:rPr>
        <w:t xml:space="preserve"> </w:t>
      </w:r>
      <w:r>
        <w:rPr>
          <w:rFonts w:hint="eastAsia"/>
          <w:sz w:val="24"/>
          <w:highlight w:val="none"/>
        </w:rPr>
        <w:t>承 包 人（公章）：________________</w:t>
      </w:r>
    </w:p>
    <w:p w14:paraId="3C794CE9">
      <w:pPr>
        <w:widowControl/>
        <w:spacing w:line="360" w:lineRule="auto"/>
        <w:rPr>
          <w:b/>
          <w:sz w:val="24"/>
          <w:highlight w:val="none"/>
        </w:rPr>
      </w:pPr>
      <w:r>
        <w:rPr>
          <w:rFonts w:hint="eastAsia"/>
          <w:sz w:val="24"/>
          <w:highlight w:val="none"/>
        </w:rPr>
        <w:t>法定代表人（签字）：_____________</w:t>
      </w:r>
      <w:r>
        <w:rPr>
          <w:rFonts w:hint="eastAsia"/>
          <w:sz w:val="24"/>
          <w:highlight w:val="none"/>
          <w:lang w:val="en-US" w:eastAsia="zh-CN"/>
        </w:rPr>
        <w:t xml:space="preserve">  </w:t>
      </w:r>
      <w:r>
        <w:rPr>
          <w:rFonts w:hint="eastAsia"/>
          <w:sz w:val="24"/>
          <w:highlight w:val="none"/>
        </w:rPr>
        <w:t>法定代表人（签字）：______________</w:t>
      </w:r>
    </w:p>
    <w:p w14:paraId="5776643D">
      <w:pPr>
        <w:pStyle w:val="237"/>
        <w:ind w:left="262" w:leftChars="119" w:right="0" w:firstLine="2884" w:firstLineChars="1202"/>
        <w:rPr>
          <w:rFonts w:ascii="宋体" w:hAnsi="宋体"/>
          <w:highlight w:val="none"/>
        </w:rPr>
      </w:pPr>
    </w:p>
    <w:p w14:paraId="1A212ECA">
      <w:pPr>
        <w:widowControl/>
        <w:rPr>
          <w:rFonts w:ascii="新宋体" w:hAnsi="新宋体" w:eastAsia="新宋体" w:cs="Arial"/>
          <w:b/>
          <w:bCs/>
          <w:sz w:val="40"/>
          <w:szCs w:val="32"/>
          <w:highlight w:val="none"/>
        </w:rPr>
      </w:pPr>
      <w:r>
        <w:rPr>
          <w:rFonts w:hint="eastAsia"/>
          <w:highlight w:val="none"/>
        </w:rPr>
        <w:t xml:space="preserve">_____年_____月_____日                       _____年_____月_____日  </w:t>
      </w:r>
    </w:p>
    <w:p w14:paraId="45CA8E3A">
      <w:pPr>
        <w:widowControl/>
        <w:rPr>
          <w:highlight w:val="none"/>
        </w:rPr>
      </w:pPr>
    </w:p>
    <w:p w14:paraId="7943593C">
      <w:pPr>
        <w:widowControl/>
        <w:rPr>
          <w:highlight w:val="none"/>
        </w:rPr>
      </w:pPr>
    </w:p>
    <w:p w14:paraId="0CEFDEDA">
      <w:pPr>
        <w:widowControl/>
        <w:rPr>
          <w:highlight w:val="none"/>
        </w:rPr>
        <w:sectPr>
          <w:pgSz w:w="11906" w:h="16838"/>
          <w:pgMar w:top="1440" w:right="1800" w:bottom="1440" w:left="1800" w:header="851" w:footer="992" w:gutter="0"/>
          <w:cols w:space="425" w:num="1"/>
          <w:docGrid w:type="lines" w:linePitch="312" w:charSpace="0"/>
        </w:sectPr>
      </w:pPr>
    </w:p>
    <w:p w14:paraId="694F4B4F">
      <w:pPr>
        <w:pStyle w:val="4"/>
        <w:spacing w:line="415" w:lineRule="auto"/>
        <w:jc w:val="center"/>
        <w:rPr>
          <w:rFonts w:ascii="宋体" w:hAnsi="宋体" w:cs="宋体"/>
          <w:bCs/>
          <w:sz w:val="40"/>
          <w:szCs w:val="40"/>
          <w:highlight w:val="none"/>
        </w:rPr>
      </w:pPr>
      <w:r>
        <w:rPr>
          <w:rFonts w:hint="eastAsia" w:ascii="宋体" w:hAnsi="宋体" w:cs="宋体"/>
          <w:sz w:val="40"/>
          <w:szCs w:val="40"/>
          <w:highlight w:val="none"/>
        </w:rPr>
        <w:t>附件</w:t>
      </w:r>
      <w:r>
        <w:rPr>
          <w:rFonts w:ascii="宋体" w:hAnsi="宋体" w:cs="宋体"/>
          <w:sz w:val="40"/>
          <w:szCs w:val="40"/>
          <w:highlight w:val="none"/>
        </w:rPr>
        <w:t xml:space="preserve">3  </w:t>
      </w:r>
      <w:r>
        <w:rPr>
          <w:rFonts w:hint="eastAsia" w:ascii="宋体" w:hAnsi="宋体" w:cs="宋体"/>
          <w:sz w:val="40"/>
          <w:szCs w:val="40"/>
          <w:highlight w:val="none"/>
        </w:rPr>
        <w:t>廉洁管理协议</w:t>
      </w:r>
    </w:p>
    <w:p w14:paraId="0A558498">
      <w:pPr>
        <w:adjustRightInd w:val="0"/>
        <w:snapToGrid w:val="0"/>
        <w:ind w:firstLine="424" w:firstLineChars="200"/>
        <w:rPr>
          <w:rFonts w:hint="default" w:eastAsia="宋体"/>
          <w:b/>
          <w:bCs/>
          <w:sz w:val="24"/>
          <w:highlight w:val="none"/>
          <w:u w:val="single"/>
          <w:lang w:val="en-US" w:eastAsia="zh-CN"/>
        </w:rPr>
      </w:pPr>
      <w:r>
        <w:rPr>
          <w:rFonts w:hint="eastAsia"/>
          <w:bCs/>
          <w:spacing w:val="-4"/>
          <w:highlight w:val="none"/>
        </w:rPr>
        <w:t>发包人</w:t>
      </w:r>
      <w:r>
        <w:rPr>
          <w:rFonts w:hint="eastAsia"/>
          <w:bCs/>
          <w:sz w:val="24"/>
          <w:highlight w:val="none"/>
        </w:rPr>
        <w:t>：</w:t>
      </w:r>
      <w:r>
        <w:rPr>
          <w:rFonts w:hint="eastAsia"/>
          <w:bCs/>
          <w:sz w:val="24"/>
          <w:highlight w:val="none"/>
          <w:u w:val="single"/>
        </w:rPr>
        <w:t xml:space="preserve"> </w:t>
      </w:r>
      <w:r>
        <w:rPr>
          <w:rFonts w:hint="eastAsia"/>
          <w:bCs/>
          <w:sz w:val="24"/>
          <w:highlight w:val="none"/>
          <w:u w:val="single"/>
          <w:lang w:val="en-US" w:eastAsia="zh-CN"/>
        </w:rPr>
        <w:t xml:space="preserve">               </w:t>
      </w:r>
    </w:p>
    <w:p w14:paraId="7E8AB124">
      <w:pPr>
        <w:ind w:firstLine="424" w:firstLineChars="200"/>
        <w:rPr>
          <w:rFonts w:hint="default" w:eastAsia="宋体"/>
          <w:b/>
          <w:bCs/>
          <w:sz w:val="24"/>
          <w:highlight w:val="none"/>
          <w:u w:val="single"/>
          <w:lang w:val="en-US" w:eastAsia="zh-CN"/>
        </w:rPr>
      </w:pPr>
      <w:r>
        <w:rPr>
          <w:rFonts w:hint="eastAsia"/>
          <w:bCs/>
          <w:spacing w:val="-4"/>
          <w:highlight w:val="none"/>
        </w:rPr>
        <w:t>承包人</w:t>
      </w:r>
      <w:r>
        <w:rPr>
          <w:rFonts w:hint="eastAsia"/>
          <w:bCs/>
          <w:sz w:val="24"/>
          <w:highlight w:val="none"/>
        </w:rPr>
        <w:t>：</w:t>
      </w:r>
      <w:r>
        <w:rPr>
          <w:rFonts w:hint="eastAsia"/>
          <w:bCs/>
          <w:sz w:val="24"/>
          <w:highlight w:val="none"/>
          <w:u w:val="single"/>
        </w:rPr>
        <w:t xml:space="preserve"> </w:t>
      </w:r>
      <w:r>
        <w:rPr>
          <w:rFonts w:hint="eastAsia"/>
          <w:bCs/>
          <w:sz w:val="24"/>
          <w:highlight w:val="none"/>
          <w:u w:val="single"/>
          <w:lang w:val="en-US" w:eastAsia="zh-CN"/>
        </w:rPr>
        <w:t xml:space="preserve">               </w:t>
      </w:r>
    </w:p>
    <w:p w14:paraId="695B6C70">
      <w:pPr>
        <w:adjustRightInd w:val="0"/>
        <w:snapToGrid w:val="0"/>
        <w:ind w:firstLine="480" w:firstLineChars="200"/>
        <w:rPr>
          <w:bCs/>
          <w:sz w:val="24"/>
          <w:highlight w:val="none"/>
        </w:rPr>
      </w:pPr>
      <w:r>
        <w:rPr>
          <w:rFonts w:hint="eastAsia"/>
          <w:bCs/>
          <w:sz w:val="24"/>
          <w:highlight w:val="none"/>
        </w:rPr>
        <w:t xml:space="preserve">                                          </w:t>
      </w:r>
    </w:p>
    <w:p w14:paraId="16E0D59F">
      <w:pPr>
        <w:adjustRightInd w:val="0"/>
        <w:snapToGrid w:val="0"/>
        <w:ind w:firstLine="424" w:firstLineChars="200"/>
        <w:rPr>
          <w:spacing w:val="-4"/>
          <w:highlight w:val="none"/>
        </w:rPr>
      </w:pPr>
      <w:r>
        <w:rPr>
          <w:rFonts w:hint="eastAsia"/>
          <w:spacing w:val="-4"/>
          <w:highlight w:val="none"/>
        </w:rPr>
        <w:t>为了加强合作期间的廉洁管理，规范各方在合作期间的行为，防止为谋取不正当利益发生违法违纪现象，保护国家、合作各方的合法权益，经发包人与承包人双方同意签订《廉洁管理协议》并作为发包人与承包人共同遵守的廉洁行为准则。</w:t>
      </w:r>
    </w:p>
    <w:p w14:paraId="1D93C15F">
      <w:pPr>
        <w:pStyle w:val="16"/>
        <w:tabs>
          <w:tab w:val="left" w:pos="2260"/>
        </w:tabs>
        <w:spacing w:before="80" w:line="360" w:lineRule="auto"/>
        <w:ind w:left="422"/>
        <w:rPr>
          <w:b/>
          <w:bCs/>
          <w:highlight w:val="none"/>
        </w:rPr>
      </w:pPr>
      <w:r>
        <w:rPr>
          <w:rFonts w:hint="eastAsia"/>
          <w:bCs/>
          <w:highlight w:val="none"/>
        </w:rPr>
        <w:t xml:space="preserve">第一条  </w:t>
      </w:r>
      <w:r>
        <w:rPr>
          <w:rFonts w:hint="eastAsia"/>
          <w:bCs/>
          <w:spacing w:val="-5"/>
          <w:highlight w:val="none"/>
        </w:rPr>
        <w:t>双</w:t>
      </w:r>
      <w:r>
        <w:rPr>
          <w:rFonts w:hint="eastAsia"/>
          <w:bCs/>
          <w:highlight w:val="none"/>
        </w:rPr>
        <w:t>方的责任</w:t>
      </w:r>
    </w:p>
    <w:p w14:paraId="7B23392D">
      <w:pPr>
        <w:pStyle w:val="239"/>
        <w:numPr>
          <w:ilvl w:val="1"/>
          <w:numId w:val="42"/>
        </w:numPr>
        <w:tabs>
          <w:tab w:val="left" w:pos="567"/>
        </w:tabs>
        <w:spacing w:line="360" w:lineRule="auto"/>
        <w:ind w:left="843" w:firstLine="0"/>
        <w:rPr>
          <w:rFonts w:ascii="宋体" w:hAnsi="宋体" w:cs="宋体"/>
          <w:highlight w:val="none"/>
        </w:rPr>
      </w:pPr>
      <w:r>
        <w:rPr>
          <w:rFonts w:hint="eastAsia" w:ascii="宋体" w:hAnsi="宋体" w:cs="宋体"/>
          <w:spacing w:val="-4"/>
          <w:highlight w:val="none"/>
        </w:rPr>
        <w:t>严格遵守国家有关法律、法规。</w:t>
      </w:r>
    </w:p>
    <w:p w14:paraId="4681C84C">
      <w:pPr>
        <w:pStyle w:val="239"/>
        <w:numPr>
          <w:ilvl w:val="1"/>
          <w:numId w:val="42"/>
        </w:numPr>
        <w:tabs>
          <w:tab w:val="left" w:pos="567"/>
        </w:tabs>
        <w:spacing w:before="169" w:line="360" w:lineRule="auto"/>
        <w:ind w:left="843" w:right="125" w:firstLine="0"/>
        <w:rPr>
          <w:rFonts w:ascii="宋体" w:hAnsi="宋体" w:cs="宋体"/>
          <w:highlight w:val="none"/>
        </w:rPr>
      </w:pPr>
      <w:r>
        <w:rPr>
          <w:rFonts w:hint="eastAsia" w:ascii="宋体" w:hAnsi="宋体" w:cs="宋体"/>
          <w:spacing w:val="-5"/>
          <w:highlight w:val="none"/>
        </w:rPr>
        <w:t>严格执行发、承包双方签订的</w:t>
      </w:r>
      <w:r>
        <w:rPr>
          <w:rFonts w:hint="eastAsia" w:ascii="宋体" w:hAnsi="宋体" w:cs="宋体"/>
          <w:spacing w:val="-5"/>
          <w:highlight w:val="none"/>
          <w:u w:val="single"/>
        </w:rPr>
        <w:t xml:space="preserve">                             </w:t>
      </w:r>
      <w:r>
        <w:rPr>
          <w:rFonts w:hint="eastAsia" w:ascii="宋体" w:hAnsi="宋体" w:cs="宋体"/>
          <w:spacing w:val="-5"/>
          <w:highlight w:val="none"/>
        </w:rPr>
        <w:t>合同。</w:t>
      </w:r>
    </w:p>
    <w:p w14:paraId="3F696E7D">
      <w:pPr>
        <w:pStyle w:val="239"/>
        <w:numPr>
          <w:ilvl w:val="1"/>
          <w:numId w:val="42"/>
        </w:numPr>
        <w:tabs>
          <w:tab w:val="left" w:pos="567"/>
        </w:tabs>
        <w:spacing w:before="101" w:line="360" w:lineRule="auto"/>
        <w:ind w:left="843" w:firstLine="0"/>
        <w:rPr>
          <w:rFonts w:ascii="宋体" w:hAnsi="宋体" w:cs="宋体"/>
          <w:highlight w:val="none"/>
        </w:rPr>
      </w:pPr>
      <w:r>
        <w:rPr>
          <w:rFonts w:hint="eastAsia" w:ascii="宋体" w:hAnsi="宋体" w:cs="宋体"/>
          <w:spacing w:val="-5"/>
          <w:highlight w:val="none"/>
        </w:rPr>
        <w:t>任何一方不得为获取不正当的利益，采用任何方式损害对方的合法权益。</w:t>
      </w:r>
    </w:p>
    <w:p w14:paraId="6C2A4FBF">
      <w:pPr>
        <w:pStyle w:val="239"/>
        <w:numPr>
          <w:ilvl w:val="1"/>
          <w:numId w:val="42"/>
        </w:numPr>
        <w:tabs>
          <w:tab w:val="left" w:pos="567"/>
        </w:tabs>
        <w:spacing w:before="164" w:line="360" w:lineRule="auto"/>
        <w:ind w:left="843" w:right="130" w:firstLine="0"/>
        <w:rPr>
          <w:rFonts w:ascii="宋体" w:hAnsi="宋体" w:cs="宋体"/>
          <w:highlight w:val="none"/>
        </w:rPr>
      </w:pPr>
      <w:r>
        <w:rPr>
          <w:rFonts w:hint="eastAsia" w:ascii="宋体" w:hAnsi="宋体" w:cs="宋体"/>
          <w:spacing w:val="-9"/>
          <w:highlight w:val="none"/>
        </w:rPr>
        <w:t>任何一方发现对方业务人员在业务活动中有违法、违规、违纪、违反本协议行为的，有义务即时</w:t>
      </w:r>
      <w:r>
        <w:rPr>
          <w:rFonts w:hint="eastAsia" w:ascii="宋体" w:hAnsi="宋体" w:cs="宋体"/>
          <w:spacing w:val="-7"/>
          <w:highlight w:val="none"/>
        </w:rPr>
        <w:t>向对方监督部门举报</w:t>
      </w:r>
      <w:r>
        <w:rPr>
          <w:rFonts w:hint="eastAsia" w:ascii="宋体" w:hAnsi="宋体" w:cs="宋体"/>
          <w:spacing w:val="-5"/>
          <w:highlight w:val="none"/>
        </w:rPr>
        <w:t>，举报时须提供相关证明材料。</w:t>
      </w:r>
    </w:p>
    <w:p w14:paraId="3B4F6D78">
      <w:pPr>
        <w:pStyle w:val="16"/>
        <w:tabs>
          <w:tab w:val="left" w:pos="2260"/>
        </w:tabs>
        <w:spacing w:before="80" w:line="360" w:lineRule="auto"/>
        <w:ind w:left="422"/>
        <w:rPr>
          <w:b/>
          <w:bCs/>
          <w:spacing w:val="-5"/>
          <w:highlight w:val="none"/>
        </w:rPr>
      </w:pPr>
      <w:r>
        <w:rPr>
          <w:rFonts w:hint="eastAsia"/>
          <w:bCs/>
          <w:highlight w:val="none"/>
        </w:rPr>
        <w:t xml:space="preserve">第二条  </w:t>
      </w:r>
      <w:r>
        <w:rPr>
          <w:rFonts w:hint="eastAsia"/>
          <w:bCs/>
          <w:spacing w:val="-5"/>
          <w:highlight w:val="none"/>
        </w:rPr>
        <w:t>发包人廉洁管理职责</w:t>
      </w:r>
    </w:p>
    <w:p w14:paraId="24EB937B">
      <w:pPr>
        <w:pStyle w:val="16"/>
        <w:tabs>
          <w:tab w:val="left" w:pos="2260"/>
        </w:tabs>
        <w:spacing w:before="80" w:line="360" w:lineRule="auto"/>
        <w:ind w:left="422"/>
        <w:rPr>
          <w:spacing w:val="-5"/>
          <w:highlight w:val="none"/>
        </w:rPr>
      </w:pPr>
      <w:r>
        <w:rPr>
          <w:rFonts w:hint="eastAsia"/>
          <w:spacing w:val="-5"/>
          <w:highlight w:val="none"/>
        </w:rPr>
        <w:t>2.1应与承包人保持正常的业务交往，按照有关法律法规和程序开展业务工作。</w:t>
      </w:r>
    </w:p>
    <w:p w14:paraId="2268B3C7">
      <w:pPr>
        <w:pStyle w:val="16"/>
        <w:tabs>
          <w:tab w:val="left" w:pos="2260"/>
        </w:tabs>
        <w:spacing w:before="80" w:line="360" w:lineRule="auto"/>
        <w:ind w:left="422"/>
        <w:rPr>
          <w:spacing w:val="-5"/>
          <w:highlight w:val="none"/>
        </w:rPr>
      </w:pPr>
      <w:r>
        <w:rPr>
          <w:rFonts w:hint="eastAsia"/>
          <w:spacing w:val="-5"/>
          <w:highlight w:val="none"/>
        </w:rPr>
        <w:t>2.2在商务活动中应当依法办事、廉洁自律，不得有任何涉及商业贿赂或损害企业利益的行为（包括但不限于以下情形）：</w:t>
      </w:r>
    </w:p>
    <w:p w14:paraId="2E9186E9">
      <w:pPr>
        <w:pStyle w:val="16"/>
        <w:tabs>
          <w:tab w:val="left" w:pos="2260"/>
        </w:tabs>
        <w:spacing w:before="80" w:line="360" w:lineRule="auto"/>
        <w:ind w:left="422" w:firstLine="460" w:firstLineChars="200"/>
        <w:rPr>
          <w:spacing w:val="-5"/>
          <w:highlight w:val="none"/>
        </w:rPr>
      </w:pPr>
      <w:r>
        <w:rPr>
          <w:rFonts w:hint="eastAsia"/>
          <w:spacing w:val="-5"/>
          <w:highlight w:val="none"/>
        </w:rPr>
        <w:t>2.2.1向承包人及承包人工作人员索要或接受承包人以及承包人工作人员的回扣、礼金、有价证券、贵重物品或好处费、感谢费等；</w:t>
      </w:r>
    </w:p>
    <w:p w14:paraId="34F43526">
      <w:pPr>
        <w:pStyle w:val="16"/>
        <w:tabs>
          <w:tab w:val="left" w:pos="2260"/>
        </w:tabs>
        <w:spacing w:before="80" w:line="360" w:lineRule="auto"/>
        <w:ind w:left="422" w:firstLine="460" w:firstLineChars="200"/>
        <w:rPr>
          <w:spacing w:val="-5"/>
          <w:highlight w:val="none"/>
        </w:rPr>
      </w:pPr>
      <w:r>
        <w:rPr>
          <w:rFonts w:hint="eastAsia"/>
          <w:spacing w:val="-5"/>
          <w:highlight w:val="none"/>
        </w:rPr>
        <w:t>2.2.2在业务活动中以任何理由设置障碍、态度粗鲁、刁难承包人；</w:t>
      </w:r>
    </w:p>
    <w:p w14:paraId="72BDE4E5">
      <w:pPr>
        <w:pStyle w:val="16"/>
        <w:tabs>
          <w:tab w:val="left" w:pos="2260"/>
        </w:tabs>
        <w:spacing w:before="80" w:line="360" w:lineRule="auto"/>
        <w:ind w:left="422" w:firstLine="460" w:firstLineChars="200"/>
        <w:rPr>
          <w:spacing w:val="-5"/>
          <w:highlight w:val="none"/>
        </w:rPr>
      </w:pPr>
      <w:r>
        <w:rPr>
          <w:rFonts w:hint="eastAsia"/>
          <w:spacing w:val="-5"/>
          <w:highlight w:val="none"/>
        </w:rPr>
        <w:t>2.2.3在承包人报销任何应由发包人或发包人工作人员个人支付的费用；</w:t>
      </w:r>
    </w:p>
    <w:p w14:paraId="56A9FD20">
      <w:pPr>
        <w:pStyle w:val="16"/>
        <w:tabs>
          <w:tab w:val="left" w:pos="2260"/>
        </w:tabs>
        <w:spacing w:before="80" w:line="360" w:lineRule="auto"/>
        <w:ind w:left="422" w:firstLine="460" w:firstLineChars="200"/>
        <w:rPr>
          <w:spacing w:val="-5"/>
          <w:highlight w:val="none"/>
        </w:rPr>
      </w:pPr>
      <w:r>
        <w:rPr>
          <w:rFonts w:hint="eastAsia"/>
          <w:spacing w:val="-5"/>
          <w:highlight w:val="none"/>
        </w:rPr>
        <w:t>2.2.4要求或接受承包人或承包人工作人员为发包人工作人员装修住房、婚丧嫁娶、或为其配偶及亲戚朋友安排工作提供方便；</w:t>
      </w:r>
    </w:p>
    <w:p w14:paraId="7DB17C5C">
      <w:pPr>
        <w:pStyle w:val="16"/>
        <w:tabs>
          <w:tab w:val="left" w:pos="2260"/>
        </w:tabs>
        <w:spacing w:before="80" w:line="360" w:lineRule="auto"/>
        <w:ind w:left="422" w:firstLine="460" w:firstLineChars="200"/>
        <w:rPr>
          <w:spacing w:val="-5"/>
          <w:highlight w:val="none"/>
        </w:rPr>
      </w:pPr>
      <w:r>
        <w:rPr>
          <w:rFonts w:hint="eastAsia"/>
          <w:spacing w:val="-5"/>
          <w:highlight w:val="none"/>
        </w:rPr>
        <w:t>2.2.5参加承包人或承包人工作人员安排的宴请、健身、娱乐、桑拿按摩等活动；</w:t>
      </w:r>
    </w:p>
    <w:p w14:paraId="1223A4EE">
      <w:pPr>
        <w:pStyle w:val="16"/>
        <w:tabs>
          <w:tab w:val="left" w:pos="2260"/>
        </w:tabs>
        <w:spacing w:before="80" w:line="360" w:lineRule="auto"/>
        <w:ind w:left="422" w:firstLine="460" w:firstLineChars="200"/>
        <w:rPr>
          <w:spacing w:val="-5"/>
          <w:highlight w:val="none"/>
        </w:rPr>
      </w:pPr>
      <w:r>
        <w:rPr>
          <w:rFonts w:hint="eastAsia"/>
          <w:spacing w:val="-5"/>
          <w:highlight w:val="none"/>
        </w:rPr>
        <w:t>2.2.6向承包人或承包人工作人员要求为发包人工作人员或其配偶及亲戚朋友介绍经营业务等活动。</w:t>
      </w:r>
    </w:p>
    <w:p w14:paraId="62104042">
      <w:pPr>
        <w:pStyle w:val="16"/>
        <w:tabs>
          <w:tab w:val="left" w:pos="2260"/>
        </w:tabs>
        <w:spacing w:before="80" w:line="360" w:lineRule="auto"/>
        <w:ind w:left="422"/>
        <w:rPr>
          <w:spacing w:val="-5"/>
          <w:highlight w:val="none"/>
        </w:rPr>
      </w:pPr>
      <w:r>
        <w:rPr>
          <w:spacing w:val="-5"/>
          <w:highlight w:val="none"/>
        </w:rPr>
        <w:t>2.3</w:t>
      </w:r>
      <w:r>
        <w:rPr>
          <w:rFonts w:hint="eastAsia"/>
          <w:spacing w:val="-5"/>
          <w:highlight w:val="none"/>
        </w:rPr>
        <w:t>发包人人员在合作期间发现承包人单位有不廉洁的行为，应及时通知主管领导和承包人，并及时采取措施，终止其不廉洁行为的继续发生。</w:t>
      </w:r>
    </w:p>
    <w:p w14:paraId="0314D23D">
      <w:pPr>
        <w:pStyle w:val="16"/>
        <w:tabs>
          <w:tab w:val="left" w:pos="2260"/>
        </w:tabs>
        <w:spacing w:before="80" w:line="360" w:lineRule="auto"/>
        <w:ind w:left="422"/>
        <w:rPr>
          <w:b/>
          <w:bCs/>
          <w:spacing w:val="-5"/>
          <w:highlight w:val="none"/>
        </w:rPr>
      </w:pPr>
      <w:r>
        <w:rPr>
          <w:rFonts w:hint="eastAsia"/>
          <w:bCs/>
          <w:highlight w:val="none"/>
        </w:rPr>
        <w:t xml:space="preserve">第三条 </w:t>
      </w:r>
      <w:r>
        <w:rPr>
          <w:bCs/>
          <w:highlight w:val="none"/>
        </w:rPr>
        <w:t xml:space="preserve"> </w:t>
      </w:r>
      <w:r>
        <w:rPr>
          <w:rFonts w:hint="eastAsia"/>
          <w:bCs/>
          <w:spacing w:val="-5"/>
          <w:highlight w:val="none"/>
        </w:rPr>
        <w:t>承包人廉洁管理职责</w:t>
      </w:r>
    </w:p>
    <w:p w14:paraId="19EEF5B4">
      <w:pPr>
        <w:pStyle w:val="16"/>
        <w:tabs>
          <w:tab w:val="left" w:pos="2260"/>
        </w:tabs>
        <w:spacing w:before="80" w:line="360" w:lineRule="auto"/>
        <w:ind w:left="422"/>
        <w:rPr>
          <w:spacing w:val="-5"/>
          <w:highlight w:val="none"/>
        </w:rPr>
      </w:pPr>
      <w:r>
        <w:rPr>
          <w:rFonts w:hint="eastAsia"/>
          <w:spacing w:val="-5"/>
          <w:highlight w:val="none"/>
        </w:rPr>
        <w:t>3.1应与发包人保持正常的业务交往，按照有关法律法规和程序开展业务工作。</w:t>
      </w:r>
    </w:p>
    <w:p w14:paraId="7CBFA35C">
      <w:pPr>
        <w:pStyle w:val="16"/>
        <w:tabs>
          <w:tab w:val="left" w:pos="2260"/>
        </w:tabs>
        <w:spacing w:before="80" w:line="360" w:lineRule="auto"/>
        <w:ind w:left="422"/>
        <w:rPr>
          <w:spacing w:val="-5"/>
          <w:highlight w:val="none"/>
        </w:rPr>
      </w:pPr>
      <w:r>
        <w:rPr>
          <w:rFonts w:hint="eastAsia"/>
          <w:spacing w:val="-5"/>
          <w:highlight w:val="none"/>
        </w:rPr>
        <w:t xml:space="preserve">3.2在与发包人的商务活动中应当依法办事、廉洁自律，不得以任何方式从事任何涉及商业贿赂或损害发包人企业利益的行为，包括但不限于以下情形： </w:t>
      </w:r>
    </w:p>
    <w:p w14:paraId="40C98584">
      <w:pPr>
        <w:pStyle w:val="16"/>
        <w:tabs>
          <w:tab w:val="left" w:pos="2260"/>
        </w:tabs>
        <w:spacing w:before="80" w:line="360" w:lineRule="auto"/>
        <w:ind w:left="422" w:firstLine="460" w:firstLineChars="200"/>
        <w:rPr>
          <w:spacing w:val="-5"/>
          <w:highlight w:val="none"/>
        </w:rPr>
      </w:pPr>
      <w:r>
        <w:rPr>
          <w:rFonts w:hint="eastAsia"/>
          <w:spacing w:val="-5"/>
          <w:highlight w:val="none"/>
        </w:rPr>
        <w:t>3.2.1以任何理由或方式向发包人及其工作人员赠送礼金、有价证券、贵重物品及回扣、好处费、感谢费等；</w:t>
      </w:r>
    </w:p>
    <w:p w14:paraId="5336E30C">
      <w:pPr>
        <w:pStyle w:val="16"/>
        <w:tabs>
          <w:tab w:val="left" w:pos="2260"/>
        </w:tabs>
        <w:spacing w:before="80" w:line="360" w:lineRule="auto"/>
        <w:ind w:left="422" w:firstLine="460" w:firstLineChars="200"/>
        <w:rPr>
          <w:spacing w:val="-5"/>
          <w:highlight w:val="none"/>
        </w:rPr>
      </w:pPr>
      <w:r>
        <w:rPr>
          <w:rFonts w:hint="eastAsia"/>
          <w:spacing w:val="-5"/>
          <w:highlight w:val="none"/>
        </w:rPr>
        <w:t>3.2.2以任何理由或方式为发包人及其工作人员报销应由发包人及其工作人员支付的费用；</w:t>
      </w:r>
    </w:p>
    <w:p w14:paraId="370EA918">
      <w:pPr>
        <w:pStyle w:val="16"/>
        <w:tabs>
          <w:tab w:val="left" w:pos="2260"/>
        </w:tabs>
        <w:spacing w:before="80" w:line="360" w:lineRule="auto"/>
        <w:ind w:left="422" w:firstLine="460" w:firstLineChars="200"/>
        <w:rPr>
          <w:spacing w:val="-5"/>
          <w:highlight w:val="none"/>
        </w:rPr>
      </w:pPr>
      <w:r>
        <w:rPr>
          <w:rFonts w:hint="eastAsia"/>
          <w:spacing w:val="-5"/>
          <w:highlight w:val="none"/>
        </w:rPr>
        <w:t>3.2.3为发包人工作人员装修住房、安排婚丧嫁娶活动及为其配偶或亲戚朋友安排工作或牵线搭桥、提供方便；</w:t>
      </w:r>
    </w:p>
    <w:p w14:paraId="085F7164">
      <w:pPr>
        <w:pStyle w:val="16"/>
        <w:tabs>
          <w:tab w:val="left" w:pos="2260"/>
        </w:tabs>
        <w:spacing w:before="80" w:line="360" w:lineRule="auto"/>
        <w:ind w:left="422" w:firstLine="460" w:firstLineChars="200"/>
        <w:rPr>
          <w:spacing w:val="-5"/>
          <w:highlight w:val="none"/>
        </w:rPr>
      </w:pPr>
      <w:r>
        <w:rPr>
          <w:rFonts w:hint="eastAsia"/>
          <w:spacing w:val="-5"/>
          <w:highlight w:val="none"/>
        </w:rPr>
        <w:t>3.2.4以任何理由宴请发包人单位及其工作人员；以任何理由安排发包人单位及其工作人员参与其组织的健身、娱乐、桑拿按摩等活动；</w:t>
      </w:r>
    </w:p>
    <w:p w14:paraId="17AAB7B0">
      <w:pPr>
        <w:pStyle w:val="16"/>
        <w:tabs>
          <w:tab w:val="left" w:pos="2260"/>
        </w:tabs>
        <w:spacing w:before="80" w:line="360" w:lineRule="auto"/>
        <w:ind w:left="422" w:firstLine="460" w:firstLineChars="200"/>
        <w:rPr>
          <w:spacing w:val="-5"/>
          <w:highlight w:val="none"/>
        </w:rPr>
      </w:pPr>
      <w:r>
        <w:rPr>
          <w:rFonts w:hint="eastAsia"/>
          <w:spacing w:val="-5"/>
          <w:highlight w:val="none"/>
        </w:rPr>
        <w:t>3.2.5为发包人工作人员及其配偶、亲戚朋友介绍经营业务、提供经营业务的便利条件，进行经营业务合作等活动。</w:t>
      </w:r>
    </w:p>
    <w:p w14:paraId="3BA3FE2A">
      <w:pPr>
        <w:pStyle w:val="16"/>
        <w:tabs>
          <w:tab w:val="left" w:pos="2260"/>
        </w:tabs>
        <w:spacing w:before="80" w:line="360" w:lineRule="auto"/>
        <w:ind w:left="422"/>
        <w:rPr>
          <w:spacing w:val="-5"/>
          <w:highlight w:val="none"/>
        </w:rPr>
      </w:pPr>
      <w:r>
        <w:rPr>
          <w:rFonts w:hint="eastAsia"/>
          <w:spacing w:val="-5"/>
          <w:highlight w:val="none"/>
        </w:rPr>
        <w:t>3</w:t>
      </w:r>
      <w:r>
        <w:rPr>
          <w:spacing w:val="-5"/>
          <w:highlight w:val="none"/>
        </w:rPr>
        <w:t>.3</w:t>
      </w:r>
      <w:r>
        <w:rPr>
          <w:rFonts w:hint="eastAsia"/>
          <w:spacing w:val="-5"/>
          <w:highlight w:val="none"/>
        </w:rPr>
        <w:t>承包人在合作期间发现发包人人员有不廉洁行为，应及时通知发包人及其主管领导，及时采取措施，积极有效地终止其不廉洁行为的连续发生。</w:t>
      </w:r>
    </w:p>
    <w:p w14:paraId="4B9186A5">
      <w:pPr>
        <w:pStyle w:val="16"/>
        <w:tabs>
          <w:tab w:val="left" w:pos="2260"/>
        </w:tabs>
        <w:spacing w:before="80"/>
        <w:ind w:left="422"/>
        <w:rPr>
          <w:spacing w:val="-5"/>
          <w:highlight w:val="none"/>
        </w:rPr>
      </w:pPr>
      <w:r>
        <w:rPr>
          <w:rFonts w:hint="eastAsia"/>
          <w:spacing w:val="-5"/>
          <w:highlight w:val="none"/>
        </w:rPr>
        <w:t>第四条 违约责任</w:t>
      </w:r>
    </w:p>
    <w:p w14:paraId="60BBDF25">
      <w:pPr>
        <w:pStyle w:val="16"/>
        <w:tabs>
          <w:tab w:val="left" w:pos="2260"/>
        </w:tabs>
        <w:spacing w:before="80" w:line="360" w:lineRule="auto"/>
        <w:ind w:left="422"/>
        <w:rPr>
          <w:spacing w:val="-5"/>
          <w:highlight w:val="none"/>
        </w:rPr>
      </w:pPr>
      <w:r>
        <w:rPr>
          <w:rFonts w:hint="eastAsia"/>
          <w:spacing w:val="-5"/>
          <w:highlight w:val="none"/>
        </w:rPr>
        <w:t>4.1 承包人或工作人员违反本协议以上内容的，承包人应赔偿发包人违约金共计人民币伍万元整，发包人有权据此解除施工合同，同时发包人将永久性地取消承包人与发包人再次合作的资格，构成犯罪的，发包人将向司法机关报案，追究承包人及承包人相关人员刑事责任；给发包人单位造成经济损失的，还应予以赔偿。</w:t>
      </w:r>
    </w:p>
    <w:p w14:paraId="686D95DF">
      <w:pPr>
        <w:pStyle w:val="16"/>
        <w:tabs>
          <w:tab w:val="left" w:pos="2260"/>
        </w:tabs>
        <w:spacing w:before="80" w:line="360" w:lineRule="auto"/>
        <w:ind w:left="422"/>
        <w:rPr>
          <w:spacing w:val="-5"/>
          <w:highlight w:val="none"/>
        </w:rPr>
      </w:pPr>
      <w:r>
        <w:rPr>
          <w:rFonts w:hint="eastAsia"/>
          <w:spacing w:val="-5"/>
          <w:highlight w:val="none"/>
        </w:rPr>
        <w:t xml:space="preserve">发包人：（盖章）                  </w:t>
      </w:r>
      <w:r>
        <w:rPr>
          <w:spacing w:val="-5"/>
          <w:highlight w:val="none"/>
        </w:rPr>
        <w:t xml:space="preserve">               </w:t>
      </w:r>
      <w:r>
        <w:rPr>
          <w:rFonts w:hint="eastAsia"/>
          <w:spacing w:val="-5"/>
          <w:highlight w:val="none"/>
        </w:rPr>
        <w:t xml:space="preserve">     承包人：（盖章）         </w:t>
      </w:r>
    </w:p>
    <w:p w14:paraId="657CD260">
      <w:pPr>
        <w:pStyle w:val="16"/>
        <w:tabs>
          <w:tab w:val="left" w:pos="2260"/>
        </w:tabs>
        <w:spacing w:before="80" w:line="360" w:lineRule="auto"/>
        <w:ind w:left="422"/>
        <w:rPr>
          <w:spacing w:val="-5"/>
          <w:highlight w:val="none"/>
        </w:rPr>
      </w:pPr>
      <w:r>
        <w:rPr>
          <w:rFonts w:hint="eastAsia"/>
          <w:spacing w:val="-5"/>
          <w:highlight w:val="none"/>
        </w:rPr>
        <w:t xml:space="preserve">法定代表人：（盖章）             </w:t>
      </w:r>
      <w:r>
        <w:rPr>
          <w:spacing w:val="-5"/>
          <w:highlight w:val="none"/>
        </w:rPr>
        <w:t xml:space="preserve">               </w:t>
      </w:r>
      <w:r>
        <w:rPr>
          <w:rFonts w:hint="eastAsia"/>
          <w:spacing w:val="-5"/>
          <w:highlight w:val="none"/>
        </w:rPr>
        <w:t xml:space="preserve">    法定代表人：（盖章）         </w:t>
      </w:r>
    </w:p>
    <w:p w14:paraId="1A678E5F">
      <w:pPr>
        <w:pStyle w:val="16"/>
        <w:tabs>
          <w:tab w:val="left" w:pos="2260"/>
        </w:tabs>
        <w:spacing w:before="80" w:line="360" w:lineRule="auto"/>
        <w:ind w:left="422"/>
        <w:jc w:val="right"/>
        <w:rPr>
          <w:highlight w:val="none"/>
        </w:rPr>
      </w:pPr>
      <w:r>
        <w:rPr>
          <w:rFonts w:hint="eastAsia"/>
          <w:spacing w:val="-5"/>
          <w:highlight w:val="none"/>
        </w:rPr>
        <w:t xml:space="preserve"> 年   月  日</w:t>
      </w:r>
      <w:r>
        <w:rPr>
          <w:rFonts w:hint="eastAsia"/>
          <w:sz w:val="28"/>
          <w:szCs w:val="28"/>
          <w:highlight w:val="none"/>
        </w:rPr>
        <w:t xml:space="preserve"> </w:t>
      </w:r>
    </w:p>
    <w:bookmarkEnd w:id="217"/>
    <w:p w14:paraId="78E9C78D">
      <w:pPr>
        <w:widowControl/>
        <w:rPr>
          <w:highlight w:val="none"/>
        </w:rPr>
      </w:pPr>
    </w:p>
    <w:p w14:paraId="6E25AB2B">
      <w:pPr>
        <w:pStyle w:val="16"/>
        <w:rPr>
          <w:b/>
          <w:sz w:val="36"/>
          <w:highlight w:val="none"/>
        </w:rPr>
      </w:pPr>
    </w:p>
    <w:p w14:paraId="1FDD4371">
      <w:pPr>
        <w:rPr>
          <w:b/>
          <w:sz w:val="36"/>
          <w:highlight w:val="none"/>
        </w:rPr>
      </w:pPr>
      <w:r>
        <w:rPr>
          <w:b/>
          <w:sz w:val="36"/>
          <w:highlight w:val="none"/>
        </w:rPr>
        <w:br w:type="page"/>
      </w:r>
    </w:p>
    <w:p w14:paraId="69B17277">
      <w:pPr>
        <w:pStyle w:val="16"/>
        <w:spacing w:before="5"/>
        <w:rPr>
          <w:rFonts w:ascii="仿宋"/>
          <w:sz w:val="11"/>
          <w:highlight w:val="none"/>
        </w:rPr>
      </w:pPr>
    </w:p>
    <w:p w14:paraId="2D062619">
      <w:pPr>
        <w:pStyle w:val="2"/>
        <w:spacing w:before="50"/>
        <w:ind w:left="835" w:right="837"/>
        <w:rPr>
          <w:highlight w:val="none"/>
        </w:rPr>
      </w:pPr>
      <w:bookmarkStart w:id="249" w:name="_bookmark4"/>
      <w:bookmarkEnd w:id="249"/>
      <w:bookmarkStart w:id="250" w:name="第五章_工程量清单"/>
      <w:bookmarkEnd w:id="250"/>
      <w:r>
        <w:rPr>
          <w:highlight w:val="none"/>
        </w:rPr>
        <w:t>第五章 工程量清单</w:t>
      </w:r>
    </w:p>
    <w:p w14:paraId="7C0972E8">
      <w:pPr>
        <w:pStyle w:val="16"/>
        <w:rPr>
          <w:b/>
          <w:sz w:val="27"/>
          <w:highlight w:val="none"/>
        </w:rPr>
      </w:pPr>
    </w:p>
    <w:p w14:paraId="5E67275F">
      <w:pPr>
        <w:jc w:val="both"/>
        <w:rPr>
          <w:rFonts w:hint="eastAsia"/>
          <w:b/>
          <w:bCs/>
          <w:highlight w:val="none"/>
          <w:lang w:val="en-US" w:eastAsia="zh-CN"/>
        </w:rPr>
      </w:pPr>
      <w:r>
        <w:rPr>
          <w:rFonts w:hint="eastAsia"/>
          <w:b/>
          <w:bCs/>
          <w:highlight w:val="none"/>
          <w:lang w:val="en-US" w:eastAsia="zh-CN"/>
        </w:rPr>
        <w:t>第1包：秦渡街道西南郊水厂二期一阶段项目清表及垃圾清运工程第1包</w:t>
      </w:r>
    </w:p>
    <w:tbl>
      <w:tblPr>
        <w:tblStyle w:val="41"/>
        <w:tblW w:w="43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1906"/>
      </w:tblGrid>
      <w:tr w14:paraId="55771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4D9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9F3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村落</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006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清表工程量(m³)</w:t>
            </w:r>
          </w:p>
        </w:tc>
      </w:tr>
      <w:tr w14:paraId="2086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F9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3A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辛家庄村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9A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4284.2</w:t>
            </w:r>
          </w:p>
        </w:tc>
      </w:tr>
      <w:tr w14:paraId="2F6A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32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6D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第五桥村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D6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8095.69</w:t>
            </w:r>
          </w:p>
        </w:tc>
      </w:tr>
      <w:tr w14:paraId="7269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C8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A5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西西村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6D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696.97</w:t>
            </w:r>
          </w:p>
        </w:tc>
      </w:tr>
      <w:tr w14:paraId="6C60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EA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CC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骞王村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9C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3964.22</w:t>
            </w:r>
          </w:p>
        </w:tc>
      </w:tr>
      <w:tr w14:paraId="1E0E5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55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E5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北沙河寨村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BB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9055.18</w:t>
            </w:r>
          </w:p>
        </w:tc>
      </w:tr>
      <w:tr w14:paraId="7482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E8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39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乔庄村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90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1900.52</w:t>
            </w:r>
          </w:p>
        </w:tc>
      </w:tr>
      <w:tr w14:paraId="7173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62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D5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南沙河寨村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EC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1928.03</w:t>
            </w:r>
          </w:p>
        </w:tc>
      </w:tr>
      <w:tr w14:paraId="62187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71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ED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9F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29924.8</w:t>
            </w:r>
          </w:p>
        </w:tc>
      </w:tr>
    </w:tbl>
    <w:p w14:paraId="0BF870C7">
      <w:pPr>
        <w:jc w:val="both"/>
        <w:rPr>
          <w:rFonts w:hint="default" w:eastAsia="宋体"/>
          <w:highlight w:val="none"/>
          <w:lang w:val="en-US" w:eastAsia="zh-CN"/>
        </w:rPr>
      </w:pPr>
    </w:p>
    <w:p w14:paraId="2134717C">
      <w:pPr>
        <w:jc w:val="both"/>
        <w:rPr>
          <w:rFonts w:hint="default" w:eastAsia="宋体"/>
          <w:highlight w:val="none"/>
          <w:lang w:val="en-US" w:eastAsia="zh-CN"/>
        </w:rPr>
      </w:pPr>
    </w:p>
    <w:p w14:paraId="2292CBC0">
      <w:pPr>
        <w:jc w:val="both"/>
        <w:rPr>
          <w:rFonts w:hint="eastAsia"/>
          <w:b/>
          <w:bCs/>
          <w:sz w:val="21"/>
          <w:szCs w:val="21"/>
          <w:highlight w:val="none"/>
          <w:shd w:val="clear" w:color="auto" w:fill="FFFFFF"/>
          <w:lang w:val="en-US" w:eastAsia="zh-CN" w:bidi="ar"/>
        </w:rPr>
      </w:pPr>
      <w:r>
        <w:rPr>
          <w:rFonts w:hint="eastAsia"/>
          <w:b/>
          <w:bCs/>
          <w:highlight w:val="none"/>
          <w:lang w:val="en-US" w:eastAsia="zh-CN"/>
        </w:rPr>
        <w:t>第2包：</w:t>
      </w:r>
      <w:r>
        <w:rPr>
          <w:rFonts w:hint="eastAsia"/>
          <w:b/>
          <w:bCs/>
          <w:sz w:val="21"/>
          <w:szCs w:val="21"/>
          <w:highlight w:val="none"/>
          <w:shd w:val="clear" w:color="auto" w:fill="FFFFFF"/>
          <w:lang w:val="en-US" w:eastAsia="zh-CN" w:bidi="ar"/>
        </w:rPr>
        <w:t>秦渡街道西南郊水厂二期一阶段项目清表及垃圾清运工程第2包</w:t>
      </w:r>
    </w:p>
    <w:tbl>
      <w:tblPr>
        <w:tblStyle w:val="41"/>
        <w:tblW w:w="43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1906"/>
      </w:tblGrid>
      <w:tr w14:paraId="0FAF5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7EE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E87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村落</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28C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清表工程量(m³)</w:t>
            </w:r>
          </w:p>
        </w:tc>
      </w:tr>
      <w:tr w14:paraId="3FAE3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E1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57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正庄村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BE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8238.27</w:t>
            </w:r>
          </w:p>
        </w:tc>
      </w:tr>
      <w:tr w14:paraId="4933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9D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33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东谷子磑村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F9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3132.2</w:t>
            </w:r>
          </w:p>
        </w:tc>
      </w:tr>
      <w:tr w14:paraId="39223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BC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3E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南谷子磑村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33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933.47</w:t>
            </w:r>
          </w:p>
        </w:tc>
      </w:tr>
      <w:tr w14:paraId="40A3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DD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59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北谷子磑村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92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7483.11</w:t>
            </w:r>
          </w:p>
        </w:tc>
      </w:tr>
      <w:tr w14:paraId="790D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CB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BA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辛家庄村</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9E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1895.43</w:t>
            </w:r>
          </w:p>
        </w:tc>
      </w:tr>
      <w:tr w14:paraId="2D3B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F6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B5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DB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zh-CN" w:eastAsia="zh-CN" w:bidi="zh-CN"/>
              </w:rPr>
            </w:pPr>
            <w:r>
              <w:rPr>
                <w:rFonts w:hint="eastAsia" w:ascii="宋体" w:hAnsi="宋体" w:eastAsia="宋体" w:cs="宋体"/>
                <w:i w:val="0"/>
                <w:iCs w:val="0"/>
                <w:color w:val="000000"/>
                <w:kern w:val="0"/>
                <w:sz w:val="24"/>
                <w:szCs w:val="24"/>
                <w:highlight w:val="none"/>
                <w:u w:val="none"/>
                <w:lang w:val="en-US" w:eastAsia="zh-CN" w:bidi="ar"/>
              </w:rPr>
              <w:t>21682.48</w:t>
            </w:r>
          </w:p>
        </w:tc>
      </w:tr>
    </w:tbl>
    <w:p w14:paraId="69602F64">
      <w:pPr>
        <w:jc w:val="both"/>
        <w:rPr>
          <w:rFonts w:hint="default" w:eastAsia="宋体"/>
          <w:highlight w:val="none"/>
          <w:lang w:val="en-US" w:eastAsia="zh-CN"/>
        </w:rPr>
        <w:sectPr>
          <w:footerReference r:id="rId9" w:type="default"/>
          <w:pgSz w:w="11910" w:h="16840"/>
          <w:pgMar w:top="1580" w:right="920" w:bottom="1420" w:left="920" w:header="0" w:footer="1229" w:gutter="0"/>
          <w:cols w:space="720" w:num="1"/>
        </w:sectPr>
      </w:pPr>
    </w:p>
    <w:p w14:paraId="4A0453F0">
      <w:pPr>
        <w:pStyle w:val="2"/>
        <w:rPr>
          <w:highlight w:val="none"/>
        </w:rPr>
      </w:pPr>
      <w:bookmarkStart w:id="251" w:name="_bookmark6"/>
      <w:bookmarkEnd w:id="251"/>
      <w:bookmarkStart w:id="252" w:name="第六章_图纸"/>
      <w:bookmarkEnd w:id="252"/>
      <w:bookmarkStart w:id="253" w:name="_bookmark5"/>
      <w:bookmarkEnd w:id="253"/>
      <w:bookmarkStart w:id="254" w:name="第七章_技术部分标准和要求"/>
      <w:bookmarkEnd w:id="254"/>
      <w:r>
        <w:rPr>
          <w:highlight w:val="none"/>
        </w:rPr>
        <w:t>第</w:t>
      </w:r>
      <w:r>
        <w:rPr>
          <w:rFonts w:hint="eastAsia"/>
          <w:highlight w:val="none"/>
          <w:lang w:val="en-US" w:eastAsia="zh-CN"/>
        </w:rPr>
        <w:t>六</w:t>
      </w:r>
      <w:r>
        <w:rPr>
          <w:highlight w:val="none"/>
        </w:rPr>
        <w:t>章 技术部分标准和要求</w:t>
      </w:r>
    </w:p>
    <w:p w14:paraId="071A59A3">
      <w:pPr>
        <w:snapToGrid w:val="0"/>
        <w:spacing w:line="540" w:lineRule="exact"/>
        <w:ind w:firstLine="643" w:firstLineChars="200"/>
        <w:rPr>
          <w:rFonts w:hint="eastAsia" w:ascii="仿宋_GB2312" w:hAnsi="仿宋" w:eastAsia="仿宋_GB2312"/>
          <w:b/>
          <w:bCs/>
          <w:sz w:val="32"/>
          <w:szCs w:val="32"/>
          <w:highlight w:val="none"/>
        </w:rPr>
      </w:pPr>
      <w:bookmarkStart w:id="255" w:name="第八章___投标文件格式"/>
      <w:bookmarkEnd w:id="255"/>
      <w:bookmarkStart w:id="256" w:name="_bookmark7"/>
      <w:bookmarkEnd w:id="256"/>
      <w:r>
        <w:rPr>
          <w:rFonts w:hint="eastAsia" w:ascii="仿宋_GB2312" w:hAnsi="仿宋" w:eastAsia="仿宋_GB2312"/>
          <w:b/>
          <w:bCs/>
          <w:sz w:val="32"/>
          <w:szCs w:val="32"/>
          <w:highlight w:val="none"/>
        </w:rPr>
        <w:t>一、项目概况</w:t>
      </w:r>
    </w:p>
    <w:p w14:paraId="7D535F8B">
      <w:pPr>
        <w:spacing w:line="540" w:lineRule="exact"/>
        <w:ind w:firstLine="800" w:firstLineChars="250"/>
        <w:rPr>
          <w:rFonts w:hint="eastAsia" w:ascii="仿宋_GB2312" w:hAnsi="仿宋" w:eastAsia="仿宋_GB2312"/>
          <w:sz w:val="32"/>
          <w:szCs w:val="32"/>
          <w:highlight w:val="none"/>
        </w:rPr>
      </w:pPr>
      <w:r>
        <w:rPr>
          <w:rFonts w:hint="eastAsia" w:ascii="仿宋_GB2312" w:hAnsi="仿宋" w:eastAsia="仿宋_GB2312"/>
          <w:sz w:val="32"/>
          <w:szCs w:val="32"/>
          <w:highlight w:val="none"/>
        </w:rPr>
        <w:t>1、项目名称：秦渡街道西南郊水厂二期一阶段项目清表及垃圾清运工程</w:t>
      </w:r>
    </w:p>
    <w:p w14:paraId="7C83401E">
      <w:pPr>
        <w:spacing w:line="54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2、项目地点：秦渡街道南沙河村、乔庄村、北沙河村、千王村、第五桥村、辛家庄村、北谷子村、南谷子村、正庄村。</w:t>
      </w:r>
    </w:p>
    <w:p w14:paraId="212F4B6A">
      <w:pPr>
        <w:spacing w:line="540" w:lineRule="exact"/>
        <w:ind w:firstLine="640" w:firstLineChars="200"/>
        <w:rPr>
          <w:rFonts w:hint="eastAsia" w:ascii="仿宋_GB2312" w:hAnsi="仿宋" w:eastAsia="仿宋_GB2312"/>
          <w:sz w:val="32"/>
          <w:szCs w:val="32"/>
          <w:highlight w:val="none"/>
        </w:rPr>
      </w:pPr>
      <w:r>
        <w:rPr>
          <w:rFonts w:hint="eastAsia" w:ascii="仿宋_GB2312" w:hAnsi="仿宋_GB2312" w:eastAsia="仿宋_GB2312" w:cs="仿宋_GB2312"/>
          <w:sz w:val="32"/>
          <w:szCs w:val="32"/>
          <w:highlight w:val="none"/>
          <w:lang w:bidi="ar"/>
        </w:rPr>
        <w:t>3、项目主要内容：</w:t>
      </w:r>
      <w:r>
        <w:rPr>
          <w:rFonts w:hint="eastAsia" w:ascii="仿宋_GB2312" w:hAnsi="仿宋" w:eastAsia="仿宋_GB2312"/>
          <w:sz w:val="32"/>
          <w:szCs w:val="32"/>
          <w:highlight w:val="none"/>
        </w:rPr>
        <w:t>项目用地范围内清表及垃圾清运。该项目所需清表面积估算约为516072.9</w:t>
      </w:r>
      <w:r>
        <w:rPr>
          <w:rFonts w:hint="eastAsia" w:ascii="仿宋_GB2312" w:hAnsi="仿宋" w:eastAsia="仿宋"/>
          <w:sz w:val="32"/>
          <w:szCs w:val="32"/>
          <w:highlight w:val="none"/>
        </w:rPr>
        <w:t>㎡</w:t>
      </w:r>
      <w:r>
        <w:rPr>
          <w:rFonts w:hint="eastAsia" w:ascii="仿宋_GB2312" w:hAnsi="仿宋" w:eastAsia="仿宋_GB2312"/>
          <w:sz w:val="32"/>
          <w:szCs w:val="32"/>
          <w:highlight w:val="none"/>
        </w:rPr>
        <w:t>，垃圾清运量估算约51607.3 m</w:t>
      </w:r>
      <w:r>
        <w:rPr>
          <w:rFonts w:hint="eastAsia" w:ascii="仿宋_GB2312" w:hAnsi="仿宋" w:eastAsia="仿宋_GB2312"/>
          <w:sz w:val="32"/>
          <w:szCs w:val="32"/>
          <w:highlight w:val="none"/>
          <w:vertAlign w:val="superscript"/>
        </w:rPr>
        <w:t>3</w:t>
      </w:r>
      <w:r>
        <w:rPr>
          <w:rFonts w:hint="eastAsia" w:ascii="仿宋_GB2312" w:hAnsi="仿宋" w:eastAsia="仿宋_GB2312"/>
          <w:sz w:val="32"/>
          <w:szCs w:val="32"/>
          <w:highlight w:val="none"/>
        </w:rPr>
        <w:t>，根据辖区内西南郊水厂二期一阶段项目施工情况，清表及垃圾清运分为两个</w:t>
      </w:r>
      <w:r>
        <w:rPr>
          <w:rFonts w:hint="eastAsia" w:ascii="仿宋_GB2312" w:hAnsi="仿宋" w:eastAsia="仿宋_GB2312"/>
          <w:sz w:val="32"/>
          <w:szCs w:val="32"/>
          <w:highlight w:val="none"/>
          <w:lang w:val="en-US" w:eastAsia="zh-CN"/>
        </w:rPr>
        <w:t>包</w:t>
      </w:r>
      <w:r>
        <w:rPr>
          <w:rFonts w:hint="eastAsia" w:ascii="仿宋_GB2312" w:hAnsi="仿宋" w:eastAsia="仿宋_GB2312"/>
          <w:sz w:val="32"/>
          <w:szCs w:val="32"/>
          <w:highlight w:val="none"/>
        </w:rPr>
        <w:t>实施：</w:t>
      </w:r>
    </w:p>
    <w:p w14:paraId="1203B1F0">
      <w:pPr>
        <w:spacing w:line="540" w:lineRule="exact"/>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第1包为</w:t>
      </w:r>
      <w:r>
        <w:rPr>
          <w:rFonts w:hint="eastAsia" w:ascii="仿宋_GB2312" w:hAnsi="仿宋" w:eastAsia="仿宋_GB2312"/>
          <w:sz w:val="32"/>
          <w:szCs w:val="32"/>
          <w:highlight w:val="none"/>
        </w:rPr>
        <w:t>秦渡街道西南郊水厂二期一阶段项目清表及垃圾清运工程</w:t>
      </w:r>
      <w:r>
        <w:rPr>
          <w:rFonts w:hint="eastAsia" w:ascii="仿宋_GB2312" w:hAnsi="仿宋" w:eastAsia="仿宋_GB2312"/>
          <w:sz w:val="32"/>
          <w:szCs w:val="32"/>
          <w:highlight w:val="none"/>
          <w:lang w:val="en-US" w:eastAsia="zh-CN"/>
        </w:rPr>
        <w:t>第1包，</w:t>
      </w:r>
      <w:r>
        <w:rPr>
          <w:rFonts w:hint="eastAsia" w:ascii="仿宋_GB2312" w:hAnsi="仿宋" w:eastAsia="仿宋_GB2312"/>
          <w:sz w:val="32"/>
          <w:szCs w:val="32"/>
          <w:highlight w:val="none"/>
        </w:rPr>
        <w:t>面积为299248.1</w:t>
      </w:r>
      <w:r>
        <w:rPr>
          <w:rFonts w:hint="eastAsia" w:ascii="仿宋_GB2312" w:hAnsi="仿宋" w:eastAsia="仿宋"/>
          <w:sz w:val="32"/>
          <w:szCs w:val="32"/>
          <w:highlight w:val="none"/>
        </w:rPr>
        <w:t>㎡</w:t>
      </w:r>
      <w:r>
        <w:rPr>
          <w:rFonts w:hint="eastAsia" w:ascii="仿宋_GB2312" w:hAnsi="仿宋" w:eastAsia="仿宋_GB2312"/>
          <w:sz w:val="32"/>
          <w:szCs w:val="32"/>
          <w:highlight w:val="none"/>
        </w:rPr>
        <w:t>，垃圾清运量29924.8m</w:t>
      </w:r>
      <w:r>
        <w:rPr>
          <w:rFonts w:hint="eastAsia" w:ascii="仿宋_GB2312" w:hAnsi="仿宋" w:eastAsia="仿宋_GB2312"/>
          <w:sz w:val="32"/>
          <w:szCs w:val="32"/>
          <w:highlight w:val="none"/>
          <w:vertAlign w:val="superscript"/>
        </w:rPr>
        <w:t>3</w:t>
      </w:r>
      <w:r>
        <w:rPr>
          <w:rFonts w:hint="eastAsia" w:ascii="仿宋_GB2312" w:hAnsi="仿宋" w:eastAsia="仿宋_GB2312"/>
          <w:sz w:val="32"/>
          <w:szCs w:val="32"/>
          <w:highlight w:val="none"/>
          <w:lang w:eastAsia="zh-CN"/>
        </w:rPr>
        <w:t>；</w:t>
      </w:r>
    </w:p>
    <w:p w14:paraId="56FAED92">
      <w:pPr>
        <w:spacing w:line="54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第2包为</w:t>
      </w:r>
      <w:r>
        <w:rPr>
          <w:rFonts w:hint="eastAsia" w:ascii="仿宋_GB2312" w:hAnsi="仿宋" w:eastAsia="仿宋_GB2312"/>
          <w:sz w:val="32"/>
          <w:szCs w:val="32"/>
          <w:highlight w:val="none"/>
        </w:rPr>
        <w:t>秦渡街道西南郊水厂二期一阶段项目清表及垃圾清运工程</w:t>
      </w:r>
      <w:r>
        <w:rPr>
          <w:rFonts w:hint="eastAsia" w:ascii="仿宋_GB2312" w:hAnsi="仿宋" w:eastAsia="仿宋_GB2312"/>
          <w:sz w:val="32"/>
          <w:szCs w:val="32"/>
          <w:highlight w:val="none"/>
          <w:lang w:val="en-US" w:eastAsia="zh-CN"/>
        </w:rPr>
        <w:t>第2包，</w:t>
      </w:r>
      <w:r>
        <w:rPr>
          <w:rFonts w:hint="eastAsia" w:ascii="仿宋_GB2312" w:hAnsi="仿宋" w:eastAsia="仿宋_GB2312"/>
          <w:sz w:val="32"/>
          <w:szCs w:val="32"/>
          <w:highlight w:val="none"/>
        </w:rPr>
        <w:t>面积为216824.8</w:t>
      </w:r>
      <w:r>
        <w:rPr>
          <w:rFonts w:hint="eastAsia" w:ascii="仿宋_GB2312" w:hAnsi="仿宋" w:eastAsia="仿宋"/>
          <w:sz w:val="32"/>
          <w:szCs w:val="32"/>
          <w:highlight w:val="none"/>
        </w:rPr>
        <w:t>㎡</w:t>
      </w:r>
      <w:r>
        <w:rPr>
          <w:rFonts w:hint="eastAsia" w:ascii="仿宋_GB2312" w:hAnsi="仿宋" w:eastAsia="仿宋_GB2312"/>
          <w:sz w:val="32"/>
          <w:szCs w:val="32"/>
          <w:highlight w:val="none"/>
        </w:rPr>
        <w:t>，垃圾清运量21682.5 m</w:t>
      </w:r>
      <w:r>
        <w:rPr>
          <w:rFonts w:hint="eastAsia" w:ascii="仿宋_GB2312" w:hAnsi="仿宋" w:eastAsia="仿宋_GB2312"/>
          <w:sz w:val="32"/>
          <w:szCs w:val="32"/>
          <w:highlight w:val="none"/>
          <w:vertAlign w:val="superscript"/>
        </w:rPr>
        <w:t>3</w:t>
      </w:r>
      <w:r>
        <w:rPr>
          <w:rFonts w:hint="eastAsia" w:ascii="仿宋_GB2312" w:hAnsi="仿宋" w:eastAsia="仿宋_GB2312"/>
          <w:sz w:val="32"/>
          <w:szCs w:val="32"/>
          <w:highlight w:val="none"/>
        </w:rPr>
        <w:t>。</w:t>
      </w:r>
    </w:p>
    <w:p w14:paraId="73717EF2">
      <w:pPr>
        <w:numPr>
          <w:ilvl w:val="0"/>
          <w:numId w:val="43"/>
        </w:numPr>
        <w:spacing w:line="540" w:lineRule="exact"/>
        <w:ind w:firstLine="640" w:firstLineChars="200"/>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项目预算</w:t>
      </w:r>
    </w:p>
    <w:p w14:paraId="4818EB77">
      <w:pPr>
        <w:spacing w:line="540" w:lineRule="exact"/>
        <w:ind w:firstLine="640" w:firstLineChars="2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第1包：</w:t>
      </w:r>
      <w:r>
        <w:rPr>
          <w:rFonts w:hint="eastAsia" w:ascii="仿宋_GB2312" w:hAnsi="仿宋" w:eastAsia="仿宋_GB2312" w:cs="Times New Roman"/>
          <w:sz w:val="32"/>
          <w:szCs w:val="32"/>
          <w:highlight w:val="none"/>
        </w:rPr>
        <w:t>￥3,097,517.08</w:t>
      </w:r>
    </w:p>
    <w:p w14:paraId="60E87792">
      <w:pPr>
        <w:spacing w:line="540" w:lineRule="exact"/>
        <w:ind w:firstLine="640" w:firstLineChars="2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第2包：</w:t>
      </w:r>
      <w:r>
        <w:rPr>
          <w:rFonts w:hint="eastAsia" w:ascii="仿宋_GB2312" w:hAnsi="仿宋" w:eastAsia="仿宋_GB2312" w:cs="Times New Roman"/>
          <w:sz w:val="32"/>
          <w:szCs w:val="32"/>
          <w:highlight w:val="none"/>
        </w:rPr>
        <w:t>￥2,244,353.50</w:t>
      </w:r>
    </w:p>
    <w:p w14:paraId="51A80D27">
      <w:pPr>
        <w:snapToGrid w:val="0"/>
        <w:spacing w:line="540" w:lineRule="exact"/>
        <w:ind w:firstLine="643" w:firstLineChars="200"/>
        <w:rPr>
          <w:rFonts w:hint="eastAsia" w:ascii="仿宋_GB2312" w:hAnsi="仿宋" w:eastAsia="仿宋_GB2312"/>
          <w:b/>
          <w:bCs/>
          <w:sz w:val="32"/>
          <w:szCs w:val="32"/>
          <w:highlight w:val="none"/>
        </w:rPr>
      </w:pPr>
      <w:r>
        <w:rPr>
          <w:rFonts w:hint="eastAsia" w:ascii="仿宋_GB2312" w:hAnsi="仿宋" w:eastAsia="仿宋_GB2312"/>
          <w:b/>
          <w:bCs/>
          <w:sz w:val="32"/>
          <w:szCs w:val="32"/>
          <w:highlight w:val="none"/>
        </w:rPr>
        <w:t>二、项目要求</w:t>
      </w:r>
    </w:p>
    <w:p w14:paraId="7452F8C1">
      <w:pPr>
        <w:snapToGrid w:val="0"/>
        <w:spacing w:line="540" w:lineRule="exact"/>
        <w:ind w:left="440" w:leftChars="200"/>
        <w:rPr>
          <w:rFonts w:hint="eastAsia" w:ascii="仿宋" w:hAnsi="仿宋" w:eastAsia="仿宋"/>
          <w:sz w:val="32"/>
          <w:szCs w:val="32"/>
          <w:highlight w:val="none"/>
        </w:rPr>
      </w:pPr>
      <w:r>
        <w:rPr>
          <w:rFonts w:hint="eastAsia" w:ascii="仿宋" w:hAnsi="仿宋" w:eastAsia="仿宋"/>
          <w:sz w:val="32"/>
          <w:szCs w:val="32"/>
          <w:highlight w:val="none"/>
        </w:rPr>
        <w:t>（一）技术要求</w:t>
      </w:r>
    </w:p>
    <w:p w14:paraId="05FFA2D7">
      <w:pPr>
        <w:snapToGrid w:val="0"/>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1、清表施工必须湿法作业，同时做好扬尘控制工作；</w:t>
      </w:r>
    </w:p>
    <w:p w14:paraId="0D499C31">
      <w:pPr>
        <w:snapToGrid w:val="0"/>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2、对裸露黄土必须及时进行绿网覆盖；</w:t>
      </w:r>
    </w:p>
    <w:p w14:paraId="256724D0">
      <w:pPr>
        <w:snapToGrid w:val="0"/>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3、按城市管理部门要求安装冲洗台、限高栏、联网监控和空气检测装置等，确保设备正常使用；</w:t>
      </w:r>
    </w:p>
    <w:p w14:paraId="68217F84">
      <w:pPr>
        <w:snapToGrid w:val="0"/>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4、清表所产生的全部渣土等垃圾，严格按照城市管理部门指定的运输路线和倾倒场地清运，不得冒尖装载、不得沿路抛洒；</w:t>
      </w:r>
    </w:p>
    <w:p w14:paraId="42EFBA17">
      <w:pPr>
        <w:snapToGrid w:val="0"/>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5、清表完成后，需满足施工单位要求，符合交地条件。</w:t>
      </w:r>
    </w:p>
    <w:p w14:paraId="30EB0EC4">
      <w:pPr>
        <w:snapToGrid w:val="0"/>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（二）运距要求</w:t>
      </w:r>
    </w:p>
    <w:p w14:paraId="0ABB5A23">
      <w:pPr>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1、该项目实施时如垃圾倾倒点改变成交单位需有自行协调垃圾倾倒点的能力。</w:t>
      </w:r>
    </w:p>
    <w:p w14:paraId="166413A0">
      <w:pPr>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2、该项目预算审核运距为53.5公里，由垃圾倾倒点改变引起的运距增加不做调整。</w:t>
      </w:r>
    </w:p>
    <w:p w14:paraId="25C99CD1">
      <w:pPr>
        <w:snapToGrid w:val="0"/>
        <w:spacing w:line="540" w:lineRule="exact"/>
        <w:ind w:firstLine="643" w:firstLineChars="200"/>
        <w:rPr>
          <w:rFonts w:ascii="仿宋" w:hAnsi="仿宋" w:eastAsia="仿宋"/>
          <w:sz w:val="32"/>
          <w:szCs w:val="32"/>
          <w:highlight w:val="none"/>
        </w:rPr>
      </w:pPr>
      <w:r>
        <w:rPr>
          <w:rFonts w:hint="eastAsia" w:ascii="仿宋" w:hAnsi="仿宋" w:eastAsia="仿宋"/>
          <w:b/>
          <w:bCs/>
          <w:sz w:val="32"/>
          <w:szCs w:val="32"/>
          <w:highlight w:val="none"/>
          <w:lang w:val="en-US" w:eastAsia="zh-CN"/>
        </w:rPr>
        <w:t>三</w:t>
      </w:r>
      <w:r>
        <w:rPr>
          <w:rFonts w:hint="eastAsia" w:ascii="仿宋" w:hAnsi="仿宋" w:eastAsia="仿宋"/>
          <w:b/>
          <w:bCs/>
          <w:sz w:val="32"/>
          <w:szCs w:val="32"/>
          <w:highlight w:val="none"/>
        </w:rPr>
        <w:t>、执行的法律法规、技术规范</w:t>
      </w:r>
    </w:p>
    <w:p w14:paraId="67E6A278">
      <w:pPr>
        <w:snapToGrid w:val="0"/>
        <w:spacing w:line="54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执行的法律法规、技术规范包括但不限于以下规定、规范、标准：《安全生产法》、《建设工程安全生产管理条例》、《西安市扬尘污染防治条例》、《西安市建筑垃圾管理办法》、《西安高新区治污减霾网格化管理工作实施方案》。  </w:t>
      </w:r>
    </w:p>
    <w:p w14:paraId="217A8351">
      <w:pPr>
        <w:snapToGrid w:val="0"/>
        <w:spacing w:line="540" w:lineRule="exact"/>
        <w:ind w:firstLine="630"/>
        <w:rPr>
          <w:rFonts w:ascii="仿宋" w:hAnsi="仿宋" w:eastAsia="仿宋"/>
          <w:b/>
          <w:bCs/>
          <w:sz w:val="32"/>
          <w:szCs w:val="32"/>
          <w:highlight w:val="none"/>
        </w:rPr>
      </w:pPr>
      <w:r>
        <w:rPr>
          <w:rFonts w:hint="eastAsia" w:ascii="仿宋" w:hAnsi="仿宋" w:eastAsia="仿宋"/>
          <w:b/>
          <w:bCs/>
          <w:sz w:val="32"/>
          <w:szCs w:val="32"/>
          <w:highlight w:val="none"/>
          <w:lang w:val="en-US" w:eastAsia="zh-CN"/>
        </w:rPr>
        <w:t>四</w:t>
      </w:r>
      <w:r>
        <w:rPr>
          <w:rFonts w:hint="eastAsia" w:ascii="仿宋" w:hAnsi="仿宋" w:eastAsia="仿宋"/>
          <w:b/>
          <w:bCs/>
          <w:sz w:val="32"/>
          <w:szCs w:val="32"/>
          <w:highlight w:val="none"/>
        </w:rPr>
        <w:t>、其他要求</w:t>
      </w:r>
    </w:p>
    <w:p w14:paraId="3577D7A1">
      <w:pPr>
        <w:snapToGrid w:val="0"/>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施工单位要严格按照技术规范执行清表作业，必须在指定作业区域内施工，不得擅自变更作业地点，另自行协调与周边村庄关系。</w:t>
      </w:r>
    </w:p>
    <w:p w14:paraId="17C234F3">
      <w:pPr>
        <w:rPr>
          <w:highlight w:val="none"/>
        </w:rPr>
      </w:pPr>
      <w:r>
        <w:rPr>
          <w:highlight w:val="none"/>
        </w:rPr>
        <w:br w:type="page"/>
      </w:r>
    </w:p>
    <w:p w14:paraId="655F2BBA">
      <w:pPr>
        <w:pStyle w:val="2"/>
        <w:tabs>
          <w:tab w:val="left" w:pos="1624"/>
        </w:tabs>
        <w:ind w:left="0" w:right="0"/>
        <w:rPr>
          <w:highlight w:val="none"/>
        </w:rPr>
      </w:pPr>
      <w:r>
        <w:rPr>
          <w:highlight w:val="none"/>
        </w:rPr>
        <w:t>第</w:t>
      </w:r>
      <w:r>
        <w:rPr>
          <w:rFonts w:hint="eastAsia"/>
          <w:highlight w:val="none"/>
          <w:lang w:val="en-US" w:eastAsia="zh-CN"/>
        </w:rPr>
        <w:t>七</w:t>
      </w:r>
      <w:r>
        <w:rPr>
          <w:highlight w:val="none"/>
        </w:rPr>
        <w:t>章</w:t>
      </w:r>
      <w:r>
        <w:rPr>
          <w:highlight w:val="none"/>
        </w:rPr>
        <w:tab/>
      </w:r>
      <w:r>
        <w:rPr>
          <w:highlight w:val="none"/>
        </w:rPr>
        <w:t>投标文件格式</w:t>
      </w:r>
    </w:p>
    <w:p w14:paraId="4D2D9A4B">
      <w:pPr>
        <w:pStyle w:val="16"/>
        <w:rPr>
          <w:b/>
          <w:sz w:val="36"/>
          <w:highlight w:val="none"/>
        </w:rPr>
      </w:pPr>
    </w:p>
    <w:p w14:paraId="18A97003">
      <w:pPr>
        <w:pStyle w:val="16"/>
        <w:spacing w:before="4"/>
        <w:rPr>
          <w:b/>
          <w:sz w:val="31"/>
          <w:highlight w:val="none"/>
        </w:rPr>
      </w:pPr>
    </w:p>
    <w:p w14:paraId="17937B8F">
      <w:pPr>
        <w:pStyle w:val="8"/>
        <w:spacing w:before="1"/>
        <w:ind w:left="4069"/>
        <w:rPr>
          <w:highlight w:val="none"/>
        </w:rPr>
      </w:pPr>
      <w:bookmarkStart w:id="257" w:name="投标文件编制说明"/>
      <w:bookmarkEnd w:id="257"/>
      <w:r>
        <w:rPr>
          <w:highlight w:val="none"/>
        </w:rPr>
        <w:t>投标文件编制说明</w:t>
      </w:r>
    </w:p>
    <w:p w14:paraId="713D79EB">
      <w:pPr>
        <w:pStyle w:val="8"/>
        <w:numPr>
          <w:ilvl w:val="0"/>
          <w:numId w:val="44"/>
        </w:numPr>
        <w:tabs>
          <w:tab w:val="left" w:pos="1277"/>
        </w:tabs>
        <w:spacing w:before="160" w:line="362" w:lineRule="auto"/>
        <w:ind w:right="596" w:firstLine="480"/>
        <w:rPr>
          <w:highlight w:val="none"/>
        </w:rPr>
      </w:pPr>
      <w:r>
        <w:rPr>
          <w:spacing w:val="-1"/>
          <w:highlight w:val="none"/>
        </w:rPr>
        <w:t>投标人编制投标文件前，请详细阅读招标文件的全部内容，理解文件中的每一</w:t>
      </w:r>
      <w:r>
        <w:rPr>
          <w:highlight w:val="none"/>
        </w:rPr>
        <w:t>项要求。</w:t>
      </w:r>
    </w:p>
    <w:p w14:paraId="50DBF924">
      <w:pPr>
        <w:pStyle w:val="8"/>
        <w:numPr>
          <w:ilvl w:val="0"/>
          <w:numId w:val="44"/>
        </w:numPr>
        <w:tabs>
          <w:tab w:val="left" w:pos="1277"/>
        </w:tabs>
        <w:spacing w:before="3" w:line="364" w:lineRule="auto"/>
        <w:ind w:right="553" w:firstLine="480"/>
        <w:jc w:val="both"/>
        <w:rPr>
          <w:highlight w:val="none"/>
        </w:rPr>
      </w:pPr>
      <w:r>
        <w:rPr>
          <w:highlight w:val="none"/>
        </w:rPr>
        <w:t>投标文件的编制应按照招标文件要求内容及提供的格式内容逐一做出明确的响应；投标人认为有必要，还可以做其它补充，其目录自行编制，但不得缺失。如因投标人自身原因未编制或编制目录中未附其相应内容，其相关不利风险由其自行承担。</w:t>
      </w:r>
    </w:p>
    <w:p w14:paraId="48CE24F5">
      <w:pPr>
        <w:pStyle w:val="8"/>
        <w:numPr>
          <w:ilvl w:val="0"/>
          <w:numId w:val="44"/>
        </w:numPr>
        <w:tabs>
          <w:tab w:val="left" w:pos="1277"/>
        </w:tabs>
        <w:spacing w:line="307" w:lineRule="exact"/>
        <w:ind w:left="1277"/>
        <w:rPr>
          <w:highlight w:val="none"/>
        </w:rPr>
      </w:pPr>
      <w:r>
        <w:rPr>
          <w:highlight w:val="none"/>
        </w:rPr>
        <w:t>全部编制完成应仔细核查相应格式内容并加盖公章。</w:t>
      </w:r>
    </w:p>
    <w:p w14:paraId="2194E2BF">
      <w:pPr>
        <w:spacing w:line="307" w:lineRule="exact"/>
        <w:rPr>
          <w:highlight w:val="none"/>
        </w:rPr>
        <w:sectPr>
          <w:footerReference r:id="rId10" w:type="default"/>
          <w:pgSz w:w="11910" w:h="16840"/>
          <w:pgMar w:top="1320" w:right="920" w:bottom="1420" w:left="920" w:header="0" w:footer="1229" w:gutter="0"/>
          <w:pgNumType w:start="80"/>
          <w:cols w:space="720" w:num="1"/>
        </w:sectPr>
      </w:pPr>
    </w:p>
    <w:p w14:paraId="04DB0ED7">
      <w:pPr>
        <w:pStyle w:val="16"/>
        <w:rPr>
          <w:b/>
          <w:sz w:val="20"/>
          <w:highlight w:val="none"/>
        </w:rPr>
      </w:pPr>
    </w:p>
    <w:p w14:paraId="085F32CF">
      <w:pPr>
        <w:pStyle w:val="16"/>
        <w:spacing w:before="11"/>
        <w:rPr>
          <w:b/>
          <w:sz w:val="27"/>
          <w:highlight w:val="none"/>
        </w:rPr>
      </w:pPr>
    </w:p>
    <w:p w14:paraId="0F9EC94C">
      <w:pPr>
        <w:pStyle w:val="16"/>
        <w:jc w:val="center"/>
        <w:rPr>
          <w:rFonts w:hint="eastAsia"/>
          <w:b/>
          <w:w w:val="95"/>
          <w:sz w:val="44"/>
          <w:highlight w:val="none"/>
          <w:lang w:eastAsia="zh-CN"/>
        </w:rPr>
      </w:pPr>
      <w:r>
        <w:rPr>
          <w:rFonts w:hint="eastAsia"/>
          <w:b/>
          <w:w w:val="95"/>
          <w:sz w:val="44"/>
          <w:highlight w:val="none"/>
          <w:lang w:eastAsia="zh-CN"/>
        </w:rPr>
        <w:t>秦渡街道西南郊水厂二期一阶段项目</w:t>
      </w:r>
    </w:p>
    <w:p w14:paraId="13A47133">
      <w:pPr>
        <w:pStyle w:val="16"/>
        <w:jc w:val="center"/>
        <w:rPr>
          <w:rFonts w:hint="eastAsia" w:eastAsia="宋体"/>
          <w:b/>
          <w:sz w:val="44"/>
          <w:highlight w:val="none"/>
          <w:lang w:eastAsia="zh-CN"/>
        </w:rPr>
      </w:pPr>
      <w:r>
        <w:rPr>
          <w:rFonts w:hint="eastAsia"/>
          <w:b/>
          <w:w w:val="95"/>
          <w:sz w:val="44"/>
          <w:highlight w:val="none"/>
          <w:lang w:eastAsia="zh-CN"/>
        </w:rPr>
        <w:t>清表及垃圾清运工程</w:t>
      </w:r>
    </w:p>
    <w:p w14:paraId="0CFFD356">
      <w:pPr>
        <w:pStyle w:val="16"/>
        <w:rPr>
          <w:b/>
          <w:sz w:val="44"/>
          <w:highlight w:val="none"/>
        </w:rPr>
      </w:pPr>
    </w:p>
    <w:p w14:paraId="45CC1A22">
      <w:pPr>
        <w:pStyle w:val="16"/>
        <w:rPr>
          <w:b/>
          <w:sz w:val="44"/>
          <w:highlight w:val="none"/>
        </w:rPr>
      </w:pPr>
    </w:p>
    <w:p w14:paraId="1CC5A534">
      <w:pPr>
        <w:pStyle w:val="16"/>
        <w:spacing w:before="3"/>
        <w:rPr>
          <w:b/>
          <w:sz w:val="51"/>
          <w:highlight w:val="none"/>
        </w:rPr>
      </w:pPr>
    </w:p>
    <w:p w14:paraId="0F2B38FF">
      <w:pPr>
        <w:spacing w:before="1"/>
        <w:ind w:left="782" w:right="837"/>
        <w:jc w:val="center"/>
        <w:rPr>
          <w:b/>
          <w:sz w:val="104"/>
          <w:highlight w:val="none"/>
        </w:rPr>
      </w:pPr>
      <w:r>
        <w:rPr>
          <w:b/>
          <w:sz w:val="104"/>
          <w:highlight w:val="none"/>
        </w:rPr>
        <w:t>投 标 文 件</w:t>
      </w:r>
    </w:p>
    <w:p w14:paraId="4826FF1C">
      <w:pPr>
        <w:jc w:val="center"/>
        <w:rPr>
          <w:highlight w:val="none"/>
        </w:rPr>
      </w:pPr>
      <w:r>
        <w:rPr>
          <w:highlight w:val="none"/>
        </w:rPr>
        <w:t>【 项目编号：</w:t>
      </w:r>
      <w:r>
        <w:rPr>
          <w:rFonts w:hint="eastAsia"/>
          <w:highlight w:val="none"/>
          <w:lang w:eastAsia="zh-CN"/>
        </w:rPr>
        <w:t>ZD0724-005G</w:t>
      </w:r>
      <w:r>
        <w:rPr>
          <w:highlight w:val="none"/>
        </w:rPr>
        <w:t xml:space="preserve"> 】</w:t>
      </w:r>
    </w:p>
    <w:p w14:paraId="797BD091">
      <w:pPr>
        <w:pStyle w:val="16"/>
        <w:rPr>
          <w:b/>
          <w:highlight w:val="none"/>
        </w:rPr>
      </w:pPr>
    </w:p>
    <w:p w14:paraId="080F194A">
      <w:pPr>
        <w:pStyle w:val="16"/>
        <w:rPr>
          <w:b/>
          <w:highlight w:val="none"/>
        </w:rPr>
      </w:pPr>
    </w:p>
    <w:p w14:paraId="542816F5">
      <w:pPr>
        <w:pStyle w:val="16"/>
        <w:jc w:val="center"/>
        <w:rPr>
          <w:b/>
          <w:highlight w:val="none"/>
        </w:rPr>
      </w:pPr>
      <w:r>
        <w:rPr>
          <w:rFonts w:hint="eastAsia"/>
          <w:b/>
          <w:highlight w:val="none"/>
          <w:lang w:val="en-US" w:eastAsia="zh-CN"/>
        </w:rPr>
        <w:t>第</w:t>
      </w:r>
      <w:r>
        <w:rPr>
          <w:rFonts w:hint="eastAsia"/>
          <w:b/>
          <w:highlight w:val="none"/>
          <w:u w:val="single"/>
          <w:lang w:val="en-US" w:eastAsia="zh-CN"/>
        </w:rPr>
        <w:t xml:space="preserve">   </w:t>
      </w:r>
      <w:r>
        <w:rPr>
          <w:rFonts w:hint="eastAsia"/>
          <w:b/>
          <w:highlight w:val="none"/>
          <w:u w:val="none"/>
          <w:lang w:val="en-US" w:eastAsia="zh-CN"/>
        </w:rPr>
        <w:t>包</w:t>
      </w:r>
    </w:p>
    <w:p w14:paraId="3CB097CE">
      <w:pPr>
        <w:pStyle w:val="16"/>
        <w:rPr>
          <w:b/>
          <w:highlight w:val="none"/>
        </w:rPr>
      </w:pPr>
    </w:p>
    <w:p w14:paraId="71B8AC71">
      <w:pPr>
        <w:pStyle w:val="16"/>
        <w:rPr>
          <w:b/>
          <w:highlight w:val="none"/>
        </w:rPr>
      </w:pPr>
    </w:p>
    <w:p w14:paraId="56ACB27C">
      <w:pPr>
        <w:pStyle w:val="16"/>
        <w:rPr>
          <w:b/>
          <w:highlight w:val="none"/>
        </w:rPr>
      </w:pPr>
    </w:p>
    <w:p w14:paraId="45AA6BAC">
      <w:pPr>
        <w:pStyle w:val="16"/>
        <w:rPr>
          <w:b/>
          <w:highlight w:val="none"/>
        </w:rPr>
      </w:pPr>
    </w:p>
    <w:p w14:paraId="016C0604">
      <w:pPr>
        <w:pStyle w:val="16"/>
        <w:rPr>
          <w:b/>
          <w:highlight w:val="none"/>
        </w:rPr>
      </w:pPr>
    </w:p>
    <w:p w14:paraId="3686B9CC">
      <w:pPr>
        <w:pStyle w:val="16"/>
        <w:rPr>
          <w:b/>
          <w:highlight w:val="none"/>
        </w:rPr>
      </w:pPr>
    </w:p>
    <w:p w14:paraId="19C5888D">
      <w:pPr>
        <w:pStyle w:val="16"/>
        <w:rPr>
          <w:b/>
          <w:highlight w:val="none"/>
        </w:rPr>
      </w:pPr>
    </w:p>
    <w:p w14:paraId="53BD9853">
      <w:pPr>
        <w:pStyle w:val="16"/>
        <w:rPr>
          <w:b/>
          <w:highlight w:val="none"/>
        </w:rPr>
      </w:pPr>
    </w:p>
    <w:p w14:paraId="4CC4340C">
      <w:pPr>
        <w:pStyle w:val="16"/>
        <w:rPr>
          <w:b/>
          <w:highlight w:val="none"/>
        </w:rPr>
      </w:pPr>
    </w:p>
    <w:p w14:paraId="7D703B7E">
      <w:pPr>
        <w:pStyle w:val="16"/>
        <w:rPr>
          <w:b/>
          <w:highlight w:val="none"/>
        </w:rPr>
      </w:pPr>
    </w:p>
    <w:p w14:paraId="4861C047">
      <w:pPr>
        <w:pStyle w:val="16"/>
        <w:spacing w:before="3"/>
        <w:rPr>
          <w:b/>
          <w:sz w:val="28"/>
          <w:highlight w:val="none"/>
        </w:rPr>
      </w:pPr>
    </w:p>
    <w:p w14:paraId="36EDB4B0">
      <w:pPr>
        <w:ind w:firstLine="2112" w:firstLineChars="550"/>
        <w:rPr>
          <w:sz w:val="28"/>
          <w:szCs w:val="28"/>
          <w:highlight w:val="none"/>
        </w:rPr>
      </w:pPr>
      <w:r>
        <w:rPr>
          <w:spacing w:val="52"/>
          <w:sz w:val="28"/>
          <w:szCs w:val="28"/>
          <w:highlight w:val="none"/>
        </w:rPr>
        <w:t>投标</w:t>
      </w:r>
      <w:r>
        <w:rPr>
          <w:spacing w:val="50"/>
          <w:sz w:val="28"/>
          <w:szCs w:val="28"/>
          <w:highlight w:val="none"/>
        </w:rPr>
        <w:t>人</w:t>
      </w:r>
      <w:r>
        <w:rPr>
          <w:spacing w:val="52"/>
          <w:sz w:val="28"/>
          <w:szCs w:val="28"/>
          <w:highlight w:val="none"/>
        </w:rPr>
        <w:t>全称</w:t>
      </w:r>
      <w:r>
        <w:rPr>
          <w:sz w:val="28"/>
          <w:szCs w:val="28"/>
          <w:highlight w:val="none"/>
        </w:rPr>
        <w:t>：</w:t>
      </w:r>
      <w:r>
        <w:rPr>
          <w:sz w:val="28"/>
          <w:szCs w:val="28"/>
          <w:highlight w:val="none"/>
          <w:u w:val="single"/>
        </w:rPr>
        <w:t xml:space="preserve"> </w:t>
      </w:r>
      <w:r>
        <w:rPr>
          <w:sz w:val="28"/>
          <w:szCs w:val="28"/>
          <w:highlight w:val="none"/>
          <w:u w:val="single"/>
        </w:rPr>
        <w:tab/>
      </w:r>
      <w:r>
        <w:rPr>
          <w:sz w:val="28"/>
          <w:szCs w:val="28"/>
          <w:highlight w:val="none"/>
          <w:u w:val="single"/>
        </w:rPr>
        <w:t>（</w:t>
      </w:r>
      <w:r>
        <w:rPr>
          <w:spacing w:val="-90"/>
          <w:sz w:val="28"/>
          <w:szCs w:val="28"/>
          <w:highlight w:val="none"/>
          <w:u w:val="single"/>
        </w:rPr>
        <w:t xml:space="preserve"> </w:t>
      </w:r>
      <w:r>
        <w:rPr>
          <w:spacing w:val="52"/>
          <w:sz w:val="28"/>
          <w:szCs w:val="28"/>
          <w:highlight w:val="none"/>
          <w:u w:val="single"/>
        </w:rPr>
        <w:t>盖</w:t>
      </w:r>
      <w:r>
        <w:rPr>
          <w:spacing w:val="50"/>
          <w:sz w:val="28"/>
          <w:szCs w:val="28"/>
          <w:highlight w:val="none"/>
          <w:u w:val="single"/>
        </w:rPr>
        <w:t>章</w:t>
      </w:r>
      <w:r>
        <w:rPr>
          <w:sz w:val="28"/>
          <w:szCs w:val="28"/>
          <w:highlight w:val="none"/>
          <w:u w:val="single"/>
        </w:rPr>
        <w:t>）</w:t>
      </w:r>
    </w:p>
    <w:p w14:paraId="4BA77BF4">
      <w:pPr>
        <w:pStyle w:val="16"/>
        <w:spacing w:before="5"/>
        <w:jc w:val="center"/>
        <w:rPr>
          <w:b/>
          <w:sz w:val="28"/>
          <w:szCs w:val="28"/>
          <w:highlight w:val="none"/>
        </w:rPr>
      </w:pPr>
    </w:p>
    <w:p w14:paraId="6715EC4B">
      <w:pPr>
        <w:jc w:val="center"/>
        <w:rPr>
          <w:sz w:val="28"/>
          <w:szCs w:val="28"/>
          <w:highlight w:val="none"/>
        </w:rPr>
      </w:pPr>
      <w:r>
        <w:rPr>
          <w:sz w:val="28"/>
          <w:szCs w:val="28"/>
          <w:highlight w:val="none"/>
        </w:rPr>
        <w:t>法定</w:t>
      </w:r>
      <w:r>
        <w:rPr>
          <w:spacing w:val="50"/>
          <w:sz w:val="28"/>
          <w:szCs w:val="28"/>
          <w:highlight w:val="none"/>
        </w:rPr>
        <w:t>代</w:t>
      </w:r>
      <w:r>
        <w:rPr>
          <w:sz w:val="28"/>
          <w:szCs w:val="28"/>
          <w:highlight w:val="none"/>
        </w:rPr>
        <w:t>表人或其</w:t>
      </w:r>
      <w:r>
        <w:rPr>
          <w:spacing w:val="50"/>
          <w:sz w:val="28"/>
          <w:szCs w:val="28"/>
          <w:highlight w:val="none"/>
        </w:rPr>
        <w:t>授</w:t>
      </w:r>
      <w:r>
        <w:rPr>
          <w:sz w:val="28"/>
          <w:szCs w:val="28"/>
          <w:highlight w:val="none"/>
        </w:rPr>
        <w:t>权代理</w:t>
      </w:r>
      <w:r>
        <w:rPr>
          <w:spacing w:val="50"/>
          <w:sz w:val="28"/>
          <w:szCs w:val="28"/>
          <w:highlight w:val="none"/>
        </w:rPr>
        <w:t>人</w:t>
      </w:r>
      <w:r>
        <w:rPr>
          <w:sz w:val="28"/>
          <w:szCs w:val="28"/>
          <w:highlight w:val="none"/>
        </w:rPr>
        <w:t>：</w:t>
      </w:r>
      <w:r>
        <w:rPr>
          <w:sz w:val="28"/>
          <w:szCs w:val="28"/>
          <w:highlight w:val="none"/>
          <w:u w:val="single"/>
        </w:rPr>
        <w:t xml:space="preserve"> </w:t>
      </w:r>
      <w:r>
        <w:rPr>
          <w:sz w:val="28"/>
          <w:szCs w:val="28"/>
          <w:highlight w:val="none"/>
          <w:u w:val="single"/>
        </w:rPr>
        <w:tab/>
      </w:r>
      <w:r>
        <w:rPr>
          <w:sz w:val="28"/>
          <w:szCs w:val="28"/>
          <w:highlight w:val="none"/>
          <w:u w:val="single"/>
        </w:rPr>
        <w:t>（</w:t>
      </w:r>
      <w:r>
        <w:rPr>
          <w:spacing w:val="-90"/>
          <w:sz w:val="28"/>
          <w:szCs w:val="28"/>
          <w:highlight w:val="none"/>
          <w:u w:val="single"/>
        </w:rPr>
        <w:t xml:space="preserve"> </w:t>
      </w:r>
      <w:r>
        <w:rPr>
          <w:sz w:val="28"/>
          <w:szCs w:val="28"/>
          <w:highlight w:val="none"/>
          <w:u w:val="single"/>
        </w:rPr>
        <w:t>盖</w:t>
      </w:r>
      <w:r>
        <w:rPr>
          <w:spacing w:val="50"/>
          <w:sz w:val="28"/>
          <w:szCs w:val="28"/>
          <w:highlight w:val="none"/>
          <w:u w:val="single"/>
        </w:rPr>
        <w:t>章</w:t>
      </w:r>
      <w:r>
        <w:rPr>
          <w:sz w:val="28"/>
          <w:szCs w:val="28"/>
          <w:highlight w:val="none"/>
          <w:u w:val="single"/>
        </w:rPr>
        <w:t>或签字）</w:t>
      </w:r>
    </w:p>
    <w:p w14:paraId="167864E9">
      <w:pPr>
        <w:pStyle w:val="16"/>
        <w:spacing w:before="1"/>
        <w:jc w:val="center"/>
        <w:rPr>
          <w:b/>
          <w:sz w:val="28"/>
          <w:szCs w:val="28"/>
          <w:highlight w:val="none"/>
        </w:rPr>
      </w:pPr>
    </w:p>
    <w:p w14:paraId="05CE14F3">
      <w:pPr>
        <w:ind w:firstLine="3500" w:firstLineChars="1250"/>
        <w:rPr>
          <w:sz w:val="28"/>
          <w:szCs w:val="28"/>
          <w:highlight w:val="none"/>
        </w:rPr>
      </w:pPr>
      <w:r>
        <w:rPr>
          <w:sz w:val="28"/>
          <w:szCs w:val="28"/>
          <w:highlight w:val="none"/>
        </w:rPr>
        <w:t>年</w:t>
      </w:r>
      <w:r>
        <w:rPr>
          <w:sz w:val="28"/>
          <w:szCs w:val="28"/>
          <w:highlight w:val="none"/>
        </w:rPr>
        <w:tab/>
      </w:r>
      <w:r>
        <w:rPr>
          <w:sz w:val="28"/>
          <w:szCs w:val="28"/>
          <w:highlight w:val="none"/>
        </w:rPr>
        <w:t>月</w:t>
      </w:r>
      <w:r>
        <w:rPr>
          <w:sz w:val="28"/>
          <w:szCs w:val="28"/>
          <w:highlight w:val="none"/>
        </w:rPr>
        <w:tab/>
      </w:r>
      <w:r>
        <w:rPr>
          <w:sz w:val="28"/>
          <w:szCs w:val="28"/>
          <w:highlight w:val="none"/>
        </w:rPr>
        <w:t>日</w:t>
      </w:r>
    </w:p>
    <w:p w14:paraId="52DA201D">
      <w:pPr>
        <w:jc w:val="center"/>
        <w:rPr>
          <w:highlight w:val="none"/>
        </w:rPr>
        <w:sectPr>
          <w:pgSz w:w="11910" w:h="16840"/>
          <w:pgMar w:top="1580" w:right="920" w:bottom="1420" w:left="920" w:header="0" w:footer="1229" w:gutter="0"/>
          <w:cols w:space="720" w:num="1"/>
        </w:sectPr>
      </w:pPr>
    </w:p>
    <w:p w14:paraId="295AE3F6">
      <w:pPr>
        <w:spacing w:line="922" w:lineRule="exact"/>
        <w:ind w:left="836" w:right="359"/>
        <w:jc w:val="center"/>
        <w:rPr>
          <w:b/>
          <w:sz w:val="30"/>
          <w:szCs w:val="30"/>
          <w:highlight w:val="none"/>
        </w:rPr>
      </w:pPr>
      <w:r>
        <w:rPr>
          <w:b/>
          <w:sz w:val="30"/>
          <w:szCs w:val="30"/>
          <w:highlight w:val="none"/>
        </w:rPr>
        <w:t>一、资格部分</w:t>
      </w:r>
    </w:p>
    <w:p w14:paraId="7D89482C">
      <w:pPr>
        <w:spacing w:line="922" w:lineRule="exact"/>
        <w:jc w:val="center"/>
        <w:rPr>
          <w:sz w:val="72"/>
          <w:highlight w:val="none"/>
        </w:rPr>
        <w:sectPr>
          <w:pgSz w:w="11910" w:h="16840"/>
          <w:pgMar w:top="1580" w:right="920" w:bottom="1420" w:left="920" w:header="0" w:footer="1229" w:gutter="0"/>
          <w:cols w:space="720" w:num="1"/>
        </w:sectPr>
      </w:pPr>
    </w:p>
    <w:p w14:paraId="4BEC25BE">
      <w:pPr>
        <w:jc w:val="center"/>
        <w:rPr>
          <w:b/>
          <w:sz w:val="30"/>
          <w:szCs w:val="30"/>
          <w:highlight w:val="none"/>
        </w:rPr>
      </w:pPr>
      <w:r>
        <w:rPr>
          <w:b/>
          <w:sz w:val="30"/>
          <w:szCs w:val="30"/>
          <w:highlight w:val="none"/>
        </w:rPr>
        <w:t>目</w:t>
      </w:r>
      <w:r>
        <w:rPr>
          <w:b/>
          <w:sz w:val="30"/>
          <w:szCs w:val="30"/>
          <w:highlight w:val="none"/>
        </w:rPr>
        <w:tab/>
      </w:r>
      <w:r>
        <w:rPr>
          <w:b/>
          <w:sz w:val="30"/>
          <w:szCs w:val="30"/>
          <w:highlight w:val="none"/>
        </w:rPr>
        <w:t>录</w:t>
      </w:r>
    </w:p>
    <w:p w14:paraId="74634A06">
      <w:pPr>
        <w:pStyle w:val="16"/>
        <w:spacing w:before="8"/>
        <w:rPr>
          <w:b/>
          <w:sz w:val="26"/>
          <w:highlight w:val="none"/>
        </w:rPr>
      </w:pPr>
    </w:p>
    <w:p w14:paraId="4DB3DFAF">
      <w:pPr>
        <w:pStyle w:val="16"/>
        <w:spacing w:before="1" w:line="364" w:lineRule="auto"/>
        <w:ind w:left="553" w:right="6870"/>
        <w:rPr>
          <w:highlight w:val="none"/>
        </w:rPr>
      </w:pPr>
      <w:r>
        <w:rPr>
          <w:highlight w:val="none"/>
        </w:rPr>
        <w:t>一、法定代表人身份证明二、授权委托书</w:t>
      </w:r>
    </w:p>
    <w:p w14:paraId="4AB2405D">
      <w:pPr>
        <w:pStyle w:val="16"/>
        <w:spacing w:before="1"/>
        <w:ind w:left="553"/>
        <w:rPr>
          <w:highlight w:val="none"/>
        </w:rPr>
      </w:pPr>
      <w:r>
        <w:rPr>
          <w:highlight w:val="none"/>
        </w:rPr>
        <w:t>三、资格审查资料</w:t>
      </w:r>
    </w:p>
    <w:p w14:paraId="587BF230">
      <w:pPr>
        <w:pStyle w:val="70"/>
        <w:numPr>
          <w:ilvl w:val="0"/>
          <w:numId w:val="45"/>
        </w:numPr>
        <w:tabs>
          <w:tab w:val="left" w:pos="1155"/>
        </w:tabs>
        <w:spacing w:before="160"/>
        <w:ind w:hanging="602"/>
        <w:rPr>
          <w:sz w:val="24"/>
          <w:highlight w:val="none"/>
        </w:rPr>
      </w:pPr>
      <w:bookmarkStart w:id="258" w:name="（1）投标人基本情况表"/>
      <w:bookmarkEnd w:id="258"/>
      <w:r>
        <w:rPr>
          <w:sz w:val="24"/>
          <w:highlight w:val="none"/>
        </w:rPr>
        <w:t>投标人基本情况表</w:t>
      </w:r>
    </w:p>
    <w:p w14:paraId="7B74DC44">
      <w:pPr>
        <w:pStyle w:val="16"/>
        <w:spacing w:before="161"/>
        <w:ind w:left="553"/>
        <w:rPr>
          <w:highlight w:val="none"/>
        </w:rPr>
      </w:pPr>
      <w:bookmarkStart w:id="259" w:name="附1：拟派项目经理无在建的承诺函"/>
      <w:bookmarkEnd w:id="259"/>
      <w:r>
        <w:rPr>
          <w:spacing w:val="-30"/>
          <w:highlight w:val="none"/>
        </w:rPr>
        <w:t xml:space="preserve">附 </w:t>
      </w:r>
      <w:r>
        <w:rPr>
          <w:highlight w:val="none"/>
        </w:rPr>
        <w:t>1：拟派项目经理无在建的承诺函</w:t>
      </w:r>
    </w:p>
    <w:p w14:paraId="7D2C9F21">
      <w:pPr>
        <w:pStyle w:val="16"/>
        <w:spacing w:before="160" w:line="364" w:lineRule="auto"/>
        <w:ind w:left="553" w:right="3090"/>
        <w:rPr>
          <w:highlight w:val="none"/>
        </w:rPr>
      </w:pPr>
      <w:bookmarkStart w:id="260" w:name="附2：履行合同所必需的设备和专业技术能力的说明及承诺"/>
      <w:bookmarkEnd w:id="260"/>
      <w:r>
        <w:rPr>
          <w:spacing w:val="-27"/>
          <w:highlight w:val="none"/>
        </w:rPr>
        <w:t xml:space="preserve">附 </w:t>
      </w:r>
      <w:r>
        <w:rPr>
          <w:highlight w:val="none"/>
        </w:rPr>
        <w:t>2：履行合同所必需的设备和专业技术能力的说明及承诺附</w:t>
      </w:r>
      <w:r>
        <w:rPr>
          <w:spacing w:val="-60"/>
          <w:highlight w:val="none"/>
        </w:rPr>
        <w:t xml:space="preserve"> </w:t>
      </w:r>
      <w:r>
        <w:rPr>
          <w:highlight w:val="none"/>
        </w:rPr>
        <w:t>3：</w:t>
      </w:r>
      <w:r>
        <w:rPr>
          <w:spacing w:val="-1"/>
          <w:highlight w:val="none"/>
        </w:rPr>
        <w:t>参加政府采购活动前三年内无重大违法记录的书面声明附</w:t>
      </w:r>
      <w:r>
        <w:rPr>
          <w:spacing w:val="-60"/>
          <w:highlight w:val="none"/>
        </w:rPr>
        <w:t xml:space="preserve"> </w:t>
      </w:r>
      <w:r>
        <w:rPr>
          <w:highlight w:val="none"/>
        </w:rPr>
        <w:t>4：企业关系关联承诺书</w:t>
      </w:r>
    </w:p>
    <w:p w14:paraId="52A70E30">
      <w:pPr>
        <w:pStyle w:val="16"/>
        <w:spacing w:before="2" w:line="364" w:lineRule="auto"/>
        <w:ind w:left="553" w:right="3030"/>
        <w:rPr>
          <w:highlight w:val="none"/>
        </w:rPr>
      </w:pPr>
      <w:bookmarkStart w:id="261" w:name="四、陕西省政府采购供应商拒绝政府采购领域商业贿赂承诺书"/>
      <w:bookmarkEnd w:id="261"/>
      <w:r>
        <w:rPr>
          <w:highlight w:val="none"/>
        </w:rPr>
        <w:t>四、陕西省政府采购</w:t>
      </w:r>
      <w:r>
        <w:rPr>
          <w:rFonts w:hint="eastAsia"/>
          <w:highlight w:val="none"/>
          <w:lang w:eastAsia="zh-CN"/>
        </w:rPr>
        <w:t>投标人</w:t>
      </w:r>
      <w:r>
        <w:rPr>
          <w:highlight w:val="none"/>
        </w:rPr>
        <w:t>拒绝政府采购领域商业贿赂承诺书</w:t>
      </w:r>
      <w:bookmarkStart w:id="262" w:name="五、其他资料"/>
      <w:bookmarkEnd w:id="262"/>
      <w:r>
        <w:rPr>
          <w:highlight w:val="none"/>
        </w:rPr>
        <w:t>五、其他资料</w:t>
      </w:r>
    </w:p>
    <w:p w14:paraId="20040845">
      <w:pPr>
        <w:spacing w:line="364" w:lineRule="auto"/>
        <w:rPr>
          <w:highlight w:val="none"/>
        </w:rPr>
        <w:sectPr>
          <w:pgSz w:w="11910" w:h="16840"/>
          <w:pgMar w:top="1580" w:right="920" w:bottom="1420" w:left="920" w:header="0" w:footer="1229" w:gutter="0"/>
          <w:cols w:space="720" w:num="1"/>
        </w:sectPr>
      </w:pPr>
    </w:p>
    <w:p w14:paraId="1EA12E33">
      <w:pPr>
        <w:spacing w:before="24"/>
        <w:ind w:left="836" w:right="836"/>
        <w:jc w:val="center"/>
        <w:rPr>
          <w:b/>
          <w:sz w:val="36"/>
          <w:highlight w:val="none"/>
        </w:rPr>
      </w:pPr>
      <w:bookmarkStart w:id="263" w:name="一、法定代表人身份证明"/>
      <w:bookmarkEnd w:id="263"/>
      <w:bookmarkStart w:id="264" w:name="二、授权委托书"/>
      <w:bookmarkEnd w:id="264"/>
      <w:r>
        <w:rPr>
          <w:b/>
          <w:sz w:val="36"/>
          <w:highlight w:val="none"/>
        </w:rPr>
        <w:t>一、法定代表人身份证明</w:t>
      </w:r>
    </w:p>
    <w:p w14:paraId="49F4B0D8">
      <w:pPr>
        <w:pStyle w:val="16"/>
        <w:rPr>
          <w:b/>
          <w:sz w:val="36"/>
          <w:highlight w:val="none"/>
        </w:rPr>
      </w:pPr>
    </w:p>
    <w:p w14:paraId="2F8EADA5">
      <w:pPr>
        <w:pStyle w:val="16"/>
        <w:tabs>
          <w:tab w:val="left" w:pos="8892"/>
        </w:tabs>
        <w:spacing w:before="277"/>
        <w:ind w:left="1033"/>
        <w:jc w:val="both"/>
        <w:rPr>
          <w:rFonts w:ascii="Times New Roman" w:eastAsia="Times New Roman"/>
          <w:highlight w:val="none"/>
        </w:rPr>
      </w:pPr>
      <w:r>
        <w:rPr>
          <w:highlight w:val="none"/>
        </w:rPr>
        <w:t>投</w:t>
      </w:r>
      <w:r>
        <w:rPr>
          <w:spacing w:val="-1"/>
          <w:highlight w:val="none"/>
        </w:rPr>
        <w:t xml:space="preserve"> </w:t>
      </w:r>
      <w:r>
        <w:rPr>
          <w:highlight w:val="none"/>
        </w:rPr>
        <w:t>标 人：</w:t>
      </w:r>
      <w:r>
        <w:rPr>
          <w:rFonts w:ascii="Times New Roman" w:eastAsia="Times New Roman"/>
          <w:highlight w:val="none"/>
          <w:u w:val="single"/>
        </w:rPr>
        <w:t xml:space="preserve"> </w:t>
      </w:r>
      <w:r>
        <w:rPr>
          <w:rFonts w:ascii="Times New Roman" w:eastAsia="Times New Roman"/>
          <w:highlight w:val="none"/>
          <w:u w:val="single"/>
        </w:rPr>
        <w:tab/>
      </w:r>
    </w:p>
    <w:p w14:paraId="50A7AE22">
      <w:pPr>
        <w:pStyle w:val="16"/>
        <w:tabs>
          <w:tab w:val="left" w:pos="4273"/>
          <w:tab w:val="left" w:pos="6193"/>
          <w:tab w:val="left" w:pos="8113"/>
          <w:tab w:val="left" w:pos="9372"/>
        </w:tabs>
        <w:spacing w:before="161" w:line="364" w:lineRule="auto"/>
        <w:ind w:left="1033" w:right="691"/>
        <w:jc w:val="both"/>
        <w:rPr>
          <w:highlight w:val="none"/>
        </w:rPr>
      </w:pPr>
      <w:r>
        <w:rPr>
          <w:spacing w:val="-1"/>
          <w:highlight w:val="none"/>
        </w:rPr>
        <w:t>单</w:t>
      </w:r>
      <w:r>
        <w:rPr>
          <w:highlight w:val="none"/>
        </w:rPr>
        <w:t>位性质：</w:t>
      </w:r>
      <w:r>
        <w:rPr>
          <w:rFonts w:ascii="Times New Roman" w:eastAsia="Times New Roman"/>
          <w:highlight w:val="none"/>
          <w:u w:val="single"/>
        </w:rPr>
        <w:t xml:space="preserve"> </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 xml:space="preserve"> </w:t>
      </w:r>
      <w:r>
        <w:rPr>
          <w:highlight w:val="none"/>
        </w:rPr>
        <w:t xml:space="preserve">地  </w:t>
      </w:r>
      <w:r>
        <w:rPr>
          <w:spacing w:val="119"/>
          <w:highlight w:val="none"/>
        </w:rPr>
        <w:t xml:space="preserve"> </w:t>
      </w:r>
      <w:r>
        <w:rPr>
          <w:highlight w:val="none"/>
        </w:rPr>
        <w:t>址：</w:t>
      </w:r>
      <w:r>
        <w:rPr>
          <w:rFonts w:ascii="Times New Roman" w:eastAsia="Times New Roman"/>
          <w:highlight w:val="none"/>
          <w:u w:val="single"/>
        </w:rPr>
        <w:t xml:space="preserve"> </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 xml:space="preserve"> </w:t>
      </w:r>
      <w:r>
        <w:rPr>
          <w:highlight w:val="none"/>
        </w:rPr>
        <w:t>成立时间：</w:t>
      </w:r>
      <w:r>
        <w:rPr>
          <w:highlight w:val="none"/>
          <w:u w:val="single"/>
        </w:rPr>
        <w:t xml:space="preserve"> </w:t>
      </w:r>
      <w:r>
        <w:rPr>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w:t>
      </w:r>
    </w:p>
    <w:p w14:paraId="5783764E">
      <w:pPr>
        <w:pStyle w:val="16"/>
        <w:tabs>
          <w:tab w:val="left" w:pos="5113"/>
          <w:tab w:val="left" w:pos="5353"/>
          <w:tab w:val="left" w:pos="9372"/>
        </w:tabs>
        <w:spacing w:line="364" w:lineRule="auto"/>
        <w:ind w:left="1033" w:right="691"/>
        <w:jc w:val="both"/>
        <w:rPr>
          <w:highlight w:val="none"/>
        </w:rPr>
      </w:pPr>
      <w:r>
        <w:rPr>
          <w:spacing w:val="-1"/>
          <w:highlight w:val="none"/>
        </w:rPr>
        <w:t>经</w:t>
      </w:r>
      <w:r>
        <w:rPr>
          <w:highlight w:val="none"/>
        </w:rPr>
        <w:t>营期限：</w:t>
      </w:r>
      <w:r>
        <w:rPr>
          <w:rFonts w:ascii="Times New Roman" w:eastAsia="Times New Roman"/>
          <w:highlight w:val="none"/>
          <w:u w:val="single"/>
        </w:rPr>
        <w:t xml:space="preserve"> </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 xml:space="preserve"> </w:t>
      </w:r>
      <w:r>
        <w:rPr>
          <w:highlight w:val="none"/>
        </w:rPr>
        <w:t xml:space="preserve">姓  </w:t>
      </w:r>
      <w:r>
        <w:rPr>
          <w:spacing w:val="119"/>
          <w:highlight w:val="none"/>
        </w:rPr>
        <w:t xml:space="preserve"> </w:t>
      </w:r>
      <w:r>
        <w:rPr>
          <w:highlight w:val="none"/>
        </w:rPr>
        <w:t>名：</w:t>
      </w:r>
      <w:r>
        <w:rPr>
          <w:highlight w:val="none"/>
          <w:u w:val="single"/>
        </w:rPr>
        <w:t xml:space="preserve"> </w:t>
      </w:r>
      <w:r>
        <w:rPr>
          <w:highlight w:val="none"/>
          <w:u w:val="single"/>
        </w:rPr>
        <w:tab/>
      </w:r>
      <w:r>
        <w:rPr>
          <w:highlight w:val="none"/>
          <w:u w:val="single"/>
        </w:rPr>
        <w:tab/>
      </w:r>
      <w:r>
        <w:rPr>
          <w:highlight w:val="none"/>
        </w:rPr>
        <w:t xml:space="preserve">性      </w:t>
      </w:r>
      <w:r>
        <w:rPr>
          <w:spacing w:val="119"/>
          <w:highlight w:val="none"/>
        </w:rPr>
        <w:t xml:space="preserve"> </w:t>
      </w:r>
      <w:r>
        <w:rPr>
          <w:highlight w:val="none"/>
        </w:rPr>
        <w:t>别：</w:t>
      </w:r>
      <w:r>
        <w:rPr>
          <w:rFonts w:ascii="Times New Roman" w:eastAsia="Times New Roman"/>
          <w:highlight w:val="none"/>
          <w:u w:val="single"/>
        </w:rPr>
        <w:t xml:space="preserve"> </w:t>
      </w:r>
      <w:r>
        <w:rPr>
          <w:rFonts w:ascii="Times New Roman" w:eastAsia="Times New Roman"/>
          <w:highlight w:val="none"/>
          <w:u w:val="single"/>
        </w:rPr>
        <w:tab/>
      </w:r>
      <w:r>
        <w:rPr>
          <w:rFonts w:ascii="Times New Roman" w:eastAsia="Times New Roman"/>
          <w:highlight w:val="none"/>
          <w:u w:val="single"/>
        </w:rPr>
        <w:t xml:space="preserve"> </w:t>
      </w:r>
      <w:r>
        <w:rPr>
          <w:highlight w:val="none"/>
        </w:rPr>
        <w:t xml:space="preserve">年  </w:t>
      </w:r>
      <w:r>
        <w:rPr>
          <w:spacing w:val="119"/>
          <w:highlight w:val="none"/>
        </w:rPr>
        <w:t xml:space="preserve"> </w:t>
      </w:r>
      <w:r>
        <w:rPr>
          <w:highlight w:val="none"/>
        </w:rPr>
        <w:t>龄：</w:t>
      </w:r>
      <w:r>
        <w:rPr>
          <w:highlight w:val="none"/>
          <w:u w:val="single"/>
        </w:rPr>
        <w:t xml:space="preserve"> </w:t>
      </w:r>
      <w:r>
        <w:rPr>
          <w:highlight w:val="none"/>
          <w:u w:val="single"/>
        </w:rPr>
        <w:tab/>
      </w:r>
      <w:r>
        <w:rPr>
          <w:highlight w:val="none"/>
          <w:u w:val="single"/>
        </w:rPr>
        <w:tab/>
      </w:r>
      <w:r>
        <w:rPr>
          <w:highlight w:val="none"/>
        </w:rPr>
        <w:t xml:space="preserve">职      </w:t>
      </w:r>
      <w:r>
        <w:rPr>
          <w:spacing w:val="119"/>
          <w:highlight w:val="none"/>
        </w:rPr>
        <w:t xml:space="preserve"> </w:t>
      </w:r>
      <w:r>
        <w:rPr>
          <w:highlight w:val="none"/>
        </w:rPr>
        <w:t>务：</w:t>
      </w:r>
      <w:r>
        <w:rPr>
          <w:rFonts w:ascii="Times New Roman" w:eastAsia="Times New Roman"/>
          <w:highlight w:val="none"/>
          <w:u w:val="single"/>
        </w:rPr>
        <w:t xml:space="preserve"> </w:t>
      </w:r>
      <w:r>
        <w:rPr>
          <w:rFonts w:ascii="Times New Roman" w:eastAsia="Times New Roman"/>
          <w:highlight w:val="none"/>
          <w:u w:val="single"/>
        </w:rPr>
        <w:tab/>
      </w:r>
      <w:r>
        <w:rPr>
          <w:rFonts w:ascii="Times New Roman" w:eastAsia="Times New Roman"/>
          <w:highlight w:val="none"/>
          <w:u w:val="single"/>
        </w:rPr>
        <w:t xml:space="preserve"> </w:t>
      </w:r>
      <w:r>
        <w:rPr>
          <w:highlight w:val="none"/>
        </w:rPr>
        <w:t>系</w:t>
      </w:r>
      <w:r>
        <w:rPr>
          <w:highlight w:val="none"/>
          <w:u w:val="single"/>
        </w:rPr>
        <w:t xml:space="preserve"> </w:t>
      </w:r>
      <w:r>
        <w:rPr>
          <w:highlight w:val="none"/>
          <w:u w:val="single"/>
        </w:rPr>
        <w:tab/>
      </w:r>
      <w:r>
        <w:rPr>
          <w:highlight w:val="none"/>
        </w:rPr>
        <w:t>（投标人名称）的法定代表人。</w:t>
      </w:r>
    </w:p>
    <w:p w14:paraId="75757266">
      <w:pPr>
        <w:pStyle w:val="16"/>
        <w:ind w:left="1033"/>
        <w:rPr>
          <w:highlight w:val="none"/>
        </w:rPr>
      </w:pPr>
      <w:r>
        <w:rPr>
          <w:highlight w:val="none"/>
        </w:rPr>
        <w:t>特此证明。</w:t>
      </w:r>
    </w:p>
    <w:p w14:paraId="2BF53B16">
      <w:pPr>
        <w:pStyle w:val="16"/>
        <w:rPr>
          <w:highlight w:val="none"/>
        </w:rPr>
      </w:pPr>
    </w:p>
    <w:p w14:paraId="2CDB0BFF">
      <w:pPr>
        <w:pStyle w:val="16"/>
        <w:rPr>
          <w:highlight w:val="none"/>
        </w:rPr>
      </w:pPr>
    </w:p>
    <w:p w14:paraId="5987F6A8">
      <w:pPr>
        <w:pStyle w:val="16"/>
        <w:rPr>
          <w:highlight w:val="none"/>
        </w:rPr>
      </w:pPr>
    </w:p>
    <w:p w14:paraId="53B36E05">
      <w:pPr>
        <w:pStyle w:val="16"/>
        <w:rPr>
          <w:highlight w:val="none"/>
        </w:rPr>
      </w:pPr>
    </w:p>
    <w:p w14:paraId="5ECD48B2">
      <w:pPr>
        <w:pStyle w:val="16"/>
        <w:spacing w:before="6"/>
        <w:rPr>
          <w:sz w:val="25"/>
          <w:highlight w:val="none"/>
        </w:rPr>
      </w:pPr>
    </w:p>
    <w:p w14:paraId="1DC4C692">
      <w:pPr>
        <w:pStyle w:val="16"/>
        <w:tabs>
          <w:tab w:val="left" w:pos="7832"/>
          <w:tab w:val="left" w:pos="8072"/>
        </w:tabs>
        <w:spacing w:line="362" w:lineRule="auto"/>
        <w:ind w:left="3632" w:right="551" w:firstLine="360"/>
        <w:rPr>
          <w:highlight w:val="none"/>
        </w:rPr>
      </w:pPr>
      <w:r>
        <w:rPr>
          <w:highlight w:val="none"/>
        </w:rPr>
        <w:t>投标人：</w:t>
      </w:r>
      <w:r>
        <w:rPr>
          <w:highlight w:val="none"/>
          <w:u w:val="single"/>
        </w:rPr>
        <w:t xml:space="preserve"> </w:t>
      </w:r>
      <w:r>
        <w:rPr>
          <w:highlight w:val="none"/>
          <w:u w:val="single"/>
        </w:rPr>
        <w:tab/>
      </w:r>
      <w:r>
        <w:rPr>
          <w:highlight w:val="none"/>
          <w:u w:val="single"/>
        </w:rPr>
        <w:tab/>
      </w:r>
      <w:r>
        <w:rPr>
          <w:highlight w:val="none"/>
        </w:rPr>
        <w:t>（盖单位章</w:t>
      </w:r>
      <w:r>
        <w:rPr>
          <w:spacing w:val="-17"/>
          <w:highlight w:val="none"/>
        </w:rPr>
        <w:t xml:space="preserve">） </w:t>
      </w:r>
      <w:r>
        <w:rPr>
          <w:highlight w:val="none"/>
        </w:rPr>
        <w:t>法定代表人：</w:t>
      </w:r>
      <w:r>
        <w:rPr>
          <w:highlight w:val="none"/>
          <w:u w:val="single"/>
        </w:rPr>
        <w:t xml:space="preserve"> </w:t>
      </w:r>
      <w:r>
        <w:rPr>
          <w:highlight w:val="none"/>
          <w:u w:val="single"/>
        </w:rPr>
        <w:tab/>
      </w:r>
      <w:r>
        <w:rPr>
          <w:highlight w:val="none"/>
        </w:rPr>
        <w:t>（签字或盖章</w:t>
      </w:r>
      <w:r>
        <w:rPr>
          <w:spacing w:val="-17"/>
          <w:highlight w:val="none"/>
        </w:rPr>
        <w:t>）</w:t>
      </w:r>
    </w:p>
    <w:p w14:paraId="4E20F942">
      <w:pPr>
        <w:pStyle w:val="16"/>
        <w:tabs>
          <w:tab w:val="left" w:pos="6433"/>
          <w:tab w:val="left" w:pos="7393"/>
          <w:tab w:val="left" w:pos="8473"/>
        </w:tabs>
        <w:spacing w:before="5"/>
        <w:ind w:left="5233"/>
        <w:rPr>
          <w:highlight w:val="none"/>
        </w:rPr>
      </w:pPr>
      <w:r>
        <w:rPr>
          <w:rFonts w:ascii="Times New Roman" w:eastAsia="Times New Roman"/>
          <w:highlight w:val="none"/>
          <w:u w:val="single"/>
        </w:rPr>
        <w:t xml:space="preserve"> </w:t>
      </w:r>
      <w:r>
        <w:rPr>
          <w:rFonts w:ascii="Times New Roman" w:eastAsia="Times New Roman"/>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w:t>
      </w:r>
    </w:p>
    <w:p w14:paraId="6974503A">
      <w:pPr>
        <w:rPr>
          <w:highlight w:val="none"/>
        </w:rPr>
        <w:sectPr>
          <w:pgSz w:w="11910" w:h="16840"/>
          <w:pgMar w:top="1320" w:right="920" w:bottom="1420" w:left="920" w:header="0" w:footer="1229" w:gutter="0"/>
          <w:cols w:space="720" w:num="1"/>
        </w:sectPr>
      </w:pPr>
    </w:p>
    <w:p w14:paraId="76E6E73E">
      <w:pPr>
        <w:pStyle w:val="16"/>
        <w:spacing w:before="3"/>
        <w:rPr>
          <w:sz w:val="8"/>
          <w:highlight w:val="none"/>
        </w:rPr>
      </w:pPr>
    </w:p>
    <w:p w14:paraId="3D184E82">
      <w:pPr>
        <w:spacing w:before="49"/>
        <w:ind w:left="836" w:right="836"/>
        <w:jc w:val="center"/>
        <w:rPr>
          <w:b/>
          <w:sz w:val="36"/>
          <w:highlight w:val="none"/>
        </w:rPr>
      </w:pPr>
      <w:r>
        <w:rPr>
          <w:b/>
          <w:sz w:val="36"/>
          <w:highlight w:val="none"/>
        </w:rPr>
        <w:t>二、授权委托书</w:t>
      </w:r>
    </w:p>
    <w:p w14:paraId="0363EBF9">
      <w:pPr>
        <w:pStyle w:val="16"/>
        <w:spacing w:before="11"/>
        <w:rPr>
          <w:b/>
          <w:sz w:val="30"/>
          <w:highlight w:val="none"/>
        </w:rPr>
      </w:pPr>
    </w:p>
    <w:p w14:paraId="58698939">
      <w:pPr>
        <w:pStyle w:val="16"/>
        <w:tabs>
          <w:tab w:val="left" w:pos="2485"/>
          <w:tab w:val="left" w:pos="3224"/>
          <w:tab w:val="left" w:pos="4544"/>
        </w:tabs>
        <w:spacing w:line="364" w:lineRule="auto"/>
        <w:ind w:left="553" w:right="551" w:firstLine="480"/>
        <w:jc w:val="both"/>
        <w:rPr>
          <w:highlight w:val="none"/>
        </w:rPr>
      </w:pPr>
      <w:r>
        <w:rPr>
          <w:highlight w:val="none"/>
        </w:rPr>
        <w:t>本人</w:t>
      </w:r>
      <w:r>
        <w:rPr>
          <w:highlight w:val="none"/>
          <w:u w:val="single"/>
        </w:rPr>
        <w:t xml:space="preserve"> </w:t>
      </w:r>
      <w:r>
        <w:rPr>
          <w:highlight w:val="none"/>
          <w:u w:val="single"/>
        </w:rPr>
        <w:tab/>
      </w:r>
      <w:r>
        <w:rPr>
          <w:spacing w:val="-3"/>
          <w:highlight w:val="none"/>
          <w:u w:val="single"/>
        </w:rPr>
        <w:t>（</w:t>
      </w:r>
      <w:r>
        <w:rPr>
          <w:highlight w:val="none"/>
        </w:rPr>
        <w:t>姓名</w:t>
      </w:r>
      <w:r>
        <w:rPr>
          <w:spacing w:val="-111"/>
          <w:highlight w:val="none"/>
        </w:rPr>
        <w:t>）</w:t>
      </w:r>
      <w:r>
        <w:rPr>
          <w:highlight w:val="none"/>
        </w:rPr>
        <w:t>系</w:t>
      </w:r>
      <w:r>
        <w:rPr>
          <w:highlight w:val="none"/>
          <w:u w:val="single"/>
        </w:rPr>
        <w:t xml:space="preserve"> </w:t>
      </w:r>
      <w:r>
        <w:rPr>
          <w:highlight w:val="none"/>
          <w:u w:val="single"/>
        </w:rPr>
        <w:tab/>
      </w:r>
      <w:r>
        <w:rPr>
          <w:spacing w:val="-3"/>
          <w:highlight w:val="none"/>
          <w:u w:val="single"/>
        </w:rPr>
        <w:t>（</w:t>
      </w:r>
      <w:r>
        <w:rPr>
          <w:highlight w:val="none"/>
        </w:rPr>
        <w:t>投标人名称</w:t>
      </w:r>
      <w:r>
        <w:rPr>
          <w:spacing w:val="-111"/>
          <w:highlight w:val="none"/>
        </w:rPr>
        <w:t>）</w:t>
      </w:r>
      <w:r>
        <w:rPr>
          <w:highlight w:val="none"/>
        </w:rPr>
        <w:t>的法定代表人</w:t>
      </w:r>
      <w:r>
        <w:rPr>
          <w:spacing w:val="-111"/>
          <w:highlight w:val="none"/>
        </w:rPr>
        <w:t>，</w:t>
      </w:r>
      <w:r>
        <w:rPr>
          <w:highlight w:val="none"/>
        </w:rPr>
        <w:t>现委托</w:t>
      </w:r>
      <w:r>
        <w:rPr>
          <w:highlight w:val="none"/>
          <w:u w:val="single"/>
        </w:rPr>
        <w:t xml:space="preserve">   </w:t>
      </w:r>
      <w:r>
        <w:rPr>
          <w:spacing w:val="30"/>
          <w:highlight w:val="none"/>
          <w:u w:val="single"/>
        </w:rPr>
        <w:t xml:space="preserve"> </w:t>
      </w:r>
      <w:r>
        <w:rPr>
          <w:highlight w:val="none"/>
          <w:u w:val="single"/>
        </w:rPr>
        <w:t>（</w:t>
      </w:r>
      <w:r>
        <w:rPr>
          <w:spacing w:val="-14"/>
          <w:highlight w:val="none"/>
        </w:rPr>
        <w:t>姓</w:t>
      </w:r>
      <w:r>
        <w:rPr>
          <w:highlight w:val="none"/>
        </w:rPr>
        <w:t>名）为我方代理人。代理人根据授权，以我方名义签署、澄清、说明、补正、递交、撤回、修改</w:t>
      </w:r>
      <w:r>
        <w:rPr>
          <w:highlight w:val="none"/>
          <w:u w:val="single"/>
        </w:rPr>
        <w:t xml:space="preserve"> </w:t>
      </w:r>
      <w:r>
        <w:rPr>
          <w:highlight w:val="none"/>
          <w:u w:val="single"/>
        </w:rPr>
        <w:tab/>
      </w:r>
      <w:r>
        <w:rPr>
          <w:highlight w:val="none"/>
          <w:u w:val="single"/>
        </w:rPr>
        <w:tab/>
      </w:r>
      <w:r>
        <w:rPr>
          <w:highlight w:val="none"/>
        </w:rPr>
        <w:t>（项目名称）投标文件、签订合同和处理有关事宜，其法律后果由我方承担。</w:t>
      </w:r>
    </w:p>
    <w:p w14:paraId="58D976DE">
      <w:pPr>
        <w:pStyle w:val="16"/>
        <w:spacing w:before="154" w:line="609" w:lineRule="auto"/>
        <w:ind w:left="1033" w:right="3870"/>
        <w:jc w:val="both"/>
        <w:rPr>
          <w:highlight w:val="none"/>
        </w:rPr>
      </w:pPr>
      <w:r>
        <w:rPr>
          <w:spacing w:val="-4"/>
          <w:highlight w:val="none"/>
        </w:rPr>
        <w:t xml:space="preserve">委托期限：自投标文件递交截止之日起 </w:t>
      </w:r>
      <w:r>
        <w:rPr>
          <w:highlight w:val="none"/>
        </w:rPr>
        <w:t>90</w:t>
      </w:r>
      <w:r>
        <w:rPr>
          <w:spacing w:val="-20"/>
          <w:highlight w:val="none"/>
        </w:rPr>
        <w:t xml:space="preserve"> 日历天</w:t>
      </w:r>
      <w:r>
        <w:rPr>
          <w:highlight w:val="none"/>
        </w:rPr>
        <w:t>代理人无转委托权。</w:t>
      </w:r>
    </w:p>
    <w:p w14:paraId="2683949B">
      <w:pPr>
        <w:pStyle w:val="16"/>
        <w:spacing w:line="305" w:lineRule="exact"/>
        <w:ind w:left="1033"/>
        <w:rPr>
          <w:highlight w:val="none"/>
        </w:rPr>
      </w:pPr>
      <w:r>
        <w:rPr>
          <w:highlight w:val="none"/>
        </w:rPr>
        <w:t>附：法定代表人和委托代理人身份证复印件</w:t>
      </w:r>
    </w:p>
    <w:p w14:paraId="46A6626F">
      <w:pPr>
        <w:pStyle w:val="16"/>
        <w:rPr>
          <w:highlight w:val="none"/>
        </w:rPr>
      </w:pPr>
    </w:p>
    <w:p w14:paraId="0DA6FCE4">
      <w:pPr>
        <w:pStyle w:val="16"/>
        <w:rPr>
          <w:highlight w:val="none"/>
        </w:rPr>
      </w:pPr>
    </w:p>
    <w:p w14:paraId="1ED01C42">
      <w:pPr>
        <w:pStyle w:val="16"/>
        <w:rPr>
          <w:highlight w:val="none"/>
        </w:rPr>
      </w:pPr>
    </w:p>
    <w:p w14:paraId="5A93148A">
      <w:pPr>
        <w:pStyle w:val="16"/>
        <w:tabs>
          <w:tab w:val="left" w:pos="3433"/>
          <w:tab w:val="left" w:pos="3913"/>
          <w:tab w:val="left" w:pos="7153"/>
          <w:tab w:val="left" w:pos="8652"/>
        </w:tabs>
        <w:spacing w:before="169" w:line="487" w:lineRule="auto"/>
        <w:ind w:left="2953" w:right="1230"/>
        <w:rPr>
          <w:rFonts w:ascii="Times New Roman" w:eastAsia="Times New Roman"/>
          <w:highlight w:val="none"/>
        </w:rPr>
      </w:pPr>
      <w:r>
        <w:rPr>
          <w:highlight w:val="none"/>
        </w:rPr>
        <w:t>投</w:t>
      </w:r>
      <w:r>
        <w:rPr>
          <w:highlight w:val="none"/>
        </w:rPr>
        <w:tab/>
      </w:r>
      <w:r>
        <w:rPr>
          <w:highlight w:val="none"/>
        </w:rPr>
        <w:t>标</w:t>
      </w:r>
      <w:r>
        <w:rPr>
          <w:highlight w:val="none"/>
        </w:rPr>
        <w:tab/>
      </w:r>
      <w:r>
        <w:rPr>
          <w:highlight w:val="none"/>
        </w:rPr>
        <w:t>人：</w:t>
      </w:r>
      <w:r>
        <w:rPr>
          <w:highlight w:val="none"/>
          <w:u w:val="single"/>
        </w:rPr>
        <w:t xml:space="preserve"> </w:t>
      </w:r>
      <w:r>
        <w:rPr>
          <w:highlight w:val="none"/>
          <w:u w:val="single"/>
        </w:rPr>
        <w:tab/>
      </w:r>
      <w:r>
        <w:rPr>
          <w:highlight w:val="none"/>
        </w:rPr>
        <w:t>（盖单位章） 法定代表人：</w:t>
      </w:r>
      <w:r>
        <w:rPr>
          <w:highlight w:val="none"/>
          <w:u w:val="single"/>
        </w:rPr>
        <w:t xml:space="preserve"> </w:t>
      </w:r>
      <w:r>
        <w:rPr>
          <w:highlight w:val="none"/>
          <w:u w:val="single"/>
        </w:rPr>
        <w:tab/>
      </w:r>
      <w:r>
        <w:rPr>
          <w:highlight w:val="none"/>
        </w:rPr>
        <w:t>（签字或盖章</w:t>
      </w:r>
      <w:r>
        <w:rPr>
          <w:spacing w:val="-17"/>
          <w:highlight w:val="none"/>
        </w:rPr>
        <w:t xml:space="preserve">） </w:t>
      </w:r>
      <w:r>
        <w:rPr>
          <w:spacing w:val="-1"/>
          <w:highlight w:val="none"/>
        </w:rPr>
        <w:t>身</w:t>
      </w:r>
      <w:r>
        <w:rPr>
          <w:highlight w:val="none"/>
        </w:rPr>
        <w:t>份证号码：</w:t>
      </w:r>
      <w:r>
        <w:rPr>
          <w:rFonts w:ascii="Times New Roman" w:eastAsia="Times New Roman"/>
          <w:highlight w:val="none"/>
          <w:u w:val="single"/>
        </w:rPr>
        <w:t xml:space="preserve"> </w:t>
      </w:r>
      <w:r>
        <w:rPr>
          <w:rFonts w:ascii="Times New Roman" w:eastAsia="Times New Roman"/>
          <w:highlight w:val="none"/>
          <w:u w:val="single"/>
        </w:rPr>
        <w:tab/>
      </w:r>
      <w:r>
        <w:rPr>
          <w:rFonts w:ascii="Times New Roman" w:eastAsia="Times New Roman"/>
          <w:highlight w:val="none"/>
          <w:u w:val="single"/>
        </w:rPr>
        <w:tab/>
      </w:r>
    </w:p>
    <w:p w14:paraId="7BD0371A">
      <w:pPr>
        <w:pStyle w:val="16"/>
        <w:tabs>
          <w:tab w:val="left" w:pos="7153"/>
          <w:tab w:val="left" w:pos="8652"/>
        </w:tabs>
        <w:spacing w:line="484" w:lineRule="auto"/>
        <w:ind w:left="2953" w:right="1230"/>
        <w:rPr>
          <w:rFonts w:ascii="Times New Roman" w:eastAsia="Times New Roman"/>
          <w:highlight w:val="none"/>
        </w:rPr>
      </w:pPr>
      <w:r>
        <w:rPr>
          <w:highlight w:val="none"/>
        </w:rPr>
        <w:t>委托代理人：</w:t>
      </w:r>
      <w:r>
        <w:rPr>
          <w:highlight w:val="none"/>
          <w:u w:val="single"/>
        </w:rPr>
        <w:t xml:space="preserve"> </w:t>
      </w:r>
      <w:r>
        <w:rPr>
          <w:highlight w:val="none"/>
          <w:u w:val="single"/>
        </w:rPr>
        <w:tab/>
      </w:r>
      <w:r>
        <w:rPr>
          <w:highlight w:val="none"/>
        </w:rPr>
        <w:t>（签字或盖章</w:t>
      </w:r>
      <w:r>
        <w:rPr>
          <w:spacing w:val="-17"/>
          <w:highlight w:val="none"/>
        </w:rPr>
        <w:t xml:space="preserve">） </w:t>
      </w:r>
      <w:r>
        <w:rPr>
          <w:spacing w:val="-1"/>
          <w:highlight w:val="none"/>
        </w:rPr>
        <w:t>身</w:t>
      </w:r>
      <w:r>
        <w:rPr>
          <w:highlight w:val="none"/>
        </w:rPr>
        <w:t>份证号码：</w:t>
      </w:r>
      <w:r>
        <w:rPr>
          <w:rFonts w:ascii="Times New Roman" w:eastAsia="Times New Roman"/>
          <w:highlight w:val="none"/>
          <w:u w:val="single"/>
        </w:rPr>
        <w:t xml:space="preserve"> </w:t>
      </w:r>
      <w:r>
        <w:rPr>
          <w:rFonts w:ascii="Times New Roman" w:eastAsia="Times New Roman"/>
          <w:highlight w:val="none"/>
          <w:u w:val="single"/>
        </w:rPr>
        <w:tab/>
      </w:r>
      <w:r>
        <w:rPr>
          <w:rFonts w:ascii="Times New Roman" w:eastAsia="Times New Roman"/>
          <w:highlight w:val="none"/>
          <w:u w:val="single"/>
        </w:rPr>
        <w:tab/>
      </w:r>
    </w:p>
    <w:p w14:paraId="49910499">
      <w:pPr>
        <w:pStyle w:val="16"/>
        <w:rPr>
          <w:rFonts w:ascii="Times New Roman"/>
          <w:sz w:val="20"/>
          <w:highlight w:val="none"/>
        </w:rPr>
      </w:pPr>
    </w:p>
    <w:p w14:paraId="5F96F3C4">
      <w:pPr>
        <w:pStyle w:val="16"/>
        <w:spacing w:before="6"/>
        <w:rPr>
          <w:rFonts w:ascii="Times New Roman"/>
          <w:sz w:val="20"/>
          <w:highlight w:val="none"/>
        </w:rPr>
      </w:pPr>
    </w:p>
    <w:p w14:paraId="60C41AE7">
      <w:pPr>
        <w:pStyle w:val="16"/>
        <w:tabs>
          <w:tab w:val="left" w:pos="6673"/>
          <w:tab w:val="left" w:pos="7513"/>
          <w:tab w:val="left" w:pos="8353"/>
        </w:tabs>
        <w:ind w:left="5833"/>
        <w:rPr>
          <w:highlight w:val="none"/>
        </w:rPr>
      </w:pPr>
      <w:r>
        <w:rPr>
          <w:rFonts w:ascii="Times New Roman" w:eastAsia="Times New Roman"/>
          <w:highlight w:val="none"/>
          <w:u w:val="single"/>
        </w:rPr>
        <w:t xml:space="preserve"> </w:t>
      </w:r>
      <w:r>
        <w:rPr>
          <w:rFonts w:ascii="Times New Roman" w:eastAsia="Times New Roman"/>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w:t>
      </w:r>
    </w:p>
    <w:p w14:paraId="66D6C97C">
      <w:pPr>
        <w:rPr>
          <w:highlight w:val="none"/>
        </w:rPr>
        <w:sectPr>
          <w:pgSz w:w="11910" w:h="16840"/>
          <w:pgMar w:top="1580" w:right="920" w:bottom="1420" w:left="920" w:header="0" w:footer="1229" w:gutter="0"/>
          <w:cols w:space="720" w:num="1"/>
        </w:sectPr>
      </w:pPr>
    </w:p>
    <w:p w14:paraId="1524EB9F">
      <w:pPr>
        <w:spacing w:before="24"/>
        <w:ind w:left="836" w:right="836"/>
        <w:jc w:val="center"/>
        <w:rPr>
          <w:b/>
          <w:sz w:val="36"/>
          <w:highlight w:val="none"/>
        </w:rPr>
      </w:pPr>
      <w:bookmarkStart w:id="265" w:name="三、资格审查资料"/>
      <w:bookmarkEnd w:id="265"/>
      <w:r>
        <w:rPr>
          <w:b/>
          <w:sz w:val="36"/>
          <w:highlight w:val="none"/>
        </w:rPr>
        <w:t>三、资格审查资料</w:t>
      </w:r>
    </w:p>
    <w:p w14:paraId="32C85056">
      <w:pPr>
        <w:pStyle w:val="16"/>
        <w:spacing w:before="11"/>
        <w:rPr>
          <w:b/>
          <w:sz w:val="28"/>
          <w:highlight w:val="none"/>
        </w:rPr>
      </w:pPr>
    </w:p>
    <w:p w14:paraId="70D75BD6">
      <w:pPr>
        <w:pStyle w:val="3"/>
        <w:ind w:left="836" w:right="836"/>
        <w:jc w:val="center"/>
        <w:rPr>
          <w:highlight w:val="none"/>
        </w:rPr>
      </w:pPr>
      <w:bookmarkStart w:id="266" w:name="（一）投标人基本情况表"/>
      <w:bookmarkEnd w:id="266"/>
      <w:r>
        <w:rPr>
          <w:highlight w:val="none"/>
        </w:rPr>
        <w:t>（一）投标人基本情况表</w:t>
      </w:r>
    </w:p>
    <w:p w14:paraId="4BB5BDD3">
      <w:pPr>
        <w:pStyle w:val="16"/>
        <w:spacing w:before="10"/>
        <w:rPr>
          <w:b/>
          <w:sz w:val="28"/>
          <w:highlight w:val="none"/>
        </w:rPr>
      </w:pPr>
    </w:p>
    <w:tbl>
      <w:tblPr>
        <w:tblStyle w:val="41"/>
        <w:tblW w:w="0" w:type="auto"/>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6"/>
        <w:gridCol w:w="1116"/>
        <w:gridCol w:w="1021"/>
        <w:gridCol w:w="993"/>
        <w:gridCol w:w="283"/>
        <w:gridCol w:w="195"/>
        <w:gridCol w:w="1246"/>
        <w:gridCol w:w="260"/>
        <w:gridCol w:w="709"/>
        <w:gridCol w:w="1416"/>
      </w:tblGrid>
      <w:tr w14:paraId="106E8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36" w:type="dxa"/>
          </w:tcPr>
          <w:p w14:paraId="040EB6F4">
            <w:pPr>
              <w:pStyle w:val="71"/>
              <w:spacing w:before="175"/>
              <w:ind w:left="177" w:right="168"/>
              <w:jc w:val="center"/>
              <w:rPr>
                <w:sz w:val="24"/>
                <w:highlight w:val="none"/>
              </w:rPr>
            </w:pPr>
            <w:r>
              <w:rPr>
                <w:sz w:val="24"/>
                <w:highlight w:val="none"/>
              </w:rPr>
              <w:t>投标人名称</w:t>
            </w:r>
          </w:p>
        </w:tc>
        <w:tc>
          <w:tcPr>
            <w:tcW w:w="7239" w:type="dxa"/>
            <w:gridSpan w:val="9"/>
          </w:tcPr>
          <w:p w14:paraId="6C1A3ECF">
            <w:pPr>
              <w:pStyle w:val="71"/>
              <w:rPr>
                <w:rFonts w:ascii="Times New Roman"/>
                <w:sz w:val="24"/>
                <w:highlight w:val="none"/>
              </w:rPr>
            </w:pPr>
          </w:p>
        </w:tc>
      </w:tr>
      <w:tr w14:paraId="1232F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6" w:type="dxa"/>
          </w:tcPr>
          <w:p w14:paraId="7C9E0CA7">
            <w:pPr>
              <w:pStyle w:val="71"/>
              <w:spacing w:before="174"/>
              <w:ind w:left="177" w:right="168"/>
              <w:jc w:val="center"/>
              <w:rPr>
                <w:sz w:val="24"/>
                <w:highlight w:val="none"/>
              </w:rPr>
            </w:pPr>
            <w:r>
              <w:rPr>
                <w:sz w:val="24"/>
                <w:highlight w:val="none"/>
              </w:rPr>
              <w:t>注册地址</w:t>
            </w:r>
          </w:p>
        </w:tc>
        <w:tc>
          <w:tcPr>
            <w:tcW w:w="3608" w:type="dxa"/>
            <w:gridSpan w:val="5"/>
          </w:tcPr>
          <w:p w14:paraId="3314C5AC">
            <w:pPr>
              <w:pStyle w:val="71"/>
              <w:rPr>
                <w:rFonts w:ascii="Times New Roman"/>
                <w:sz w:val="24"/>
                <w:highlight w:val="none"/>
              </w:rPr>
            </w:pPr>
          </w:p>
        </w:tc>
        <w:tc>
          <w:tcPr>
            <w:tcW w:w="1246" w:type="dxa"/>
          </w:tcPr>
          <w:p w14:paraId="4145800B">
            <w:pPr>
              <w:pStyle w:val="71"/>
              <w:spacing w:before="174"/>
              <w:ind w:left="7"/>
              <w:jc w:val="center"/>
              <w:rPr>
                <w:sz w:val="24"/>
                <w:highlight w:val="none"/>
              </w:rPr>
            </w:pPr>
            <w:r>
              <w:rPr>
                <w:sz w:val="24"/>
                <w:highlight w:val="none"/>
              </w:rPr>
              <w:t>邮政编码</w:t>
            </w:r>
          </w:p>
        </w:tc>
        <w:tc>
          <w:tcPr>
            <w:tcW w:w="2385" w:type="dxa"/>
            <w:gridSpan w:val="3"/>
          </w:tcPr>
          <w:p w14:paraId="04F53899">
            <w:pPr>
              <w:pStyle w:val="71"/>
              <w:rPr>
                <w:rFonts w:ascii="Times New Roman"/>
                <w:sz w:val="24"/>
                <w:highlight w:val="none"/>
              </w:rPr>
            </w:pPr>
          </w:p>
        </w:tc>
      </w:tr>
      <w:tr w14:paraId="56791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6" w:type="dxa"/>
            <w:vMerge w:val="restart"/>
          </w:tcPr>
          <w:p w14:paraId="7AC072F2">
            <w:pPr>
              <w:pStyle w:val="71"/>
              <w:rPr>
                <w:b/>
                <w:sz w:val="24"/>
                <w:highlight w:val="none"/>
              </w:rPr>
            </w:pPr>
          </w:p>
          <w:p w14:paraId="4FDF22D8">
            <w:pPr>
              <w:pStyle w:val="71"/>
              <w:spacing w:before="156"/>
              <w:ind w:left="437"/>
              <w:rPr>
                <w:sz w:val="24"/>
                <w:highlight w:val="none"/>
              </w:rPr>
            </w:pPr>
            <w:r>
              <w:rPr>
                <w:sz w:val="24"/>
                <w:highlight w:val="none"/>
              </w:rPr>
              <w:t>联系方式</w:t>
            </w:r>
          </w:p>
        </w:tc>
        <w:tc>
          <w:tcPr>
            <w:tcW w:w="1116" w:type="dxa"/>
          </w:tcPr>
          <w:p w14:paraId="78E6C6A1">
            <w:pPr>
              <w:pStyle w:val="71"/>
              <w:spacing w:before="175"/>
              <w:ind w:left="9"/>
              <w:jc w:val="center"/>
              <w:rPr>
                <w:sz w:val="24"/>
                <w:highlight w:val="none"/>
              </w:rPr>
            </w:pPr>
            <w:r>
              <w:rPr>
                <w:sz w:val="24"/>
                <w:highlight w:val="none"/>
              </w:rPr>
              <w:t>联系人</w:t>
            </w:r>
          </w:p>
        </w:tc>
        <w:tc>
          <w:tcPr>
            <w:tcW w:w="2492" w:type="dxa"/>
            <w:gridSpan w:val="4"/>
          </w:tcPr>
          <w:p w14:paraId="28A8B0EA">
            <w:pPr>
              <w:pStyle w:val="71"/>
              <w:rPr>
                <w:rFonts w:ascii="Times New Roman"/>
                <w:sz w:val="24"/>
                <w:highlight w:val="none"/>
              </w:rPr>
            </w:pPr>
          </w:p>
        </w:tc>
        <w:tc>
          <w:tcPr>
            <w:tcW w:w="1246" w:type="dxa"/>
          </w:tcPr>
          <w:p w14:paraId="6FD8EDE1">
            <w:pPr>
              <w:pStyle w:val="71"/>
              <w:tabs>
                <w:tab w:val="left" w:pos="487"/>
              </w:tabs>
              <w:spacing w:before="175"/>
              <w:ind w:left="7"/>
              <w:jc w:val="center"/>
              <w:rPr>
                <w:sz w:val="24"/>
                <w:highlight w:val="none"/>
              </w:rPr>
            </w:pPr>
            <w:r>
              <w:rPr>
                <w:sz w:val="24"/>
                <w:highlight w:val="none"/>
              </w:rPr>
              <w:t>电</w:t>
            </w:r>
            <w:r>
              <w:rPr>
                <w:sz w:val="24"/>
                <w:highlight w:val="none"/>
              </w:rPr>
              <w:tab/>
            </w:r>
            <w:r>
              <w:rPr>
                <w:sz w:val="24"/>
                <w:highlight w:val="none"/>
              </w:rPr>
              <w:t>话</w:t>
            </w:r>
          </w:p>
        </w:tc>
        <w:tc>
          <w:tcPr>
            <w:tcW w:w="2385" w:type="dxa"/>
            <w:gridSpan w:val="3"/>
          </w:tcPr>
          <w:p w14:paraId="3079A5E4">
            <w:pPr>
              <w:pStyle w:val="71"/>
              <w:rPr>
                <w:rFonts w:ascii="Times New Roman"/>
                <w:sz w:val="24"/>
                <w:highlight w:val="none"/>
              </w:rPr>
            </w:pPr>
          </w:p>
        </w:tc>
      </w:tr>
      <w:tr w14:paraId="08307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6" w:type="dxa"/>
            <w:vMerge w:val="continue"/>
            <w:tcBorders>
              <w:top w:val="nil"/>
            </w:tcBorders>
          </w:tcPr>
          <w:p w14:paraId="439ED834">
            <w:pPr>
              <w:rPr>
                <w:sz w:val="2"/>
                <w:szCs w:val="2"/>
                <w:highlight w:val="none"/>
              </w:rPr>
            </w:pPr>
          </w:p>
        </w:tc>
        <w:tc>
          <w:tcPr>
            <w:tcW w:w="1116" w:type="dxa"/>
          </w:tcPr>
          <w:p w14:paraId="341B14FE">
            <w:pPr>
              <w:pStyle w:val="71"/>
              <w:tabs>
                <w:tab w:val="left" w:pos="489"/>
              </w:tabs>
              <w:spacing w:before="174"/>
              <w:ind w:left="9"/>
              <w:jc w:val="center"/>
              <w:rPr>
                <w:sz w:val="24"/>
                <w:highlight w:val="none"/>
              </w:rPr>
            </w:pPr>
            <w:r>
              <w:rPr>
                <w:sz w:val="24"/>
                <w:highlight w:val="none"/>
              </w:rPr>
              <w:t>传</w:t>
            </w:r>
            <w:r>
              <w:rPr>
                <w:sz w:val="24"/>
                <w:highlight w:val="none"/>
              </w:rPr>
              <w:tab/>
            </w:r>
            <w:r>
              <w:rPr>
                <w:sz w:val="24"/>
                <w:highlight w:val="none"/>
              </w:rPr>
              <w:t>真</w:t>
            </w:r>
          </w:p>
        </w:tc>
        <w:tc>
          <w:tcPr>
            <w:tcW w:w="2492" w:type="dxa"/>
            <w:gridSpan w:val="4"/>
          </w:tcPr>
          <w:p w14:paraId="30E8C411">
            <w:pPr>
              <w:pStyle w:val="71"/>
              <w:rPr>
                <w:rFonts w:ascii="Times New Roman"/>
                <w:sz w:val="24"/>
                <w:highlight w:val="none"/>
              </w:rPr>
            </w:pPr>
          </w:p>
        </w:tc>
        <w:tc>
          <w:tcPr>
            <w:tcW w:w="1246" w:type="dxa"/>
          </w:tcPr>
          <w:p w14:paraId="67B53C58">
            <w:pPr>
              <w:pStyle w:val="71"/>
              <w:tabs>
                <w:tab w:val="left" w:pos="487"/>
              </w:tabs>
              <w:spacing w:before="174"/>
              <w:ind w:left="7"/>
              <w:jc w:val="center"/>
              <w:rPr>
                <w:sz w:val="24"/>
                <w:highlight w:val="none"/>
              </w:rPr>
            </w:pPr>
            <w:r>
              <w:rPr>
                <w:sz w:val="24"/>
                <w:highlight w:val="none"/>
              </w:rPr>
              <w:t>网</w:t>
            </w:r>
            <w:r>
              <w:rPr>
                <w:sz w:val="24"/>
                <w:highlight w:val="none"/>
              </w:rPr>
              <w:tab/>
            </w:r>
            <w:r>
              <w:rPr>
                <w:sz w:val="24"/>
                <w:highlight w:val="none"/>
              </w:rPr>
              <w:t>址</w:t>
            </w:r>
          </w:p>
        </w:tc>
        <w:tc>
          <w:tcPr>
            <w:tcW w:w="2385" w:type="dxa"/>
            <w:gridSpan w:val="3"/>
          </w:tcPr>
          <w:p w14:paraId="4195B117">
            <w:pPr>
              <w:pStyle w:val="71"/>
              <w:rPr>
                <w:rFonts w:ascii="Times New Roman"/>
                <w:sz w:val="24"/>
                <w:highlight w:val="none"/>
              </w:rPr>
            </w:pPr>
          </w:p>
        </w:tc>
      </w:tr>
      <w:tr w14:paraId="49B46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6" w:type="dxa"/>
          </w:tcPr>
          <w:p w14:paraId="3D60DD2B">
            <w:pPr>
              <w:pStyle w:val="71"/>
              <w:spacing w:before="176"/>
              <w:ind w:left="177" w:right="168"/>
              <w:jc w:val="center"/>
              <w:rPr>
                <w:sz w:val="24"/>
                <w:highlight w:val="none"/>
              </w:rPr>
            </w:pPr>
            <w:r>
              <w:rPr>
                <w:sz w:val="24"/>
                <w:highlight w:val="none"/>
              </w:rPr>
              <w:t>组织结构</w:t>
            </w:r>
          </w:p>
        </w:tc>
        <w:tc>
          <w:tcPr>
            <w:tcW w:w="7239" w:type="dxa"/>
            <w:gridSpan w:val="9"/>
          </w:tcPr>
          <w:p w14:paraId="7D45788D">
            <w:pPr>
              <w:pStyle w:val="71"/>
              <w:rPr>
                <w:rFonts w:ascii="Times New Roman"/>
                <w:sz w:val="24"/>
                <w:highlight w:val="none"/>
              </w:rPr>
            </w:pPr>
          </w:p>
        </w:tc>
      </w:tr>
      <w:tr w14:paraId="66188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36" w:type="dxa"/>
          </w:tcPr>
          <w:p w14:paraId="01630031">
            <w:pPr>
              <w:pStyle w:val="71"/>
              <w:spacing w:before="175"/>
              <w:ind w:left="177" w:right="168"/>
              <w:jc w:val="center"/>
              <w:rPr>
                <w:sz w:val="24"/>
                <w:highlight w:val="none"/>
              </w:rPr>
            </w:pPr>
            <w:r>
              <w:rPr>
                <w:sz w:val="24"/>
                <w:highlight w:val="none"/>
              </w:rPr>
              <w:t>法定代表人</w:t>
            </w:r>
          </w:p>
        </w:tc>
        <w:tc>
          <w:tcPr>
            <w:tcW w:w="1116" w:type="dxa"/>
          </w:tcPr>
          <w:p w14:paraId="1DD740AE">
            <w:pPr>
              <w:pStyle w:val="71"/>
              <w:spacing w:before="175"/>
              <w:ind w:left="9"/>
              <w:jc w:val="center"/>
              <w:rPr>
                <w:sz w:val="24"/>
                <w:highlight w:val="none"/>
              </w:rPr>
            </w:pPr>
            <w:r>
              <w:rPr>
                <w:sz w:val="24"/>
                <w:highlight w:val="none"/>
              </w:rPr>
              <w:t>姓名</w:t>
            </w:r>
          </w:p>
        </w:tc>
        <w:tc>
          <w:tcPr>
            <w:tcW w:w="1021" w:type="dxa"/>
          </w:tcPr>
          <w:p w14:paraId="3283EAD9">
            <w:pPr>
              <w:pStyle w:val="71"/>
              <w:rPr>
                <w:rFonts w:ascii="Times New Roman"/>
                <w:sz w:val="24"/>
                <w:highlight w:val="none"/>
              </w:rPr>
            </w:pPr>
          </w:p>
        </w:tc>
        <w:tc>
          <w:tcPr>
            <w:tcW w:w="1276" w:type="dxa"/>
            <w:gridSpan w:val="2"/>
          </w:tcPr>
          <w:p w14:paraId="557A2810">
            <w:pPr>
              <w:pStyle w:val="71"/>
              <w:spacing w:before="175"/>
              <w:ind w:left="158"/>
              <w:rPr>
                <w:sz w:val="24"/>
                <w:highlight w:val="none"/>
              </w:rPr>
            </w:pPr>
            <w:r>
              <w:rPr>
                <w:sz w:val="24"/>
                <w:highlight w:val="none"/>
              </w:rPr>
              <w:t>技术职称</w:t>
            </w:r>
          </w:p>
        </w:tc>
        <w:tc>
          <w:tcPr>
            <w:tcW w:w="1701" w:type="dxa"/>
            <w:gridSpan w:val="3"/>
          </w:tcPr>
          <w:p w14:paraId="5022BABA">
            <w:pPr>
              <w:pStyle w:val="71"/>
              <w:rPr>
                <w:rFonts w:ascii="Times New Roman"/>
                <w:sz w:val="24"/>
                <w:highlight w:val="none"/>
              </w:rPr>
            </w:pPr>
          </w:p>
        </w:tc>
        <w:tc>
          <w:tcPr>
            <w:tcW w:w="709" w:type="dxa"/>
          </w:tcPr>
          <w:p w14:paraId="602B500E">
            <w:pPr>
              <w:pStyle w:val="71"/>
              <w:spacing w:before="175"/>
              <w:ind w:left="93" w:right="85"/>
              <w:jc w:val="center"/>
              <w:rPr>
                <w:sz w:val="24"/>
                <w:highlight w:val="none"/>
              </w:rPr>
            </w:pPr>
            <w:r>
              <w:rPr>
                <w:sz w:val="24"/>
                <w:highlight w:val="none"/>
              </w:rPr>
              <w:t>电话</w:t>
            </w:r>
          </w:p>
        </w:tc>
        <w:tc>
          <w:tcPr>
            <w:tcW w:w="1416" w:type="dxa"/>
          </w:tcPr>
          <w:p w14:paraId="51F66179">
            <w:pPr>
              <w:pStyle w:val="71"/>
              <w:rPr>
                <w:rFonts w:ascii="Times New Roman"/>
                <w:sz w:val="24"/>
                <w:highlight w:val="none"/>
              </w:rPr>
            </w:pPr>
          </w:p>
        </w:tc>
      </w:tr>
      <w:tr w14:paraId="13D6E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6" w:type="dxa"/>
          </w:tcPr>
          <w:p w14:paraId="0D294514">
            <w:pPr>
              <w:pStyle w:val="71"/>
              <w:spacing w:before="174"/>
              <w:ind w:left="177" w:right="168"/>
              <w:jc w:val="center"/>
              <w:rPr>
                <w:sz w:val="24"/>
                <w:highlight w:val="none"/>
              </w:rPr>
            </w:pPr>
            <w:r>
              <w:rPr>
                <w:sz w:val="24"/>
                <w:highlight w:val="none"/>
              </w:rPr>
              <w:t>技术负责人</w:t>
            </w:r>
          </w:p>
        </w:tc>
        <w:tc>
          <w:tcPr>
            <w:tcW w:w="1116" w:type="dxa"/>
          </w:tcPr>
          <w:p w14:paraId="063AD301">
            <w:pPr>
              <w:pStyle w:val="71"/>
              <w:spacing w:before="174"/>
              <w:ind w:left="9"/>
              <w:jc w:val="center"/>
              <w:rPr>
                <w:sz w:val="24"/>
                <w:highlight w:val="none"/>
              </w:rPr>
            </w:pPr>
            <w:r>
              <w:rPr>
                <w:sz w:val="24"/>
                <w:highlight w:val="none"/>
              </w:rPr>
              <w:t>姓名</w:t>
            </w:r>
          </w:p>
        </w:tc>
        <w:tc>
          <w:tcPr>
            <w:tcW w:w="1021" w:type="dxa"/>
          </w:tcPr>
          <w:p w14:paraId="0350EBC7">
            <w:pPr>
              <w:pStyle w:val="71"/>
              <w:rPr>
                <w:rFonts w:ascii="Times New Roman"/>
                <w:sz w:val="24"/>
                <w:highlight w:val="none"/>
              </w:rPr>
            </w:pPr>
          </w:p>
        </w:tc>
        <w:tc>
          <w:tcPr>
            <w:tcW w:w="1276" w:type="dxa"/>
            <w:gridSpan w:val="2"/>
          </w:tcPr>
          <w:p w14:paraId="5CA98CA8">
            <w:pPr>
              <w:pStyle w:val="71"/>
              <w:spacing w:before="174"/>
              <w:ind w:left="158"/>
              <w:rPr>
                <w:sz w:val="24"/>
                <w:highlight w:val="none"/>
              </w:rPr>
            </w:pPr>
            <w:r>
              <w:rPr>
                <w:sz w:val="24"/>
                <w:highlight w:val="none"/>
              </w:rPr>
              <w:t>技术职称</w:t>
            </w:r>
          </w:p>
        </w:tc>
        <w:tc>
          <w:tcPr>
            <w:tcW w:w="1701" w:type="dxa"/>
            <w:gridSpan w:val="3"/>
          </w:tcPr>
          <w:p w14:paraId="62D913F1">
            <w:pPr>
              <w:pStyle w:val="71"/>
              <w:rPr>
                <w:rFonts w:ascii="Times New Roman"/>
                <w:sz w:val="24"/>
                <w:highlight w:val="none"/>
              </w:rPr>
            </w:pPr>
          </w:p>
        </w:tc>
        <w:tc>
          <w:tcPr>
            <w:tcW w:w="709" w:type="dxa"/>
          </w:tcPr>
          <w:p w14:paraId="6C3517D8">
            <w:pPr>
              <w:pStyle w:val="71"/>
              <w:spacing w:before="174"/>
              <w:ind w:left="93" w:right="85"/>
              <w:jc w:val="center"/>
              <w:rPr>
                <w:sz w:val="24"/>
                <w:highlight w:val="none"/>
              </w:rPr>
            </w:pPr>
            <w:r>
              <w:rPr>
                <w:sz w:val="24"/>
                <w:highlight w:val="none"/>
              </w:rPr>
              <w:t>电话</w:t>
            </w:r>
          </w:p>
        </w:tc>
        <w:tc>
          <w:tcPr>
            <w:tcW w:w="1416" w:type="dxa"/>
          </w:tcPr>
          <w:p w14:paraId="23BC3EED">
            <w:pPr>
              <w:pStyle w:val="71"/>
              <w:rPr>
                <w:rFonts w:ascii="Times New Roman"/>
                <w:sz w:val="24"/>
                <w:highlight w:val="none"/>
              </w:rPr>
            </w:pPr>
          </w:p>
        </w:tc>
      </w:tr>
      <w:tr w14:paraId="062A9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36" w:type="dxa"/>
          </w:tcPr>
          <w:p w14:paraId="22B61274">
            <w:pPr>
              <w:pStyle w:val="71"/>
              <w:spacing w:before="175"/>
              <w:ind w:left="177" w:right="168"/>
              <w:jc w:val="center"/>
              <w:rPr>
                <w:sz w:val="24"/>
                <w:highlight w:val="none"/>
              </w:rPr>
            </w:pPr>
            <w:r>
              <w:rPr>
                <w:sz w:val="24"/>
                <w:highlight w:val="none"/>
              </w:rPr>
              <w:t>成立时间</w:t>
            </w:r>
          </w:p>
        </w:tc>
        <w:tc>
          <w:tcPr>
            <w:tcW w:w="2137" w:type="dxa"/>
            <w:gridSpan w:val="2"/>
          </w:tcPr>
          <w:p w14:paraId="24ABF52D">
            <w:pPr>
              <w:pStyle w:val="71"/>
              <w:rPr>
                <w:rFonts w:ascii="Times New Roman"/>
                <w:sz w:val="24"/>
                <w:highlight w:val="none"/>
              </w:rPr>
            </w:pPr>
          </w:p>
        </w:tc>
        <w:tc>
          <w:tcPr>
            <w:tcW w:w="5102" w:type="dxa"/>
            <w:gridSpan w:val="7"/>
          </w:tcPr>
          <w:p w14:paraId="65D16CB5">
            <w:pPr>
              <w:pStyle w:val="71"/>
              <w:spacing w:before="175"/>
              <w:ind w:left="1810" w:right="1801"/>
              <w:jc w:val="center"/>
              <w:rPr>
                <w:sz w:val="24"/>
                <w:highlight w:val="none"/>
              </w:rPr>
            </w:pPr>
            <w:r>
              <w:rPr>
                <w:sz w:val="24"/>
                <w:highlight w:val="none"/>
              </w:rPr>
              <w:t>员工总人数：</w:t>
            </w:r>
          </w:p>
        </w:tc>
      </w:tr>
      <w:tr w14:paraId="4FDDF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6" w:type="dxa"/>
          </w:tcPr>
          <w:p w14:paraId="2C5DF778">
            <w:pPr>
              <w:pStyle w:val="71"/>
              <w:spacing w:before="174"/>
              <w:ind w:left="177" w:right="168"/>
              <w:jc w:val="center"/>
              <w:rPr>
                <w:sz w:val="24"/>
                <w:highlight w:val="none"/>
              </w:rPr>
            </w:pPr>
            <w:r>
              <w:rPr>
                <w:sz w:val="24"/>
                <w:highlight w:val="none"/>
              </w:rPr>
              <w:t>企业资质等级</w:t>
            </w:r>
          </w:p>
        </w:tc>
        <w:tc>
          <w:tcPr>
            <w:tcW w:w="2137" w:type="dxa"/>
            <w:gridSpan w:val="2"/>
          </w:tcPr>
          <w:p w14:paraId="0E36EF0C">
            <w:pPr>
              <w:pStyle w:val="71"/>
              <w:rPr>
                <w:rFonts w:ascii="Times New Roman"/>
                <w:sz w:val="24"/>
                <w:highlight w:val="none"/>
              </w:rPr>
            </w:pPr>
          </w:p>
        </w:tc>
        <w:tc>
          <w:tcPr>
            <w:tcW w:w="993" w:type="dxa"/>
            <w:vMerge w:val="restart"/>
          </w:tcPr>
          <w:p w14:paraId="2DFFA8DD">
            <w:pPr>
              <w:pStyle w:val="71"/>
              <w:rPr>
                <w:b/>
                <w:sz w:val="24"/>
                <w:highlight w:val="none"/>
              </w:rPr>
            </w:pPr>
          </w:p>
          <w:p w14:paraId="05FFAAF6">
            <w:pPr>
              <w:pStyle w:val="71"/>
              <w:rPr>
                <w:b/>
                <w:sz w:val="24"/>
                <w:highlight w:val="none"/>
              </w:rPr>
            </w:pPr>
          </w:p>
          <w:p w14:paraId="2423EE75">
            <w:pPr>
              <w:pStyle w:val="71"/>
              <w:rPr>
                <w:b/>
                <w:sz w:val="24"/>
                <w:highlight w:val="none"/>
              </w:rPr>
            </w:pPr>
          </w:p>
          <w:p w14:paraId="28FDCE2C">
            <w:pPr>
              <w:pStyle w:val="71"/>
              <w:spacing w:before="9"/>
              <w:rPr>
                <w:b/>
                <w:sz w:val="31"/>
                <w:highlight w:val="none"/>
              </w:rPr>
            </w:pPr>
          </w:p>
          <w:p w14:paraId="3E509C53">
            <w:pPr>
              <w:pStyle w:val="71"/>
              <w:ind w:left="256"/>
              <w:rPr>
                <w:sz w:val="24"/>
                <w:highlight w:val="none"/>
              </w:rPr>
            </w:pPr>
            <w:r>
              <w:rPr>
                <w:sz w:val="24"/>
                <w:highlight w:val="none"/>
              </w:rPr>
              <w:t>其中</w:t>
            </w:r>
          </w:p>
        </w:tc>
        <w:tc>
          <w:tcPr>
            <w:tcW w:w="1984" w:type="dxa"/>
            <w:gridSpan w:val="4"/>
          </w:tcPr>
          <w:p w14:paraId="78FE04D2">
            <w:pPr>
              <w:pStyle w:val="71"/>
              <w:spacing w:before="174"/>
              <w:ind w:left="511"/>
              <w:rPr>
                <w:sz w:val="24"/>
                <w:highlight w:val="none"/>
              </w:rPr>
            </w:pPr>
            <w:r>
              <w:rPr>
                <w:sz w:val="24"/>
                <w:highlight w:val="none"/>
              </w:rPr>
              <w:t>项目经理</w:t>
            </w:r>
          </w:p>
        </w:tc>
        <w:tc>
          <w:tcPr>
            <w:tcW w:w="2125" w:type="dxa"/>
            <w:gridSpan w:val="2"/>
          </w:tcPr>
          <w:p w14:paraId="28D277A1">
            <w:pPr>
              <w:pStyle w:val="71"/>
              <w:rPr>
                <w:rFonts w:ascii="Times New Roman"/>
                <w:sz w:val="24"/>
                <w:highlight w:val="none"/>
              </w:rPr>
            </w:pPr>
          </w:p>
        </w:tc>
      </w:tr>
      <w:tr w14:paraId="0462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36" w:type="dxa"/>
          </w:tcPr>
          <w:p w14:paraId="2638A62A">
            <w:pPr>
              <w:pStyle w:val="71"/>
              <w:spacing w:before="176"/>
              <w:ind w:left="177" w:right="168"/>
              <w:jc w:val="center"/>
              <w:rPr>
                <w:sz w:val="24"/>
                <w:highlight w:val="none"/>
              </w:rPr>
            </w:pPr>
            <w:r>
              <w:rPr>
                <w:sz w:val="24"/>
                <w:highlight w:val="none"/>
              </w:rPr>
              <w:t>营业执照号</w:t>
            </w:r>
          </w:p>
        </w:tc>
        <w:tc>
          <w:tcPr>
            <w:tcW w:w="2137" w:type="dxa"/>
            <w:gridSpan w:val="2"/>
          </w:tcPr>
          <w:p w14:paraId="0660D4FE">
            <w:pPr>
              <w:pStyle w:val="71"/>
              <w:rPr>
                <w:rFonts w:ascii="Times New Roman"/>
                <w:sz w:val="24"/>
                <w:highlight w:val="none"/>
              </w:rPr>
            </w:pPr>
          </w:p>
        </w:tc>
        <w:tc>
          <w:tcPr>
            <w:tcW w:w="993" w:type="dxa"/>
            <w:vMerge w:val="continue"/>
            <w:tcBorders>
              <w:top w:val="nil"/>
            </w:tcBorders>
          </w:tcPr>
          <w:p w14:paraId="10D8CED5">
            <w:pPr>
              <w:rPr>
                <w:sz w:val="2"/>
                <w:szCs w:val="2"/>
                <w:highlight w:val="none"/>
              </w:rPr>
            </w:pPr>
          </w:p>
        </w:tc>
        <w:tc>
          <w:tcPr>
            <w:tcW w:w="1984" w:type="dxa"/>
            <w:gridSpan w:val="4"/>
          </w:tcPr>
          <w:p w14:paraId="073F314D">
            <w:pPr>
              <w:pStyle w:val="71"/>
              <w:spacing w:before="176"/>
              <w:ind w:left="271"/>
              <w:rPr>
                <w:sz w:val="24"/>
                <w:highlight w:val="none"/>
              </w:rPr>
            </w:pPr>
            <w:r>
              <w:rPr>
                <w:sz w:val="24"/>
                <w:highlight w:val="none"/>
              </w:rPr>
              <w:t>高级职称人员</w:t>
            </w:r>
          </w:p>
        </w:tc>
        <w:tc>
          <w:tcPr>
            <w:tcW w:w="2125" w:type="dxa"/>
            <w:gridSpan w:val="2"/>
          </w:tcPr>
          <w:p w14:paraId="798FB59D">
            <w:pPr>
              <w:pStyle w:val="71"/>
              <w:rPr>
                <w:rFonts w:ascii="Times New Roman"/>
                <w:sz w:val="24"/>
                <w:highlight w:val="none"/>
              </w:rPr>
            </w:pPr>
          </w:p>
        </w:tc>
      </w:tr>
      <w:tr w14:paraId="4C7A6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6" w:type="dxa"/>
          </w:tcPr>
          <w:p w14:paraId="4500CC52">
            <w:pPr>
              <w:pStyle w:val="71"/>
              <w:spacing w:before="174"/>
              <w:ind w:left="177" w:right="168"/>
              <w:jc w:val="center"/>
              <w:rPr>
                <w:sz w:val="24"/>
                <w:highlight w:val="none"/>
              </w:rPr>
            </w:pPr>
            <w:r>
              <w:rPr>
                <w:sz w:val="24"/>
                <w:highlight w:val="none"/>
              </w:rPr>
              <w:t>注册资金</w:t>
            </w:r>
          </w:p>
        </w:tc>
        <w:tc>
          <w:tcPr>
            <w:tcW w:w="2137" w:type="dxa"/>
            <w:gridSpan w:val="2"/>
          </w:tcPr>
          <w:p w14:paraId="1942AD46">
            <w:pPr>
              <w:pStyle w:val="71"/>
              <w:rPr>
                <w:rFonts w:ascii="Times New Roman"/>
                <w:sz w:val="24"/>
                <w:highlight w:val="none"/>
              </w:rPr>
            </w:pPr>
          </w:p>
        </w:tc>
        <w:tc>
          <w:tcPr>
            <w:tcW w:w="993" w:type="dxa"/>
            <w:vMerge w:val="continue"/>
            <w:tcBorders>
              <w:top w:val="nil"/>
            </w:tcBorders>
          </w:tcPr>
          <w:p w14:paraId="5DCC6AE1">
            <w:pPr>
              <w:rPr>
                <w:sz w:val="2"/>
                <w:szCs w:val="2"/>
                <w:highlight w:val="none"/>
              </w:rPr>
            </w:pPr>
          </w:p>
        </w:tc>
        <w:tc>
          <w:tcPr>
            <w:tcW w:w="1984" w:type="dxa"/>
            <w:gridSpan w:val="4"/>
          </w:tcPr>
          <w:p w14:paraId="2282DA89">
            <w:pPr>
              <w:pStyle w:val="71"/>
              <w:spacing w:before="174"/>
              <w:ind w:left="271"/>
              <w:rPr>
                <w:sz w:val="24"/>
                <w:highlight w:val="none"/>
              </w:rPr>
            </w:pPr>
            <w:r>
              <w:rPr>
                <w:sz w:val="24"/>
                <w:highlight w:val="none"/>
              </w:rPr>
              <w:t>中级职称人员</w:t>
            </w:r>
          </w:p>
        </w:tc>
        <w:tc>
          <w:tcPr>
            <w:tcW w:w="2125" w:type="dxa"/>
            <w:gridSpan w:val="2"/>
          </w:tcPr>
          <w:p w14:paraId="71D93232">
            <w:pPr>
              <w:pStyle w:val="71"/>
              <w:rPr>
                <w:rFonts w:ascii="Times New Roman"/>
                <w:sz w:val="24"/>
                <w:highlight w:val="none"/>
              </w:rPr>
            </w:pPr>
          </w:p>
        </w:tc>
      </w:tr>
      <w:tr w14:paraId="76A95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6" w:type="dxa"/>
          </w:tcPr>
          <w:p w14:paraId="7E79907E">
            <w:pPr>
              <w:pStyle w:val="71"/>
              <w:spacing w:before="176"/>
              <w:ind w:left="177" w:right="168"/>
              <w:jc w:val="center"/>
              <w:rPr>
                <w:sz w:val="24"/>
                <w:highlight w:val="none"/>
              </w:rPr>
            </w:pPr>
            <w:r>
              <w:rPr>
                <w:sz w:val="24"/>
                <w:highlight w:val="none"/>
              </w:rPr>
              <w:t>开户银行</w:t>
            </w:r>
          </w:p>
        </w:tc>
        <w:tc>
          <w:tcPr>
            <w:tcW w:w="2137" w:type="dxa"/>
            <w:gridSpan w:val="2"/>
          </w:tcPr>
          <w:p w14:paraId="49C04492">
            <w:pPr>
              <w:pStyle w:val="71"/>
              <w:rPr>
                <w:rFonts w:ascii="Times New Roman"/>
                <w:sz w:val="24"/>
                <w:highlight w:val="none"/>
              </w:rPr>
            </w:pPr>
          </w:p>
        </w:tc>
        <w:tc>
          <w:tcPr>
            <w:tcW w:w="993" w:type="dxa"/>
            <w:vMerge w:val="continue"/>
            <w:tcBorders>
              <w:top w:val="nil"/>
            </w:tcBorders>
          </w:tcPr>
          <w:p w14:paraId="06824F83">
            <w:pPr>
              <w:rPr>
                <w:sz w:val="2"/>
                <w:szCs w:val="2"/>
                <w:highlight w:val="none"/>
              </w:rPr>
            </w:pPr>
          </w:p>
        </w:tc>
        <w:tc>
          <w:tcPr>
            <w:tcW w:w="1984" w:type="dxa"/>
            <w:gridSpan w:val="4"/>
          </w:tcPr>
          <w:p w14:paraId="76A248C4">
            <w:pPr>
              <w:pStyle w:val="71"/>
              <w:spacing w:before="176"/>
              <w:ind w:left="271"/>
              <w:rPr>
                <w:sz w:val="24"/>
                <w:highlight w:val="none"/>
              </w:rPr>
            </w:pPr>
            <w:r>
              <w:rPr>
                <w:sz w:val="24"/>
                <w:highlight w:val="none"/>
              </w:rPr>
              <w:t>初级职称人员</w:t>
            </w:r>
          </w:p>
        </w:tc>
        <w:tc>
          <w:tcPr>
            <w:tcW w:w="2125" w:type="dxa"/>
            <w:gridSpan w:val="2"/>
          </w:tcPr>
          <w:p w14:paraId="4F5D391B">
            <w:pPr>
              <w:pStyle w:val="71"/>
              <w:rPr>
                <w:rFonts w:ascii="Times New Roman"/>
                <w:sz w:val="24"/>
                <w:highlight w:val="none"/>
              </w:rPr>
            </w:pPr>
          </w:p>
        </w:tc>
      </w:tr>
      <w:tr w14:paraId="2617E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36" w:type="dxa"/>
          </w:tcPr>
          <w:p w14:paraId="5AE6AF17">
            <w:pPr>
              <w:pStyle w:val="71"/>
              <w:spacing w:before="175"/>
              <w:ind w:left="177" w:right="168"/>
              <w:jc w:val="center"/>
              <w:rPr>
                <w:sz w:val="24"/>
                <w:highlight w:val="none"/>
              </w:rPr>
            </w:pPr>
            <w:r>
              <w:rPr>
                <w:sz w:val="24"/>
                <w:highlight w:val="none"/>
              </w:rPr>
              <w:t>账号</w:t>
            </w:r>
          </w:p>
        </w:tc>
        <w:tc>
          <w:tcPr>
            <w:tcW w:w="2137" w:type="dxa"/>
            <w:gridSpan w:val="2"/>
          </w:tcPr>
          <w:p w14:paraId="7BBDDB63">
            <w:pPr>
              <w:pStyle w:val="71"/>
              <w:rPr>
                <w:rFonts w:ascii="Times New Roman"/>
                <w:sz w:val="24"/>
                <w:highlight w:val="none"/>
              </w:rPr>
            </w:pPr>
          </w:p>
        </w:tc>
        <w:tc>
          <w:tcPr>
            <w:tcW w:w="993" w:type="dxa"/>
            <w:vMerge w:val="continue"/>
            <w:tcBorders>
              <w:top w:val="nil"/>
            </w:tcBorders>
          </w:tcPr>
          <w:p w14:paraId="03AFC511">
            <w:pPr>
              <w:rPr>
                <w:sz w:val="2"/>
                <w:szCs w:val="2"/>
                <w:highlight w:val="none"/>
              </w:rPr>
            </w:pPr>
          </w:p>
        </w:tc>
        <w:tc>
          <w:tcPr>
            <w:tcW w:w="1984" w:type="dxa"/>
            <w:gridSpan w:val="4"/>
          </w:tcPr>
          <w:p w14:paraId="6197141B">
            <w:pPr>
              <w:pStyle w:val="71"/>
              <w:tabs>
                <w:tab w:val="left" w:pos="1111"/>
              </w:tabs>
              <w:spacing w:before="175"/>
              <w:ind w:left="631"/>
              <w:rPr>
                <w:sz w:val="24"/>
                <w:highlight w:val="none"/>
              </w:rPr>
            </w:pPr>
            <w:r>
              <w:rPr>
                <w:sz w:val="24"/>
                <w:highlight w:val="none"/>
              </w:rPr>
              <w:t>技</w:t>
            </w:r>
            <w:r>
              <w:rPr>
                <w:sz w:val="24"/>
                <w:highlight w:val="none"/>
              </w:rPr>
              <w:tab/>
            </w:r>
            <w:r>
              <w:rPr>
                <w:sz w:val="24"/>
                <w:highlight w:val="none"/>
              </w:rPr>
              <w:t>工</w:t>
            </w:r>
          </w:p>
        </w:tc>
        <w:tc>
          <w:tcPr>
            <w:tcW w:w="2125" w:type="dxa"/>
            <w:gridSpan w:val="2"/>
          </w:tcPr>
          <w:p w14:paraId="326ACB8C">
            <w:pPr>
              <w:pStyle w:val="71"/>
              <w:rPr>
                <w:rFonts w:ascii="Times New Roman"/>
                <w:sz w:val="24"/>
                <w:highlight w:val="none"/>
              </w:rPr>
            </w:pPr>
          </w:p>
        </w:tc>
      </w:tr>
      <w:tr w14:paraId="46CAB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trPr>
        <w:tc>
          <w:tcPr>
            <w:tcW w:w="1836" w:type="dxa"/>
          </w:tcPr>
          <w:p w14:paraId="064C555B">
            <w:pPr>
              <w:pStyle w:val="71"/>
              <w:rPr>
                <w:b/>
                <w:sz w:val="24"/>
                <w:highlight w:val="none"/>
              </w:rPr>
            </w:pPr>
          </w:p>
          <w:p w14:paraId="30C9C52E">
            <w:pPr>
              <w:pStyle w:val="71"/>
              <w:rPr>
                <w:b/>
                <w:sz w:val="24"/>
                <w:highlight w:val="none"/>
              </w:rPr>
            </w:pPr>
          </w:p>
          <w:p w14:paraId="79F910A9">
            <w:pPr>
              <w:pStyle w:val="71"/>
              <w:spacing w:before="185"/>
              <w:ind w:left="177" w:right="168"/>
              <w:jc w:val="center"/>
              <w:rPr>
                <w:sz w:val="24"/>
                <w:highlight w:val="none"/>
              </w:rPr>
            </w:pPr>
            <w:r>
              <w:rPr>
                <w:sz w:val="24"/>
                <w:highlight w:val="none"/>
              </w:rPr>
              <w:t>经营范围</w:t>
            </w:r>
          </w:p>
        </w:tc>
        <w:tc>
          <w:tcPr>
            <w:tcW w:w="7239" w:type="dxa"/>
            <w:gridSpan w:val="9"/>
          </w:tcPr>
          <w:p w14:paraId="7200EC81">
            <w:pPr>
              <w:pStyle w:val="71"/>
              <w:rPr>
                <w:rFonts w:ascii="Times New Roman"/>
                <w:sz w:val="24"/>
                <w:highlight w:val="none"/>
              </w:rPr>
            </w:pPr>
          </w:p>
        </w:tc>
      </w:tr>
      <w:tr w14:paraId="016D5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6" w:type="dxa"/>
          </w:tcPr>
          <w:p w14:paraId="0F818E22">
            <w:pPr>
              <w:pStyle w:val="71"/>
              <w:spacing w:before="52"/>
              <w:ind w:left="177" w:right="168"/>
              <w:jc w:val="center"/>
              <w:rPr>
                <w:sz w:val="24"/>
                <w:highlight w:val="none"/>
              </w:rPr>
            </w:pPr>
            <w:r>
              <w:rPr>
                <w:sz w:val="24"/>
                <w:highlight w:val="none"/>
              </w:rPr>
              <w:t>备注</w:t>
            </w:r>
          </w:p>
        </w:tc>
        <w:tc>
          <w:tcPr>
            <w:tcW w:w="7239" w:type="dxa"/>
            <w:gridSpan w:val="9"/>
          </w:tcPr>
          <w:p w14:paraId="1E864409">
            <w:pPr>
              <w:pStyle w:val="71"/>
              <w:rPr>
                <w:rFonts w:ascii="Times New Roman"/>
                <w:sz w:val="24"/>
                <w:highlight w:val="none"/>
              </w:rPr>
            </w:pPr>
          </w:p>
        </w:tc>
      </w:tr>
    </w:tbl>
    <w:p w14:paraId="7CCA6608">
      <w:pPr>
        <w:pStyle w:val="16"/>
        <w:spacing w:before="1"/>
        <w:ind w:left="1033"/>
        <w:rPr>
          <w:highlight w:val="none"/>
        </w:rPr>
      </w:pPr>
      <w:r>
        <w:rPr>
          <w:b/>
          <w:highlight w:val="none"/>
        </w:rPr>
        <w:t>备注：</w:t>
      </w:r>
      <w:r>
        <w:rPr>
          <w:highlight w:val="none"/>
        </w:rPr>
        <w:t>本表后应附投标人须知前附表 1.4.1 投标人资质条件的内容。</w:t>
      </w:r>
    </w:p>
    <w:p w14:paraId="49C55B27">
      <w:pPr>
        <w:rPr>
          <w:highlight w:val="none"/>
        </w:rPr>
        <w:sectPr>
          <w:pgSz w:w="11910" w:h="16840"/>
          <w:pgMar w:top="1320" w:right="920" w:bottom="1420" w:left="920" w:header="0" w:footer="1229" w:gutter="0"/>
          <w:cols w:space="720" w:num="1"/>
        </w:sectPr>
      </w:pPr>
    </w:p>
    <w:p w14:paraId="7C27A3D1">
      <w:pPr>
        <w:pStyle w:val="8"/>
        <w:spacing w:before="39"/>
        <w:rPr>
          <w:highlight w:val="none"/>
        </w:rPr>
      </w:pPr>
      <w:r>
        <w:rPr>
          <w:highlight w:val="none"/>
        </w:rPr>
        <w:t>附 1：</w:t>
      </w:r>
    </w:p>
    <w:p w14:paraId="2E4C1E0B">
      <w:pPr>
        <w:pStyle w:val="16"/>
        <w:spacing w:before="6"/>
        <w:rPr>
          <w:b/>
          <w:sz w:val="20"/>
          <w:highlight w:val="none"/>
        </w:rPr>
      </w:pPr>
    </w:p>
    <w:p w14:paraId="5CE3A037">
      <w:pPr>
        <w:pStyle w:val="8"/>
        <w:spacing w:before="67"/>
        <w:ind w:left="836" w:right="836"/>
        <w:jc w:val="center"/>
        <w:rPr>
          <w:highlight w:val="none"/>
        </w:rPr>
      </w:pPr>
      <w:bookmarkStart w:id="267" w:name="拟派项目经理无在建的承诺函"/>
      <w:bookmarkEnd w:id="267"/>
      <w:r>
        <w:rPr>
          <w:highlight w:val="none"/>
        </w:rPr>
        <w:t>拟派项目经理无在建的承诺函</w:t>
      </w:r>
    </w:p>
    <w:p w14:paraId="6BA43E6A">
      <w:pPr>
        <w:pStyle w:val="16"/>
        <w:rPr>
          <w:b/>
          <w:sz w:val="20"/>
          <w:highlight w:val="none"/>
        </w:rPr>
      </w:pPr>
    </w:p>
    <w:p w14:paraId="3B6823E6">
      <w:pPr>
        <w:pStyle w:val="16"/>
        <w:tabs>
          <w:tab w:val="left" w:pos="1753"/>
        </w:tabs>
        <w:spacing w:before="216"/>
        <w:ind w:left="553"/>
        <w:rPr>
          <w:highlight w:val="none"/>
        </w:rPr>
      </w:pPr>
      <w:r>
        <w:rPr>
          <w:rFonts w:ascii="Times New Roman" w:eastAsia="Times New Roman"/>
          <w:highlight w:val="none"/>
          <w:u w:val="single"/>
        </w:rPr>
        <w:t xml:space="preserve"> </w:t>
      </w:r>
      <w:r>
        <w:rPr>
          <w:rFonts w:ascii="Times New Roman" w:eastAsia="Times New Roman"/>
          <w:highlight w:val="none"/>
          <w:u w:val="single"/>
        </w:rPr>
        <w:tab/>
      </w:r>
      <w:r>
        <w:rPr>
          <w:highlight w:val="none"/>
        </w:rPr>
        <w:t>（</w:t>
      </w:r>
      <w:r>
        <w:rPr>
          <w:rFonts w:hint="eastAsia"/>
          <w:highlight w:val="none"/>
          <w:lang w:eastAsia="zh-CN"/>
        </w:rPr>
        <w:t>招标人</w:t>
      </w:r>
      <w:r>
        <w:rPr>
          <w:highlight w:val="none"/>
        </w:rPr>
        <w:t>名称）：</w:t>
      </w:r>
    </w:p>
    <w:p w14:paraId="1A146171">
      <w:pPr>
        <w:pStyle w:val="16"/>
        <w:spacing w:before="9"/>
        <w:rPr>
          <w:sz w:val="36"/>
          <w:highlight w:val="none"/>
        </w:rPr>
      </w:pPr>
    </w:p>
    <w:p w14:paraId="1CF5E40D">
      <w:pPr>
        <w:pStyle w:val="16"/>
        <w:spacing w:line="364" w:lineRule="auto"/>
        <w:ind w:left="553" w:right="553" w:firstLine="480"/>
        <w:rPr>
          <w:highlight w:val="none"/>
        </w:rPr>
      </w:pPr>
      <w:r>
        <w:rPr>
          <w:highlight w:val="none"/>
        </w:rPr>
        <w:t>我方在此郑重承诺，我方拟派往</w:t>
      </w:r>
      <w:r>
        <w:rPr>
          <w:highlight w:val="none"/>
          <w:u w:val="single"/>
        </w:rPr>
        <w:t>（项目名称）</w:t>
      </w:r>
      <w:r>
        <w:rPr>
          <w:highlight w:val="none"/>
        </w:rPr>
        <w:t>的项目经理</w:t>
      </w:r>
      <w:r>
        <w:rPr>
          <w:highlight w:val="none"/>
          <w:u w:val="single"/>
        </w:rPr>
        <w:t>（项目经理姓名）</w:t>
      </w:r>
      <w:r>
        <w:rPr>
          <w:highlight w:val="none"/>
        </w:rPr>
        <w:t>现阶段没有担任任何在施建设工程项目的项目经理。</w:t>
      </w:r>
    </w:p>
    <w:p w14:paraId="7064CCB4">
      <w:pPr>
        <w:pStyle w:val="16"/>
        <w:spacing w:line="364" w:lineRule="auto"/>
        <w:ind w:left="553" w:right="553" w:firstLine="480"/>
        <w:rPr>
          <w:highlight w:val="none"/>
        </w:rPr>
      </w:pPr>
      <w:r>
        <w:rPr>
          <w:highlight w:val="none"/>
        </w:rPr>
        <w:t>我方保证本次投标所有内容和资料均真实、有效、准确，并愿意承担因我方就此弄虚作假所引起的一切法律后果。</w:t>
      </w:r>
    </w:p>
    <w:p w14:paraId="72EDF6CA">
      <w:pPr>
        <w:pStyle w:val="16"/>
        <w:rPr>
          <w:highlight w:val="none"/>
        </w:rPr>
      </w:pPr>
    </w:p>
    <w:p w14:paraId="31CFE4DA">
      <w:pPr>
        <w:pStyle w:val="16"/>
        <w:rPr>
          <w:highlight w:val="none"/>
        </w:rPr>
      </w:pPr>
    </w:p>
    <w:p w14:paraId="636765A3">
      <w:pPr>
        <w:pStyle w:val="16"/>
        <w:spacing w:before="11"/>
        <w:rPr>
          <w:highlight w:val="none"/>
        </w:rPr>
      </w:pPr>
    </w:p>
    <w:p w14:paraId="5DD3842D">
      <w:pPr>
        <w:pStyle w:val="16"/>
        <w:ind w:left="1033"/>
        <w:rPr>
          <w:highlight w:val="none"/>
        </w:rPr>
      </w:pPr>
      <w:r>
        <w:rPr>
          <w:highlight w:val="none"/>
        </w:rPr>
        <w:t>特此承诺</w:t>
      </w:r>
    </w:p>
    <w:p w14:paraId="6AE2C423">
      <w:pPr>
        <w:pStyle w:val="16"/>
        <w:rPr>
          <w:highlight w:val="none"/>
        </w:rPr>
      </w:pPr>
    </w:p>
    <w:p w14:paraId="3A79A4CB">
      <w:pPr>
        <w:pStyle w:val="16"/>
        <w:rPr>
          <w:highlight w:val="none"/>
        </w:rPr>
      </w:pPr>
    </w:p>
    <w:p w14:paraId="3F29A5C7">
      <w:pPr>
        <w:pStyle w:val="16"/>
        <w:rPr>
          <w:highlight w:val="none"/>
        </w:rPr>
      </w:pPr>
    </w:p>
    <w:p w14:paraId="485FD9F5">
      <w:pPr>
        <w:pStyle w:val="16"/>
        <w:rPr>
          <w:highlight w:val="none"/>
        </w:rPr>
      </w:pPr>
    </w:p>
    <w:p w14:paraId="6A9AAF59">
      <w:pPr>
        <w:pStyle w:val="16"/>
        <w:rPr>
          <w:highlight w:val="none"/>
        </w:rPr>
      </w:pPr>
    </w:p>
    <w:p w14:paraId="58123AB8">
      <w:pPr>
        <w:pStyle w:val="16"/>
        <w:rPr>
          <w:highlight w:val="none"/>
        </w:rPr>
      </w:pPr>
    </w:p>
    <w:p w14:paraId="2CBD90B5">
      <w:pPr>
        <w:pStyle w:val="16"/>
        <w:rPr>
          <w:highlight w:val="none"/>
        </w:rPr>
      </w:pPr>
    </w:p>
    <w:p w14:paraId="349A9A6D">
      <w:pPr>
        <w:pStyle w:val="16"/>
        <w:spacing w:before="7"/>
        <w:rPr>
          <w:sz w:val="26"/>
          <w:highlight w:val="none"/>
        </w:rPr>
      </w:pPr>
    </w:p>
    <w:p w14:paraId="270F5464">
      <w:pPr>
        <w:pStyle w:val="16"/>
        <w:tabs>
          <w:tab w:val="left" w:pos="7832"/>
          <w:tab w:val="left" w:pos="8072"/>
        </w:tabs>
        <w:spacing w:before="1" w:line="362" w:lineRule="auto"/>
        <w:ind w:left="1592" w:right="551" w:firstLine="2400"/>
        <w:rPr>
          <w:highlight w:val="none"/>
        </w:rPr>
      </w:pPr>
      <w:r>
        <w:rPr>
          <w:highlight w:val="none"/>
        </w:rPr>
        <w:t>投标人：</w:t>
      </w:r>
      <w:r>
        <w:rPr>
          <w:highlight w:val="none"/>
          <w:u w:val="single"/>
        </w:rPr>
        <w:t xml:space="preserve"> </w:t>
      </w:r>
      <w:r>
        <w:rPr>
          <w:highlight w:val="none"/>
          <w:u w:val="single"/>
        </w:rPr>
        <w:tab/>
      </w:r>
      <w:r>
        <w:rPr>
          <w:highlight w:val="none"/>
          <w:u w:val="single"/>
        </w:rPr>
        <w:tab/>
      </w:r>
      <w:r>
        <w:rPr>
          <w:highlight w:val="none"/>
        </w:rPr>
        <w:t>（盖单位章</w:t>
      </w:r>
      <w:r>
        <w:rPr>
          <w:spacing w:val="-17"/>
          <w:highlight w:val="none"/>
        </w:rPr>
        <w:t xml:space="preserve">） </w:t>
      </w:r>
      <w:r>
        <w:rPr>
          <w:highlight w:val="none"/>
        </w:rPr>
        <w:t>法定代表人或其授权委托人：</w:t>
      </w:r>
      <w:r>
        <w:rPr>
          <w:highlight w:val="none"/>
          <w:u w:val="single"/>
        </w:rPr>
        <w:t xml:space="preserve"> </w:t>
      </w:r>
      <w:r>
        <w:rPr>
          <w:highlight w:val="none"/>
          <w:u w:val="single"/>
        </w:rPr>
        <w:tab/>
      </w:r>
      <w:r>
        <w:rPr>
          <w:highlight w:val="none"/>
        </w:rPr>
        <w:t>（签字或盖章</w:t>
      </w:r>
      <w:r>
        <w:rPr>
          <w:spacing w:val="-17"/>
          <w:highlight w:val="none"/>
        </w:rPr>
        <w:t>）</w:t>
      </w:r>
    </w:p>
    <w:p w14:paraId="74DCB2F0">
      <w:pPr>
        <w:pStyle w:val="16"/>
        <w:tabs>
          <w:tab w:val="left" w:pos="360"/>
          <w:tab w:val="left" w:pos="960"/>
          <w:tab w:val="left" w:pos="1560"/>
        </w:tabs>
        <w:spacing w:before="5"/>
        <w:ind w:right="551"/>
        <w:jc w:val="right"/>
        <w:rPr>
          <w:highlight w:val="none"/>
        </w:rPr>
      </w:pPr>
      <w:r>
        <w:rPr>
          <w:rFonts w:ascii="Times New Roman" w:eastAsia="Times New Roman"/>
          <w:highlight w:val="none"/>
          <w:u w:val="single"/>
        </w:rPr>
        <w:t xml:space="preserve"> </w:t>
      </w:r>
      <w:r>
        <w:rPr>
          <w:rFonts w:ascii="Times New Roman" w:eastAsia="Times New Roman"/>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w:t>
      </w:r>
    </w:p>
    <w:p w14:paraId="3E91997B">
      <w:pPr>
        <w:jc w:val="right"/>
        <w:rPr>
          <w:highlight w:val="none"/>
        </w:rPr>
        <w:sectPr>
          <w:pgSz w:w="11910" w:h="16840"/>
          <w:pgMar w:top="1400" w:right="920" w:bottom="1420" w:left="920" w:header="0" w:footer="1229" w:gutter="0"/>
          <w:cols w:space="720" w:num="1"/>
        </w:sectPr>
      </w:pPr>
    </w:p>
    <w:p w14:paraId="06C42946">
      <w:pPr>
        <w:pStyle w:val="8"/>
        <w:spacing w:before="54"/>
        <w:rPr>
          <w:highlight w:val="none"/>
        </w:rPr>
      </w:pPr>
      <w:r>
        <w:rPr>
          <w:highlight w:val="none"/>
        </w:rPr>
        <w:t>附 2：</w:t>
      </w:r>
    </w:p>
    <w:p w14:paraId="77FE45AA">
      <w:pPr>
        <w:pStyle w:val="16"/>
        <w:rPr>
          <w:b/>
          <w:sz w:val="20"/>
          <w:highlight w:val="none"/>
        </w:rPr>
      </w:pPr>
    </w:p>
    <w:p w14:paraId="6860A231">
      <w:pPr>
        <w:pStyle w:val="16"/>
        <w:spacing w:before="5"/>
        <w:rPr>
          <w:b/>
          <w:sz w:val="27"/>
          <w:highlight w:val="none"/>
        </w:rPr>
      </w:pPr>
    </w:p>
    <w:p w14:paraId="46A0F53F">
      <w:pPr>
        <w:pStyle w:val="8"/>
        <w:spacing w:before="67"/>
        <w:ind w:left="836" w:right="836"/>
        <w:jc w:val="center"/>
        <w:rPr>
          <w:highlight w:val="none"/>
        </w:rPr>
      </w:pPr>
      <w:bookmarkStart w:id="268" w:name="履行合同所必需的设备和专业技术能力的说明及承诺"/>
      <w:bookmarkEnd w:id="268"/>
      <w:r>
        <w:rPr>
          <w:highlight w:val="none"/>
        </w:rPr>
        <w:t>履行合同所必需的设备和专业技术能力的说明及承诺</w:t>
      </w:r>
    </w:p>
    <w:p w14:paraId="46F122EF">
      <w:pPr>
        <w:pStyle w:val="16"/>
        <w:rPr>
          <w:b/>
          <w:highlight w:val="none"/>
        </w:rPr>
      </w:pPr>
    </w:p>
    <w:p w14:paraId="7FA04F51">
      <w:pPr>
        <w:pStyle w:val="16"/>
        <w:rPr>
          <w:b/>
          <w:highlight w:val="none"/>
        </w:rPr>
      </w:pPr>
    </w:p>
    <w:p w14:paraId="424872D9">
      <w:pPr>
        <w:pStyle w:val="16"/>
        <w:spacing w:before="11"/>
        <w:rPr>
          <w:b/>
          <w:sz w:val="32"/>
          <w:highlight w:val="none"/>
        </w:rPr>
      </w:pPr>
    </w:p>
    <w:p w14:paraId="6EFA406E">
      <w:pPr>
        <w:pStyle w:val="16"/>
        <w:tabs>
          <w:tab w:val="left" w:pos="1194"/>
          <w:tab w:val="left" w:pos="3440"/>
        </w:tabs>
        <w:ind w:left="553"/>
        <w:rPr>
          <w:highlight w:val="none"/>
        </w:rPr>
      </w:pPr>
      <w:r>
        <w:rPr>
          <w:rFonts w:ascii="Times New Roman" w:eastAsia="Times New Roman"/>
          <w:highlight w:val="none"/>
          <w:u w:val="single"/>
        </w:rPr>
        <w:t xml:space="preserve"> </w:t>
      </w:r>
      <w:r>
        <w:rPr>
          <w:rFonts w:ascii="Times New Roman" w:eastAsia="Times New Roman"/>
          <w:highlight w:val="none"/>
          <w:u w:val="single"/>
        </w:rPr>
        <w:tab/>
      </w:r>
      <w:r>
        <w:rPr>
          <w:spacing w:val="7"/>
          <w:highlight w:val="none"/>
          <w:u w:val="single"/>
        </w:rPr>
        <w:t>（</w:t>
      </w:r>
      <w:r>
        <w:rPr>
          <w:rFonts w:hint="eastAsia"/>
          <w:spacing w:val="9"/>
          <w:highlight w:val="none"/>
          <w:u w:val="single"/>
          <w:lang w:eastAsia="zh-CN"/>
        </w:rPr>
        <w:t>招标人</w:t>
      </w:r>
      <w:r>
        <w:rPr>
          <w:spacing w:val="9"/>
          <w:highlight w:val="none"/>
          <w:u w:val="single"/>
        </w:rPr>
        <w:t>名</w:t>
      </w:r>
      <w:r>
        <w:rPr>
          <w:spacing w:val="7"/>
          <w:highlight w:val="none"/>
          <w:u w:val="single"/>
        </w:rPr>
        <w:t>称</w:t>
      </w:r>
      <w:r>
        <w:rPr>
          <w:highlight w:val="none"/>
          <w:u w:val="single"/>
        </w:rPr>
        <w:t>）</w:t>
      </w:r>
      <w:r>
        <w:rPr>
          <w:highlight w:val="none"/>
          <w:u w:val="single"/>
        </w:rPr>
        <w:tab/>
      </w:r>
      <w:r>
        <w:rPr>
          <w:highlight w:val="none"/>
          <w:u w:val="single"/>
        </w:rPr>
        <w:t>：</w:t>
      </w:r>
    </w:p>
    <w:p w14:paraId="1ABB8965">
      <w:pPr>
        <w:pStyle w:val="16"/>
        <w:tabs>
          <w:tab w:val="left" w:pos="1705"/>
          <w:tab w:val="left" w:pos="4078"/>
          <w:tab w:val="left" w:pos="5175"/>
          <w:tab w:val="left" w:pos="5991"/>
          <w:tab w:val="left" w:pos="6668"/>
        </w:tabs>
        <w:spacing w:before="161"/>
        <w:ind w:left="936"/>
        <w:rPr>
          <w:highlight w:val="none"/>
        </w:rPr>
      </w:pPr>
      <w:r>
        <w:rPr>
          <w:rFonts w:ascii="Times New Roman" w:eastAsia="Times New Roman"/>
          <w:highlight w:val="none"/>
          <w:u w:val="single"/>
        </w:rPr>
        <w:t xml:space="preserve"> </w:t>
      </w:r>
      <w:r>
        <w:rPr>
          <w:rFonts w:ascii="Times New Roman" w:eastAsia="Times New Roman"/>
          <w:highlight w:val="none"/>
          <w:u w:val="single"/>
        </w:rPr>
        <w:tab/>
      </w:r>
      <w:r>
        <w:rPr>
          <w:spacing w:val="19"/>
          <w:highlight w:val="none"/>
          <w:u w:val="single"/>
        </w:rPr>
        <w:t>（</w:t>
      </w:r>
      <w:r>
        <w:rPr>
          <w:rFonts w:hint="eastAsia"/>
          <w:spacing w:val="19"/>
          <w:highlight w:val="none"/>
          <w:u w:val="single"/>
          <w:lang w:eastAsia="zh-CN"/>
        </w:rPr>
        <w:t>投标人</w:t>
      </w:r>
      <w:r>
        <w:rPr>
          <w:spacing w:val="19"/>
          <w:highlight w:val="none"/>
          <w:u w:val="single"/>
        </w:rPr>
        <w:t>名</w:t>
      </w:r>
      <w:r>
        <w:rPr>
          <w:spacing w:val="21"/>
          <w:highlight w:val="none"/>
          <w:u w:val="single"/>
        </w:rPr>
        <w:t>称</w:t>
      </w:r>
      <w:r>
        <w:rPr>
          <w:highlight w:val="none"/>
          <w:u w:val="single"/>
        </w:rPr>
        <w:t>）</w:t>
      </w:r>
      <w:r>
        <w:rPr>
          <w:highlight w:val="none"/>
          <w:u w:val="single"/>
        </w:rPr>
        <w:tab/>
      </w:r>
      <w:r>
        <w:rPr>
          <w:spacing w:val="18"/>
          <w:highlight w:val="none"/>
        </w:rPr>
        <w:t>于</w:t>
      </w:r>
      <w:r>
        <w:rPr>
          <w:spacing w:val="18"/>
          <w:highlight w:val="none"/>
          <w:u w:val="single"/>
        </w:rPr>
        <w:t xml:space="preserve"> </w:t>
      </w:r>
      <w:r>
        <w:rPr>
          <w:spacing w:val="18"/>
          <w:highlight w:val="none"/>
          <w:u w:val="single"/>
        </w:rPr>
        <w:tab/>
      </w:r>
      <w:r>
        <w:rPr>
          <w:spacing w:val="16"/>
          <w:highlight w:val="none"/>
        </w:rPr>
        <w:t>年</w:t>
      </w:r>
      <w:r>
        <w:rPr>
          <w:spacing w:val="16"/>
          <w:highlight w:val="none"/>
          <w:u w:val="single"/>
        </w:rPr>
        <w:t xml:space="preserve"> </w:t>
      </w:r>
      <w:r>
        <w:rPr>
          <w:spacing w:val="16"/>
          <w:highlight w:val="none"/>
          <w:u w:val="single"/>
        </w:rPr>
        <w:tab/>
      </w:r>
      <w:r>
        <w:rPr>
          <w:spacing w:val="19"/>
          <w:highlight w:val="none"/>
        </w:rPr>
        <w:t>月</w:t>
      </w:r>
      <w:r>
        <w:rPr>
          <w:spacing w:val="19"/>
          <w:highlight w:val="none"/>
          <w:u w:val="single"/>
        </w:rPr>
        <w:t xml:space="preserve"> </w:t>
      </w:r>
      <w:r>
        <w:rPr>
          <w:spacing w:val="19"/>
          <w:highlight w:val="none"/>
          <w:u w:val="single"/>
        </w:rPr>
        <w:tab/>
      </w:r>
      <w:r>
        <w:rPr>
          <w:spacing w:val="19"/>
          <w:highlight w:val="none"/>
        </w:rPr>
        <w:t>日在中华人</w:t>
      </w:r>
      <w:r>
        <w:rPr>
          <w:spacing w:val="21"/>
          <w:highlight w:val="none"/>
        </w:rPr>
        <w:t>民</w:t>
      </w:r>
      <w:r>
        <w:rPr>
          <w:spacing w:val="19"/>
          <w:highlight w:val="none"/>
        </w:rPr>
        <w:t>共和国境</w:t>
      </w:r>
      <w:r>
        <w:rPr>
          <w:highlight w:val="none"/>
        </w:rPr>
        <w:t>内</w:t>
      </w:r>
    </w:p>
    <w:p w14:paraId="2280D197">
      <w:pPr>
        <w:pStyle w:val="16"/>
        <w:spacing w:before="4"/>
        <w:rPr>
          <w:sz w:val="19"/>
          <w:highlight w:val="none"/>
        </w:rPr>
      </w:pPr>
    </w:p>
    <w:p w14:paraId="0CC43C53">
      <w:pPr>
        <w:pStyle w:val="16"/>
        <w:tabs>
          <w:tab w:val="left" w:pos="3923"/>
          <w:tab w:val="left" w:pos="4187"/>
          <w:tab w:val="left" w:pos="4608"/>
          <w:tab w:val="left" w:pos="8943"/>
        </w:tabs>
        <w:spacing w:before="66" w:line="487" w:lineRule="auto"/>
        <w:ind w:left="553" w:right="558"/>
        <w:jc w:val="both"/>
        <w:rPr>
          <w:highlight w:val="none"/>
        </w:rPr>
      </w:pPr>
      <w:r>
        <w:rPr>
          <w:highlight w:val="none"/>
          <w:u w:val="single"/>
        </w:rPr>
        <w:t>（ 详 细 注 册 地</w:t>
      </w:r>
      <w:r>
        <w:rPr>
          <w:spacing w:val="-15"/>
          <w:highlight w:val="none"/>
          <w:u w:val="single"/>
        </w:rPr>
        <w:t xml:space="preserve"> </w:t>
      </w:r>
      <w:r>
        <w:rPr>
          <w:highlight w:val="none"/>
          <w:u w:val="single"/>
        </w:rPr>
        <w:t>址</w:t>
      </w:r>
      <w:r>
        <w:rPr>
          <w:spacing w:val="-3"/>
          <w:highlight w:val="none"/>
          <w:u w:val="single"/>
        </w:rPr>
        <w:t xml:space="preserve"> </w:t>
      </w:r>
      <w:r>
        <w:rPr>
          <w:highlight w:val="none"/>
          <w:u w:val="single"/>
        </w:rPr>
        <w:t>）</w:t>
      </w:r>
      <w:r>
        <w:rPr>
          <w:highlight w:val="none"/>
          <w:u w:val="single"/>
        </w:rPr>
        <w:tab/>
      </w:r>
      <w:r>
        <w:rPr>
          <w:highlight w:val="none"/>
          <w:u w:val="single"/>
        </w:rPr>
        <w:tab/>
      </w:r>
      <w:r>
        <w:rPr>
          <w:highlight w:val="none"/>
          <w:u w:val="single"/>
        </w:rPr>
        <w:tab/>
      </w:r>
      <w:r>
        <w:rPr>
          <w:highlight w:val="none"/>
        </w:rPr>
        <w:t>合 法 注 册 并 经 营 ， 公 司 主 营 业</w:t>
      </w:r>
      <w:r>
        <w:rPr>
          <w:spacing w:val="-30"/>
          <w:highlight w:val="none"/>
        </w:rPr>
        <w:t xml:space="preserve"> </w:t>
      </w:r>
      <w:r>
        <w:rPr>
          <w:spacing w:val="-10"/>
          <w:highlight w:val="none"/>
        </w:rPr>
        <w:t>务</w:t>
      </w:r>
      <w:r>
        <w:rPr>
          <w:spacing w:val="9"/>
          <w:highlight w:val="none"/>
        </w:rPr>
        <w:t>为</w:t>
      </w:r>
      <w:r>
        <w:rPr>
          <w:spacing w:val="9"/>
          <w:highlight w:val="none"/>
          <w:u w:val="single"/>
        </w:rPr>
        <w:t xml:space="preserve"> </w:t>
      </w:r>
      <w:r>
        <w:rPr>
          <w:spacing w:val="9"/>
          <w:highlight w:val="none"/>
          <w:u w:val="single"/>
        </w:rPr>
        <w:tab/>
      </w:r>
      <w:r>
        <w:rPr>
          <w:spacing w:val="9"/>
          <w:highlight w:val="none"/>
          <w:u w:val="single"/>
        </w:rPr>
        <w:tab/>
      </w:r>
      <w:r>
        <w:rPr>
          <w:spacing w:val="9"/>
          <w:highlight w:val="none"/>
        </w:rPr>
        <w:t>，营</w:t>
      </w:r>
      <w:r>
        <w:rPr>
          <w:spacing w:val="12"/>
          <w:highlight w:val="none"/>
        </w:rPr>
        <w:t>业</w:t>
      </w:r>
      <w:r>
        <w:rPr>
          <w:spacing w:val="9"/>
          <w:highlight w:val="none"/>
        </w:rPr>
        <w:t>（生产</w:t>
      </w:r>
      <w:r>
        <w:rPr>
          <w:spacing w:val="12"/>
          <w:highlight w:val="none"/>
        </w:rPr>
        <w:t>经</w:t>
      </w:r>
      <w:r>
        <w:rPr>
          <w:spacing w:val="9"/>
          <w:highlight w:val="none"/>
        </w:rPr>
        <w:t>营）面</w:t>
      </w:r>
      <w:r>
        <w:rPr>
          <w:spacing w:val="12"/>
          <w:highlight w:val="none"/>
        </w:rPr>
        <w:t>积为</w:t>
      </w:r>
      <w:r>
        <w:rPr>
          <w:spacing w:val="12"/>
          <w:highlight w:val="none"/>
          <w:u w:val="single"/>
        </w:rPr>
        <w:t xml:space="preserve"> </w:t>
      </w:r>
      <w:r>
        <w:rPr>
          <w:spacing w:val="12"/>
          <w:highlight w:val="none"/>
          <w:u w:val="single"/>
        </w:rPr>
        <w:tab/>
      </w:r>
      <w:r>
        <w:rPr>
          <w:spacing w:val="9"/>
          <w:highlight w:val="none"/>
        </w:rPr>
        <w:t>，</w:t>
      </w:r>
      <w:r>
        <w:rPr>
          <w:spacing w:val="-13"/>
          <w:highlight w:val="none"/>
        </w:rPr>
        <w:t>现</w:t>
      </w:r>
      <w:r>
        <w:rPr>
          <w:spacing w:val="57"/>
          <w:highlight w:val="none"/>
        </w:rPr>
        <w:t>有</w:t>
      </w:r>
      <w:r>
        <w:rPr>
          <w:spacing w:val="55"/>
          <w:highlight w:val="none"/>
        </w:rPr>
        <w:t>员</w:t>
      </w:r>
      <w:r>
        <w:rPr>
          <w:spacing w:val="57"/>
          <w:highlight w:val="none"/>
        </w:rPr>
        <w:t>工</w:t>
      </w:r>
      <w:r>
        <w:rPr>
          <w:spacing w:val="55"/>
          <w:highlight w:val="none"/>
        </w:rPr>
        <w:t>数</w:t>
      </w:r>
      <w:r>
        <w:rPr>
          <w:spacing w:val="57"/>
          <w:highlight w:val="none"/>
        </w:rPr>
        <w:t>量</w:t>
      </w:r>
      <w:r>
        <w:rPr>
          <w:highlight w:val="none"/>
        </w:rPr>
        <w:t>为</w:t>
      </w:r>
      <w:r>
        <w:rPr>
          <w:highlight w:val="none"/>
          <w:u w:val="single"/>
        </w:rPr>
        <w:t xml:space="preserve"> </w:t>
      </w:r>
      <w:r>
        <w:rPr>
          <w:highlight w:val="none"/>
          <w:u w:val="single"/>
        </w:rPr>
        <w:tab/>
      </w:r>
      <w:r>
        <w:rPr>
          <w:highlight w:val="none"/>
        </w:rPr>
        <w:t>，</w:t>
      </w:r>
      <w:r>
        <w:rPr>
          <w:spacing w:val="-63"/>
          <w:highlight w:val="none"/>
        </w:rPr>
        <w:t xml:space="preserve"> </w:t>
      </w:r>
      <w:r>
        <w:rPr>
          <w:spacing w:val="55"/>
          <w:highlight w:val="none"/>
        </w:rPr>
        <w:t>其</w:t>
      </w:r>
      <w:r>
        <w:rPr>
          <w:spacing w:val="57"/>
          <w:highlight w:val="none"/>
        </w:rPr>
        <w:t>中</w:t>
      </w:r>
      <w:r>
        <w:rPr>
          <w:spacing w:val="55"/>
          <w:highlight w:val="none"/>
        </w:rPr>
        <w:t>与</w:t>
      </w:r>
      <w:r>
        <w:rPr>
          <w:spacing w:val="57"/>
          <w:highlight w:val="none"/>
        </w:rPr>
        <w:t>履行</w:t>
      </w:r>
      <w:r>
        <w:rPr>
          <w:spacing w:val="55"/>
          <w:highlight w:val="none"/>
        </w:rPr>
        <w:t>本</w:t>
      </w:r>
      <w:r>
        <w:rPr>
          <w:spacing w:val="57"/>
          <w:highlight w:val="none"/>
        </w:rPr>
        <w:t>合</w:t>
      </w:r>
      <w:r>
        <w:rPr>
          <w:spacing w:val="55"/>
          <w:highlight w:val="none"/>
        </w:rPr>
        <w:t>同</w:t>
      </w:r>
      <w:r>
        <w:rPr>
          <w:spacing w:val="57"/>
          <w:highlight w:val="none"/>
        </w:rPr>
        <w:t>相关</w:t>
      </w:r>
      <w:r>
        <w:rPr>
          <w:spacing w:val="55"/>
          <w:highlight w:val="none"/>
        </w:rPr>
        <w:t>的</w:t>
      </w:r>
      <w:r>
        <w:rPr>
          <w:spacing w:val="57"/>
          <w:highlight w:val="none"/>
        </w:rPr>
        <w:t>专业</w:t>
      </w:r>
      <w:r>
        <w:rPr>
          <w:spacing w:val="55"/>
          <w:highlight w:val="none"/>
        </w:rPr>
        <w:t>技</w:t>
      </w:r>
      <w:r>
        <w:rPr>
          <w:spacing w:val="57"/>
          <w:highlight w:val="none"/>
        </w:rPr>
        <w:t>术</w:t>
      </w:r>
      <w:r>
        <w:rPr>
          <w:spacing w:val="55"/>
          <w:highlight w:val="none"/>
        </w:rPr>
        <w:t>人</w:t>
      </w:r>
      <w:r>
        <w:rPr>
          <w:spacing w:val="57"/>
          <w:highlight w:val="none"/>
        </w:rPr>
        <w:t>员</w:t>
      </w:r>
      <w:r>
        <w:rPr>
          <w:highlight w:val="none"/>
        </w:rPr>
        <w:t>有</w:t>
      </w:r>
    </w:p>
    <w:p w14:paraId="5971B9E7">
      <w:pPr>
        <w:pStyle w:val="16"/>
        <w:tabs>
          <w:tab w:val="left" w:pos="2487"/>
        </w:tabs>
        <w:spacing w:line="484" w:lineRule="auto"/>
        <w:ind w:left="553" w:right="558"/>
        <w:jc w:val="both"/>
        <w:rPr>
          <w:highlight w:val="none"/>
        </w:rPr>
      </w:pPr>
      <w:r>
        <w:rPr>
          <w:spacing w:val="9"/>
          <w:highlight w:val="none"/>
        </w:rPr>
        <w:t>（</w:t>
      </w:r>
      <w:r>
        <w:rPr>
          <w:spacing w:val="9"/>
          <w:highlight w:val="none"/>
          <w:u w:val="single"/>
        </w:rPr>
        <w:t xml:space="preserve"> </w:t>
      </w:r>
      <w:r>
        <w:rPr>
          <w:spacing w:val="9"/>
          <w:highlight w:val="none"/>
          <w:u w:val="single"/>
        </w:rPr>
        <w:tab/>
      </w:r>
      <w:r>
        <w:rPr>
          <w:spacing w:val="8"/>
          <w:highlight w:val="none"/>
          <w:u w:val="single"/>
        </w:rPr>
        <w:t xml:space="preserve">专业能力、数量       </w:t>
      </w:r>
      <w:r>
        <w:rPr>
          <w:spacing w:val="9"/>
          <w:highlight w:val="none"/>
        </w:rPr>
        <w:t>），</w:t>
      </w:r>
      <w:r>
        <w:rPr>
          <w:spacing w:val="8"/>
          <w:highlight w:val="none"/>
        </w:rPr>
        <w:t>本公司郑重承诺，具有履行本合同</w:t>
      </w:r>
      <w:r>
        <w:rPr>
          <w:spacing w:val="6"/>
          <w:highlight w:val="none"/>
        </w:rPr>
        <w:t>所必需的设备和专业技术能力。</w:t>
      </w:r>
    </w:p>
    <w:p w14:paraId="416BCA0E">
      <w:pPr>
        <w:pStyle w:val="16"/>
        <w:spacing w:before="8"/>
        <w:rPr>
          <w:sz w:val="32"/>
          <w:highlight w:val="none"/>
        </w:rPr>
      </w:pPr>
    </w:p>
    <w:p w14:paraId="57AB3D22">
      <w:pPr>
        <w:pStyle w:val="16"/>
        <w:tabs>
          <w:tab w:val="left" w:pos="7832"/>
          <w:tab w:val="left" w:pos="8072"/>
        </w:tabs>
        <w:spacing w:line="364" w:lineRule="auto"/>
        <w:ind w:left="1592" w:right="551" w:firstLine="2400"/>
        <w:rPr>
          <w:highlight w:val="none"/>
        </w:rPr>
      </w:pPr>
      <w:r>
        <w:rPr>
          <w:highlight w:val="none"/>
        </w:rPr>
        <w:t>投标人：</w:t>
      </w:r>
      <w:r>
        <w:rPr>
          <w:highlight w:val="none"/>
          <w:u w:val="single"/>
        </w:rPr>
        <w:t xml:space="preserve"> </w:t>
      </w:r>
      <w:r>
        <w:rPr>
          <w:highlight w:val="none"/>
          <w:u w:val="single"/>
        </w:rPr>
        <w:tab/>
      </w:r>
      <w:r>
        <w:rPr>
          <w:highlight w:val="none"/>
          <w:u w:val="single"/>
        </w:rPr>
        <w:tab/>
      </w:r>
      <w:r>
        <w:rPr>
          <w:highlight w:val="none"/>
        </w:rPr>
        <w:t>（盖单位章</w:t>
      </w:r>
      <w:r>
        <w:rPr>
          <w:spacing w:val="-17"/>
          <w:highlight w:val="none"/>
        </w:rPr>
        <w:t xml:space="preserve">） </w:t>
      </w:r>
      <w:r>
        <w:rPr>
          <w:highlight w:val="none"/>
        </w:rPr>
        <w:t>法定代表人或其授权委托人：</w:t>
      </w:r>
      <w:r>
        <w:rPr>
          <w:highlight w:val="none"/>
          <w:u w:val="single"/>
        </w:rPr>
        <w:t xml:space="preserve"> </w:t>
      </w:r>
      <w:r>
        <w:rPr>
          <w:highlight w:val="none"/>
          <w:u w:val="single"/>
        </w:rPr>
        <w:tab/>
      </w:r>
      <w:r>
        <w:rPr>
          <w:highlight w:val="none"/>
        </w:rPr>
        <w:t>（签字或盖章</w:t>
      </w:r>
      <w:r>
        <w:rPr>
          <w:spacing w:val="-17"/>
          <w:highlight w:val="none"/>
        </w:rPr>
        <w:t>）</w:t>
      </w:r>
    </w:p>
    <w:p w14:paraId="21747B04">
      <w:pPr>
        <w:pStyle w:val="16"/>
        <w:tabs>
          <w:tab w:val="left" w:pos="360"/>
          <w:tab w:val="left" w:pos="960"/>
          <w:tab w:val="left" w:pos="1560"/>
        </w:tabs>
        <w:spacing w:line="306" w:lineRule="exact"/>
        <w:ind w:right="551"/>
        <w:jc w:val="right"/>
        <w:rPr>
          <w:highlight w:val="none"/>
        </w:rPr>
      </w:pPr>
      <w:r>
        <w:rPr>
          <w:rFonts w:ascii="Times New Roman" w:eastAsia="Times New Roman"/>
          <w:highlight w:val="none"/>
          <w:u w:val="single"/>
        </w:rPr>
        <w:t xml:space="preserve"> </w:t>
      </w:r>
      <w:r>
        <w:rPr>
          <w:rFonts w:ascii="Times New Roman" w:eastAsia="Times New Roman"/>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w:t>
      </w:r>
    </w:p>
    <w:p w14:paraId="19EBD689">
      <w:pPr>
        <w:spacing w:line="306" w:lineRule="exact"/>
        <w:jc w:val="right"/>
        <w:rPr>
          <w:highlight w:val="none"/>
        </w:rPr>
        <w:sectPr>
          <w:pgSz w:w="11910" w:h="16840"/>
          <w:pgMar w:top="1340" w:right="920" w:bottom="1420" w:left="920" w:header="0" w:footer="1229" w:gutter="0"/>
          <w:cols w:space="720" w:num="1"/>
        </w:sectPr>
      </w:pPr>
    </w:p>
    <w:p w14:paraId="1C81326F">
      <w:pPr>
        <w:pStyle w:val="8"/>
        <w:spacing w:before="54"/>
        <w:rPr>
          <w:highlight w:val="none"/>
        </w:rPr>
      </w:pPr>
      <w:r>
        <w:rPr>
          <w:highlight w:val="none"/>
        </w:rPr>
        <w:t>附 3 ：</w:t>
      </w:r>
    </w:p>
    <w:p w14:paraId="76E0C84E">
      <w:pPr>
        <w:pStyle w:val="16"/>
        <w:rPr>
          <w:b/>
          <w:sz w:val="20"/>
          <w:highlight w:val="none"/>
        </w:rPr>
      </w:pPr>
    </w:p>
    <w:p w14:paraId="33344BA1">
      <w:pPr>
        <w:pStyle w:val="16"/>
        <w:rPr>
          <w:b/>
          <w:sz w:val="20"/>
          <w:highlight w:val="none"/>
        </w:rPr>
      </w:pPr>
    </w:p>
    <w:p w14:paraId="08883A77">
      <w:pPr>
        <w:pStyle w:val="16"/>
        <w:rPr>
          <w:b/>
          <w:sz w:val="28"/>
          <w:highlight w:val="none"/>
        </w:rPr>
      </w:pPr>
    </w:p>
    <w:p w14:paraId="46B19595">
      <w:pPr>
        <w:pStyle w:val="8"/>
        <w:spacing w:before="67"/>
        <w:ind w:left="835" w:right="837"/>
        <w:jc w:val="center"/>
        <w:rPr>
          <w:highlight w:val="none"/>
        </w:rPr>
      </w:pPr>
      <w:bookmarkStart w:id="269" w:name="参加政府采购活动前三年内无重大违法记录的书面声明"/>
      <w:bookmarkEnd w:id="269"/>
      <w:r>
        <w:rPr>
          <w:highlight w:val="none"/>
        </w:rPr>
        <w:t>参加政府采购活动前三年内无重大违法记录的书面声明</w:t>
      </w:r>
    </w:p>
    <w:p w14:paraId="695D13E3">
      <w:pPr>
        <w:pStyle w:val="16"/>
        <w:rPr>
          <w:b/>
          <w:highlight w:val="none"/>
        </w:rPr>
      </w:pPr>
    </w:p>
    <w:p w14:paraId="0F3DBDAB">
      <w:pPr>
        <w:pStyle w:val="16"/>
        <w:rPr>
          <w:b/>
          <w:highlight w:val="none"/>
        </w:rPr>
      </w:pPr>
    </w:p>
    <w:p w14:paraId="1BCE3BF1">
      <w:pPr>
        <w:pStyle w:val="16"/>
        <w:rPr>
          <w:b/>
          <w:highlight w:val="none"/>
        </w:rPr>
      </w:pPr>
    </w:p>
    <w:p w14:paraId="0048A68B">
      <w:pPr>
        <w:pStyle w:val="16"/>
        <w:tabs>
          <w:tab w:val="left" w:pos="1194"/>
          <w:tab w:val="left" w:pos="3440"/>
        </w:tabs>
        <w:spacing w:before="174"/>
        <w:ind w:left="553"/>
        <w:rPr>
          <w:highlight w:val="none"/>
        </w:rPr>
      </w:pPr>
      <w:r>
        <w:rPr>
          <w:rFonts w:ascii="Times New Roman" w:eastAsia="Times New Roman"/>
          <w:highlight w:val="none"/>
          <w:u w:val="single"/>
        </w:rPr>
        <w:t xml:space="preserve"> </w:t>
      </w:r>
      <w:r>
        <w:rPr>
          <w:rFonts w:ascii="Times New Roman" w:eastAsia="Times New Roman"/>
          <w:highlight w:val="none"/>
          <w:u w:val="single"/>
        </w:rPr>
        <w:tab/>
      </w:r>
      <w:r>
        <w:rPr>
          <w:spacing w:val="7"/>
          <w:highlight w:val="none"/>
          <w:u w:val="single"/>
        </w:rPr>
        <w:t>（</w:t>
      </w:r>
      <w:r>
        <w:rPr>
          <w:rFonts w:hint="eastAsia"/>
          <w:spacing w:val="9"/>
          <w:highlight w:val="none"/>
          <w:u w:val="single"/>
          <w:lang w:eastAsia="zh-CN"/>
        </w:rPr>
        <w:t>招标人</w:t>
      </w:r>
      <w:r>
        <w:rPr>
          <w:spacing w:val="9"/>
          <w:highlight w:val="none"/>
          <w:u w:val="single"/>
        </w:rPr>
        <w:t>名</w:t>
      </w:r>
      <w:r>
        <w:rPr>
          <w:spacing w:val="7"/>
          <w:highlight w:val="none"/>
          <w:u w:val="single"/>
        </w:rPr>
        <w:t>称</w:t>
      </w:r>
      <w:r>
        <w:rPr>
          <w:highlight w:val="none"/>
          <w:u w:val="single"/>
        </w:rPr>
        <w:t>）</w:t>
      </w:r>
      <w:r>
        <w:rPr>
          <w:highlight w:val="none"/>
          <w:u w:val="single"/>
        </w:rPr>
        <w:tab/>
      </w:r>
      <w:r>
        <w:rPr>
          <w:highlight w:val="none"/>
          <w:u w:val="single"/>
        </w:rPr>
        <w:t>：</w:t>
      </w:r>
    </w:p>
    <w:p w14:paraId="245C20B3">
      <w:pPr>
        <w:pStyle w:val="16"/>
        <w:rPr>
          <w:sz w:val="20"/>
          <w:highlight w:val="none"/>
        </w:rPr>
      </w:pPr>
    </w:p>
    <w:p w14:paraId="0F597CF5">
      <w:pPr>
        <w:pStyle w:val="16"/>
        <w:rPr>
          <w:sz w:val="20"/>
          <w:highlight w:val="none"/>
        </w:rPr>
      </w:pPr>
    </w:p>
    <w:p w14:paraId="3E03194C">
      <w:pPr>
        <w:pStyle w:val="16"/>
        <w:spacing w:before="8"/>
        <w:rPr>
          <w:sz w:val="27"/>
          <w:highlight w:val="none"/>
        </w:rPr>
      </w:pPr>
    </w:p>
    <w:p w14:paraId="78057795">
      <w:pPr>
        <w:pStyle w:val="16"/>
        <w:tabs>
          <w:tab w:val="left" w:pos="3320"/>
        </w:tabs>
        <w:spacing w:before="74" w:line="487" w:lineRule="auto"/>
        <w:ind w:left="553" w:right="553" w:firstLine="480"/>
        <w:jc w:val="both"/>
        <w:rPr>
          <w:highlight w:val="none"/>
        </w:rPr>
      </w:pPr>
      <w:r>
        <w:rPr>
          <w:highlight w:val="none"/>
        </w:rPr>
        <w:t>我方</w:t>
      </w:r>
      <w:r>
        <w:rPr>
          <w:highlight w:val="none"/>
          <w:u w:val="single"/>
        </w:rPr>
        <w:t xml:space="preserve"> </w:t>
      </w:r>
      <w:r>
        <w:rPr>
          <w:highlight w:val="none"/>
          <w:u w:val="single"/>
        </w:rPr>
        <w:tab/>
      </w:r>
      <w:r>
        <w:rPr>
          <w:highlight w:val="none"/>
        </w:rPr>
        <w:t>（</w:t>
      </w:r>
      <w:r>
        <w:rPr>
          <w:rFonts w:hint="eastAsia"/>
          <w:highlight w:val="none"/>
          <w:lang w:eastAsia="zh-CN"/>
        </w:rPr>
        <w:t>投标人</w:t>
      </w:r>
      <w:r>
        <w:rPr>
          <w:highlight w:val="none"/>
        </w:rPr>
        <w:t>名称）郑重</w:t>
      </w:r>
      <w:r>
        <w:rPr>
          <w:spacing w:val="4"/>
          <w:highlight w:val="none"/>
        </w:rPr>
        <w:t>声</w:t>
      </w:r>
      <w:r>
        <w:rPr>
          <w:highlight w:val="none"/>
        </w:rPr>
        <w:t>明在参加本</w:t>
      </w:r>
      <w:r>
        <w:rPr>
          <w:spacing w:val="4"/>
          <w:highlight w:val="none"/>
        </w:rPr>
        <w:t>次</w:t>
      </w:r>
      <w:r>
        <w:rPr>
          <w:highlight w:val="none"/>
        </w:rPr>
        <w:t>政府采购活</w:t>
      </w:r>
      <w:r>
        <w:rPr>
          <w:spacing w:val="4"/>
          <w:highlight w:val="none"/>
        </w:rPr>
        <w:t>动</w:t>
      </w:r>
      <w:r>
        <w:rPr>
          <w:highlight w:val="none"/>
        </w:rPr>
        <w:t>前3年内的经营活动没有重大违法记录。如有不实，我方将无条件地退出本项目的采购活动， 并遵照《政府采购法》有关"提供虚假材料的规定"接受处罚。</w:t>
      </w:r>
    </w:p>
    <w:p w14:paraId="2AA158A7">
      <w:pPr>
        <w:pStyle w:val="16"/>
        <w:spacing w:line="307" w:lineRule="exact"/>
        <w:ind w:left="1153"/>
        <w:rPr>
          <w:highlight w:val="none"/>
        </w:rPr>
      </w:pPr>
      <w:r>
        <w:rPr>
          <w:highlight w:val="none"/>
        </w:rPr>
        <w:t>特此声明。</w:t>
      </w:r>
    </w:p>
    <w:p w14:paraId="26046B24">
      <w:pPr>
        <w:pStyle w:val="16"/>
        <w:rPr>
          <w:highlight w:val="none"/>
        </w:rPr>
      </w:pPr>
    </w:p>
    <w:p w14:paraId="0D4B2CB0">
      <w:pPr>
        <w:pStyle w:val="16"/>
        <w:rPr>
          <w:highlight w:val="none"/>
        </w:rPr>
      </w:pPr>
    </w:p>
    <w:p w14:paraId="143E58CB">
      <w:pPr>
        <w:pStyle w:val="16"/>
        <w:rPr>
          <w:highlight w:val="none"/>
        </w:rPr>
      </w:pPr>
    </w:p>
    <w:p w14:paraId="69D83E66">
      <w:pPr>
        <w:pStyle w:val="16"/>
        <w:rPr>
          <w:highlight w:val="none"/>
        </w:rPr>
      </w:pPr>
    </w:p>
    <w:p w14:paraId="11F87D5F">
      <w:pPr>
        <w:pStyle w:val="16"/>
        <w:rPr>
          <w:highlight w:val="none"/>
        </w:rPr>
      </w:pPr>
    </w:p>
    <w:p w14:paraId="79E31AD5">
      <w:pPr>
        <w:pStyle w:val="16"/>
        <w:rPr>
          <w:highlight w:val="none"/>
        </w:rPr>
      </w:pPr>
    </w:p>
    <w:p w14:paraId="15554878">
      <w:pPr>
        <w:pStyle w:val="16"/>
        <w:spacing w:before="11"/>
        <w:rPr>
          <w:sz w:val="22"/>
          <w:highlight w:val="none"/>
        </w:rPr>
      </w:pPr>
    </w:p>
    <w:p w14:paraId="450EC17D">
      <w:pPr>
        <w:pStyle w:val="16"/>
        <w:tabs>
          <w:tab w:val="left" w:pos="7832"/>
          <w:tab w:val="left" w:pos="8072"/>
        </w:tabs>
        <w:spacing w:line="364" w:lineRule="auto"/>
        <w:ind w:left="1592" w:right="551" w:firstLine="2400"/>
        <w:rPr>
          <w:highlight w:val="none"/>
        </w:rPr>
      </w:pPr>
      <w:r>
        <w:rPr>
          <w:highlight w:val="none"/>
        </w:rPr>
        <w:t>投标人：</w:t>
      </w:r>
      <w:r>
        <w:rPr>
          <w:highlight w:val="none"/>
          <w:u w:val="single"/>
        </w:rPr>
        <w:t xml:space="preserve"> </w:t>
      </w:r>
      <w:r>
        <w:rPr>
          <w:highlight w:val="none"/>
          <w:u w:val="single"/>
        </w:rPr>
        <w:tab/>
      </w:r>
      <w:r>
        <w:rPr>
          <w:highlight w:val="none"/>
          <w:u w:val="single"/>
        </w:rPr>
        <w:tab/>
      </w:r>
      <w:r>
        <w:rPr>
          <w:highlight w:val="none"/>
        </w:rPr>
        <w:t>（盖单位章</w:t>
      </w:r>
      <w:r>
        <w:rPr>
          <w:spacing w:val="-17"/>
          <w:highlight w:val="none"/>
        </w:rPr>
        <w:t xml:space="preserve">） </w:t>
      </w:r>
      <w:r>
        <w:rPr>
          <w:highlight w:val="none"/>
        </w:rPr>
        <w:t>法定代表人或其授权委托人：</w:t>
      </w:r>
      <w:r>
        <w:rPr>
          <w:highlight w:val="none"/>
          <w:u w:val="single"/>
        </w:rPr>
        <w:t xml:space="preserve"> </w:t>
      </w:r>
      <w:r>
        <w:rPr>
          <w:highlight w:val="none"/>
          <w:u w:val="single"/>
        </w:rPr>
        <w:tab/>
      </w:r>
      <w:r>
        <w:rPr>
          <w:highlight w:val="none"/>
        </w:rPr>
        <w:t>（签字或盖章</w:t>
      </w:r>
      <w:r>
        <w:rPr>
          <w:spacing w:val="-17"/>
          <w:highlight w:val="none"/>
        </w:rPr>
        <w:t>）</w:t>
      </w:r>
    </w:p>
    <w:p w14:paraId="4F6F20C7">
      <w:pPr>
        <w:pStyle w:val="16"/>
        <w:tabs>
          <w:tab w:val="left" w:pos="360"/>
          <w:tab w:val="left" w:pos="960"/>
          <w:tab w:val="left" w:pos="1560"/>
        </w:tabs>
        <w:spacing w:line="306" w:lineRule="exact"/>
        <w:ind w:right="551"/>
        <w:jc w:val="right"/>
        <w:rPr>
          <w:highlight w:val="none"/>
        </w:rPr>
      </w:pPr>
      <w:r>
        <w:rPr>
          <w:rFonts w:ascii="Times New Roman" w:eastAsia="Times New Roman"/>
          <w:highlight w:val="none"/>
          <w:u w:val="single"/>
        </w:rPr>
        <w:t xml:space="preserve"> </w:t>
      </w:r>
      <w:r>
        <w:rPr>
          <w:rFonts w:ascii="Times New Roman" w:eastAsia="Times New Roman"/>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w:t>
      </w:r>
    </w:p>
    <w:p w14:paraId="717513E8">
      <w:pPr>
        <w:spacing w:line="306" w:lineRule="exact"/>
        <w:jc w:val="right"/>
        <w:rPr>
          <w:highlight w:val="none"/>
        </w:rPr>
        <w:sectPr>
          <w:pgSz w:w="11910" w:h="16840"/>
          <w:pgMar w:top="1340" w:right="920" w:bottom="1420" w:left="920" w:header="0" w:footer="1229" w:gutter="0"/>
          <w:cols w:space="720" w:num="1"/>
        </w:sectPr>
      </w:pPr>
    </w:p>
    <w:p w14:paraId="332926C5">
      <w:pPr>
        <w:pStyle w:val="8"/>
        <w:spacing w:before="54"/>
        <w:rPr>
          <w:highlight w:val="none"/>
        </w:rPr>
      </w:pPr>
      <w:r>
        <w:rPr>
          <w:highlight w:val="none"/>
        </w:rPr>
        <w:t>附 4：</w:t>
      </w:r>
    </w:p>
    <w:p w14:paraId="6F98B2E6">
      <w:pPr>
        <w:pStyle w:val="16"/>
        <w:rPr>
          <w:b/>
          <w:sz w:val="20"/>
          <w:highlight w:val="none"/>
        </w:rPr>
      </w:pPr>
    </w:p>
    <w:p w14:paraId="3F496A5F">
      <w:pPr>
        <w:pStyle w:val="16"/>
        <w:rPr>
          <w:b/>
          <w:sz w:val="20"/>
          <w:highlight w:val="none"/>
        </w:rPr>
      </w:pPr>
    </w:p>
    <w:p w14:paraId="3A4EA4E6">
      <w:pPr>
        <w:pStyle w:val="16"/>
        <w:rPr>
          <w:b/>
          <w:sz w:val="28"/>
          <w:highlight w:val="none"/>
        </w:rPr>
      </w:pPr>
    </w:p>
    <w:p w14:paraId="53096AD7">
      <w:pPr>
        <w:pStyle w:val="8"/>
        <w:spacing w:before="67"/>
        <w:ind w:left="836" w:right="836"/>
        <w:jc w:val="center"/>
        <w:rPr>
          <w:highlight w:val="none"/>
        </w:rPr>
      </w:pPr>
      <w:bookmarkStart w:id="270" w:name="企业关系关联承诺书"/>
      <w:bookmarkEnd w:id="270"/>
      <w:r>
        <w:rPr>
          <w:highlight w:val="none"/>
        </w:rPr>
        <w:t>企业关系关联承诺书</w:t>
      </w:r>
    </w:p>
    <w:p w14:paraId="3FCECFB5">
      <w:pPr>
        <w:pStyle w:val="16"/>
        <w:rPr>
          <w:b/>
          <w:highlight w:val="none"/>
        </w:rPr>
      </w:pPr>
    </w:p>
    <w:p w14:paraId="6AE3A58C">
      <w:pPr>
        <w:pStyle w:val="16"/>
        <w:rPr>
          <w:b/>
          <w:highlight w:val="none"/>
        </w:rPr>
      </w:pPr>
    </w:p>
    <w:p w14:paraId="1635CB7E">
      <w:pPr>
        <w:pStyle w:val="16"/>
        <w:rPr>
          <w:b/>
          <w:highlight w:val="none"/>
        </w:rPr>
      </w:pPr>
    </w:p>
    <w:p w14:paraId="2AFCECF0">
      <w:pPr>
        <w:pStyle w:val="16"/>
        <w:spacing w:before="1"/>
        <w:rPr>
          <w:b/>
          <w:sz w:val="29"/>
          <w:highlight w:val="none"/>
        </w:rPr>
      </w:pPr>
    </w:p>
    <w:p w14:paraId="6AAFCD27">
      <w:pPr>
        <w:pStyle w:val="16"/>
        <w:ind w:left="1033"/>
        <w:rPr>
          <w:highlight w:val="none"/>
        </w:rPr>
      </w:pPr>
      <w:r>
        <w:rPr>
          <w:highlight w:val="none"/>
        </w:rPr>
        <w:t>一、</w:t>
      </w:r>
      <w:r>
        <w:rPr>
          <w:rFonts w:hint="eastAsia"/>
          <w:highlight w:val="none"/>
          <w:lang w:eastAsia="zh-CN"/>
        </w:rPr>
        <w:t>投标人</w:t>
      </w:r>
      <w:r>
        <w:rPr>
          <w:highlight w:val="none"/>
        </w:rPr>
        <w:t>股东及股权证明(提供相关证明材料)。</w:t>
      </w:r>
    </w:p>
    <w:p w14:paraId="164149EA">
      <w:pPr>
        <w:pStyle w:val="16"/>
        <w:spacing w:before="161" w:line="364" w:lineRule="auto"/>
        <w:ind w:left="553" w:right="553" w:firstLine="480"/>
        <w:rPr>
          <w:highlight w:val="none"/>
        </w:rPr>
      </w:pPr>
      <w:r>
        <w:rPr>
          <w:highlight w:val="none"/>
        </w:rPr>
        <w:t>二、</w:t>
      </w:r>
      <w:r>
        <w:rPr>
          <w:rFonts w:hint="eastAsia"/>
          <w:highlight w:val="none"/>
          <w:lang w:eastAsia="zh-CN"/>
        </w:rPr>
        <w:t>投标人</w:t>
      </w:r>
      <w:r>
        <w:rPr>
          <w:highlight w:val="none"/>
        </w:rPr>
        <w:t>在本项目投标中，不存在与其它</w:t>
      </w:r>
      <w:r>
        <w:rPr>
          <w:rFonts w:hint="eastAsia"/>
          <w:highlight w:val="none"/>
          <w:lang w:eastAsia="zh-CN"/>
        </w:rPr>
        <w:t>投标人</w:t>
      </w:r>
      <w:r>
        <w:rPr>
          <w:highlight w:val="none"/>
        </w:rPr>
        <w:t>负责人为同一人，有控股、管理等关联关系承诺。</w:t>
      </w:r>
    </w:p>
    <w:p w14:paraId="5F7D7B82">
      <w:pPr>
        <w:pStyle w:val="70"/>
        <w:numPr>
          <w:ilvl w:val="1"/>
          <w:numId w:val="45"/>
        </w:numPr>
        <w:tabs>
          <w:tab w:val="left" w:pos="1275"/>
        </w:tabs>
        <w:spacing w:before="1"/>
        <w:ind w:hanging="242"/>
        <w:rPr>
          <w:sz w:val="24"/>
          <w:highlight w:val="none"/>
        </w:rPr>
      </w:pPr>
      <w:r>
        <w:rPr>
          <w:sz w:val="24"/>
          <w:highlight w:val="none"/>
        </w:rPr>
        <w:t>管理关系说明：</w:t>
      </w:r>
    </w:p>
    <w:p w14:paraId="04AD25E5">
      <w:pPr>
        <w:pStyle w:val="16"/>
        <w:tabs>
          <w:tab w:val="left" w:pos="5052"/>
          <w:tab w:val="left" w:pos="6073"/>
        </w:tabs>
        <w:spacing w:before="161" w:line="364" w:lineRule="auto"/>
        <w:ind w:left="1033" w:right="2550"/>
        <w:rPr>
          <w:highlight w:val="none"/>
        </w:rPr>
      </w:pPr>
      <w:r>
        <w:rPr>
          <w:highlight w:val="none"/>
        </w:rPr>
        <w:t>我单位管理的具有独立法人的下属单位：</w:t>
      </w:r>
      <w:r>
        <w:rPr>
          <w:highlight w:val="none"/>
          <w:u w:val="single"/>
        </w:rPr>
        <w:t xml:space="preserve"> </w:t>
      </w:r>
      <w:r>
        <w:rPr>
          <w:highlight w:val="none"/>
          <w:u w:val="single"/>
        </w:rPr>
        <w:tab/>
      </w:r>
      <w:r>
        <w:rPr>
          <w:highlight w:val="none"/>
        </w:rPr>
        <w:t>(没有填无)</w:t>
      </w:r>
      <w:r>
        <w:rPr>
          <w:spacing w:val="-17"/>
          <w:highlight w:val="none"/>
        </w:rPr>
        <w:t>。</w:t>
      </w:r>
      <w:r>
        <w:rPr>
          <w:highlight w:val="none"/>
        </w:rPr>
        <w:t>我单位的上级管理单位</w:t>
      </w:r>
      <w:r>
        <w:rPr>
          <w:highlight w:val="none"/>
          <w:u w:val="single"/>
        </w:rPr>
        <w:t xml:space="preserve"> </w:t>
      </w:r>
      <w:r>
        <w:rPr>
          <w:highlight w:val="none"/>
          <w:u w:val="single"/>
        </w:rPr>
        <w:tab/>
      </w:r>
      <w:r>
        <w:rPr>
          <w:highlight w:val="none"/>
        </w:rPr>
        <w:t>(没有填无)。</w:t>
      </w:r>
    </w:p>
    <w:p w14:paraId="130BE00C">
      <w:pPr>
        <w:pStyle w:val="70"/>
        <w:numPr>
          <w:ilvl w:val="1"/>
          <w:numId w:val="45"/>
        </w:numPr>
        <w:tabs>
          <w:tab w:val="left" w:pos="1275"/>
        </w:tabs>
        <w:spacing w:before="1"/>
        <w:ind w:hanging="242"/>
        <w:rPr>
          <w:sz w:val="24"/>
          <w:highlight w:val="none"/>
        </w:rPr>
      </w:pPr>
      <w:r>
        <w:rPr>
          <w:sz w:val="24"/>
          <w:highlight w:val="none"/>
        </w:rPr>
        <w:t>股权关系说明：</w:t>
      </w:r>
    </w:p>
    <w:p w14:paraId="3D31D3D7">
      <w:pPr>
        <w:pStyle w:val="16"/>
        <w:tabs>
          <w:tab w:val="left" w:pos="4153"/>
        </w:tabs>
        <w:spacing w:before="160"/>
        <w:ind w:left="1033"/>
        <w:rPr>
          <w:highlight w:val="none"/>
        </w:rPr>
      </w:pPr>
      <w:r>
        <w:rPr>
          <w:highlight w:val="none"/>
        </w:rPr>
        <w:t>我单位控股的单位</w:t>
      </w:r>
      <w:r>
        <w:rPr>
          <w:highlight w:val="none"/>
          <w:u w:val="single"/>
        </w:rPr>
        <w:t xml:space="preserve"> </w:t>
      </w:r>
      <w:r>
        <w:rPr>
          <w:highlight w:val="none"/>
          <w:u w:val="single"/>
        </w:rPr>
        <w:tab/>
      </w:r>
      <w:r>
        <w:rPr>
          <w:highlight w:val="none"/>
        </w:rPr>
        <w:t>(没有填无) 。</w:t>
      </w:r>
    </w:p>
    <w:p w14:paraId="76A62B46">
      <w:pPr>
        <w:pStyle w:val="16"/>
        <w:tabs>
          <w:tab w:val="left" w:pos="2473"/>
          <w:tab w:val="left" w:pos="3732"/>
          <w:tab w:val="left" w:pos="4273"/>
          <w:tab w:val="left" w:pos="6432"/>
        </w:tabs>
        <w:spacing w:before="161" w:line="364" w:lineRule="auto"/>
        <w:ind w:left="1033" w:right="2430"/>
        <w:rPr>
          <w:highlight w:val="none"/>
        </w:rPr>
      </w:pPr>
      <w:r>
        <w:rPr>
          <w:highlight w:val="none"/>
        </w:rPr>
        <w:t>我单位</w:t>
      </w:r>
      <w:r>
        <w:rPr>
          <w:highlight w:val="none"/>
          <w:u w:val="single"/>
        </w:rPr>
        <w:t xml:space="preserve"> </w:t>
      </w:r>
      <w:r>
        <w:rPr>
          <w:highlight w:val="none"/>
          <w:u w:val="single"/>
        </w:rPr>
        <w:tab/>
      </w:r>
      <w:r>
        <w:rPr>
          <w:highlight w:val="none"/>
        </w:rPr>
        <w:t>(没有填无)被</w:t>
      </w:r>
      <w:r>
        <w:rPr>
          <w:highlight w:val="none"/>
          <w:u w:val="single"/>
        </w:rPr>
        <w:t xml:space="preserve"> </w:t>
      </w:r>
      <w:r>
        <w:rPr>
          <w:highlight w:val="none"/>
          <w:u w:val="single"/>
        </w:rPr>
        <w:tab/>
      </w:r>
      <w:r>
        <w:rPr>
          <w:highlight w:val="none"/>
          <w:u w:val="single"/>
        </w:rPr>
        <w:t>（控股单位全称）</w:t>
      </w:r>
      <w:r>
        <w:rPr>
          <w:highlight w:val="none"/>
          <w:u w:val="single"/>
        </w:rPr>
        <w:tab/>
      </w:r>
      <w:r>
        <w:rPr>
          <w:highlight w:val="none"/>
        </w:rPr>
        <w:t>单位控股</w:t>
      </w:r>
      <w:r>
        <w:rPr>
          <w:spacing w:val="-16"/>
          <w:highlight w:val="none"/>
        </w:rPr>
        <w:t>。</w:t>
      </w:r>
      <w:r>
        <w:rPr>
          <w:highlight w:val="none"/>
        </w:rPr>
        <w:t>3.单位负责人：</w:t>
      </w:r>
      <w:r>
        <w:rPr>
          <w:highlight w:val="none"/>
          <w:u w:val="single"/>
        </w:rPr>
        <w:t xml:space="preserve"> </w:t>
      </w:r>
      <w:r>
        <w:rPr>
          <w:highlight w:val="none"/>
          <w:u w:val="single"/>
        </w:rPr>
        <w:tab/>
      </w:r>
      <w:r>
        <w:rPr>
          <w:highlight w:val="none"/>
        </w:rPr>
        <w:t>(没有填无)。</w:t>
      </w:r>
    </w:p>
    <w:p w14:paraId="484E120F">
      <w:pPr>
        <w:pStyle w:val="16"/>
        <w:tabs>
          <w:tab w:val="left" w:pos="3464"/>
        </w:tabs>
        <w:spacing w:before="1" w:line="364" w:lineRule="auto"/>
        <w:ind w:left="553" w:right="551" w:firstLine="480"/>
        <w:rPr>
          <w:highlight w:val="none"/>
        </w:rPr>
      </w:pPr>
      <w:r>
        <w:rPr>
          <w:highlight w:val="none"/>
        </w:rPr>
        <w:t>三、我单位</w:t>
      </w:r>
      <w:r>
        <w:rPr>
          <w:highlight w:val="none"/>
          <w:u w:val="single"/>
        </w:rPr>
        <w:t xml:space="preserve"> </w:t>
      </w:r>
      <w:r>
        <w:rPr>
          <w:highlight w:val="none"/>
          <w:u w:val="single"/>
        </w:rPr>
        <w:tab/>
      </w:r>
      <w:r>
        <w:rPr>
          <w:highlight w:val="none"/>
        </w:rPr>
        <w:t>（是或否）为本项目提供过整体设计、规范编制或者项目管理、监理、检测等服务的</w:t>
      </w:r>
      <w:r>
        <w:rPr>
          <w:rFonts w:hint="eastAsia"/>
          <w:highlight w:val="none"/>
          <w:lang w:eastAsia="zh-CN"/>
        </w:rPr>
        <w:t>投标人</w:t>
      </w:r>
      <w:r>
        <w:rPr>
          <w:highlight w:val="none"/>
        </w:rPr>
        <w:t>。</w:t>
      </w:r>
    </w:p>
    <w:p w14:paraId="1956EBDE">
      <w:pPr>
        <w:pStyle w:val="16"/>
        <w:spacing w:before="1"/>
        <w:ind w:left="1033"/>
        <w:rPr>
          <w:highlight w:val="none"/>
        </w:rPr>
      </w:pPr>
      <w:r>
        <w:rPr>
          <w:highlight w:val="none"/>
        </w:rPr>
        <w:t>四、其他与本项目有关的利害关系说明。</w:t>
      </w:r>
    </w:p>
    <w:p w14:paraId="29944DB7">
      <w:pPr>
        <w:pStyle w:val="16"/>
        <w:spacing w:before="81"/>
        <w:ind w:left="1033"/>
        <w:rPr>
          <w:highlight w:val="none"/>
        </w:rPr>
      </w:pPr>
      <w:r>
        <w:rPr>
          <w:highlight w:val="none"/>
        </w:rPr>
        <w:t>我单位承诺以上说明真实有效，无虚假内容或隐瞒。</w:t>
      </w:r>
    </w:p>
    <w:p w14:paraId="18FD7E60">
      <w:pPr>
        <w:pStyle w:val="16"/>
        <w:rPr>
          <w:highlight w:val="none"/>
        </w:rPr>
      </w:pPr>
    </w:p>
    <w:p w14:paraId="40047001">
      <w:pPr>
        <w:pStyle w:val="16"/>
        <w:rPr>
          <w:highlight w:val="none"/>
        </w:rPr>
      </w:pPr>
    </w:p>
    <w:p w14:paraId="28E27AAA">
      <w:pPr>
        <w:pStyle w:val="16"/>
        <w:rPr>
          <w:highlight w:val="none"/>
        </w:rPr>
      </w:pPr>
    </w:p>
    <w:p w14:paraId="194F954F">
      <w:pPr>
        <w:pStyle w:val="16"/>
        <w:spacing w:before="10"/>
        <w:rPr>
          <w:sz w:val="25"/>
          <w:highlight w:val="none"/>
        </w:rPr>
      </w:pPr>
    </w:p>
    <w:p w14:paraId="72E053FE">
      <w:pPr>
        <w:pStyle w:val="16"/>
        <w:tabs>
          <w:tab w:val="left" w:pos="7832"/>
          <w:tab w:val="left" w:pos="8072"/>
        </w:tabs>
        <w:spacing w:line="362" w:lineRule="auto"/>
        <w:ind w:left="1592" w:right="551" w:firstLine="2400"/>
        <w:rPr>
          <w:highlight w:val="none"/>
        </w:rPr>
      </w:pPr>
      <w:r>
        <w:rPr>
          <w:highlight w:val="none"/>
        </w:rPr>
        <w:t>投标人：</w:t>
      </w:r>
      <w:r>
        <w:rPr>
          <w:highlight w:val="none"/>
          <w:u w:val="single"/>
        </w:rPr>
        <w:t xml:space="preserve"> </w:t>
      </w:r>
      <w:r>
        <w:rPr>
          <w:highlight w:val="none"/>
          <w:u w:val="single"/>
        </w:rPr>
        <w:tab/>
      </w:r>
      <w:r>
        <w:rPr>
          <w:highlight w:val="none"/>
          <w:u w:val="single"/>
        </w:rPr>
        <w:tab/>
      </w:r>
      <w:r>
        <w:rPr>
          <w:highlight w:val="none"/>
        </w:rPr>
        <w:t>（盖单位章</w:t>
      </w:r>
      <w:r>
        <w:rPr>
          <w:spacing w:val="-17"/>
          <w:highlight w:val="none"/>
        </w:rPr>
        <w:t xml:space="preserve">） </w:t>
      </w:r>
      <w:r>
        <w:rPr>
          <w:highlight w:val="none"/>
        </w:rPr>
        <w:t>法定代表人或其授权委托人：</w:t>
      </w:r>
      <w:r>
        <w:rPr>
          <w:highlight w:val="none"/>
          <w:u w:val="single"/>
        </w:rPr>
        <w:t xml:space="preserve"> </w:t>
      </w:r>
      <w:r>
        <w:rPr>
          <w:highlight w:val="none"/>
          <w:u w:val="single"/>
        </w:rPr>
        <w:tab/>
      </w:r>
      <w:r>
        <w:rPr>
          <w:highlight w:val="none"/>
        </w:rPr>
        <w:t>（签字或盖章</w:t>
      </w:r>
      <w:r>
        <w:rPr>
          <w:spacing w:val="-17"/>
          <w:highlight w:val="none"/>
        </w:rPr>
        <w:t>）</w:t>
      </w:r>
    </w:p>
    <w:p w14:paraId="14021B1D">
      <w:pPr>
        <w:pStyle w:val="16"/>
        <w:tabs>
          <w:tab w:val="left" w:pos="360"/>
          <w:tab w:val="left" w:pos="960"/>
          <w:tab w:val="left" w:pos="1560"/>
        </w:tabs>
        <w:spacing w:before="5"/>
        <w:ind w:right="551"/>
        <w:jc w:val="right"/>
        <w:rPr>
          <w:highlight w:val="none"/>
        </w:rPr>
      </w:pPr>
      <w:r>
        <w:rPr>
          <w:rFonts w:ascii="Times New Roman" w:eastAsia="Times New Roman"/>
          <w:highlight w:val="none"/>
          <w:u w:val="single"/>
        </w:rPr>
        <w:t xml:space="preserve"> </w:t>
      </w:r>
      <w:r>
        <w:rPr>
          <w:rFonts w:ascii="Times New Roman" w:eastAsia="Times New Roman"/>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w:t>
      </w:r>
    </w:p>
    <w:p w14:paraId="4BEC8121">
      <w:pPr>
        <w:jc w:val="right"/>
        <w:rPr>
          <w:highlight w:val="none"/>
        </w:rPr>
        <w:sectPr>
          <w:footerReference r:id="rId11" w:type="default"/>
          <w:pgSz w:w="11910" w:h="16840"/>
          <w:pgMar w:top="1340" w:right="920" w:bottom="1420" w:left="920" w:header="0" w:footer="1229" w:gutter="0"/>
          <w:pgNumType w:start="90"/>
          <w:cols w:space="720" w:num="1"/>
        </w:sectPr>
      </w:pPr>
    </w:p>
    <w:p w14:paraId="398874DA">
      <w:pPr>
        <w:pStyle w:val="16"/>
        <w:spacing w:before="3"/>
        <w:rPr>
          <w:sz w:val="8"/>
          <w:highlight w:val="none"/>
        </w:rPr>
      </w:pPr>
    </w:p>
    <w:p w14:paraId="1A1D0C63">
      <w:pPr>
        <w:spacing w:before="49" w:line="324" w:lineRule="auto"/>
        <w:ind w:left="3767" w:right="1420" w:hanging="2348"/>
        <w:rPr>
          <w:b/>
          <w:sz w:val="36"/>
          <w:highlight w:val="none"/>
        </w:rPr>
      </w:pPr>
      <w:r>
        <w:rPr>
          <w:b/>
          <w:sz w:val="36"/>
          <w:highlight w:val="none"/>
        </w:rPr>
        <w:t>四、陕西省政府采购</w:t>
      </w:r>
      <w:r>
        <w:rPr>
          <w:rFonts w:hint="eastAsia"/>
          <w:b/>
          <w:sz w:val="36"/>
          <w:highlight w:val="none"/>
          <w:lang w:eastAsia="zh-CN"/>
        </w:rPr>
        <w:t>投标人</w:t>
      </w:r>
      <w:r>
        <w:rPr>
          <w:b/>
          <w:sz w:val="36"/>
          <w:highlight w:val="none"/>
        </w:rPr>
        <w:t>拒绝政府采购领域</w:t>
      </w:r>
      <w:bookmarkStart w:id="271" w:name="商业贿赂承诺书"/>
      <w:bookmarkEnd w:id="271"/>
      <w:r>
        <w:rPr>
          <w:b/>
          <w:sz w:val="36"/>
          <w:highlight w:val="none"/>
        </w:rPr>
        <w:t>商业贿赂承诺书</w:t>
      </w:r>
    </w:p>
    <w:p w14:paraId="74B86A5F">
      <w:pPr>
        <w:pStyle w:val="16"/>
        <w:spacing w:before="7"/>
        <w:rPr>
          <w:b/>
          <w:sz w:val="30"/>
          <w:highlight w:val="none"/>
        </w:rPr>
      </w:pPr>
    </w:p>
    <w:p w14:paraId="0F5568D3">
      <w:pPr>
        <w:pStyle w:val="16"/>
        <w:spacing w:line="362" w:lineRule="auto"/>
        <w:ind w:left="1033" w:right="431"/>
        <w:rPr>
          <w:highlight w:val="none"/>
        </w:rPr>
      </w:pPr>
      <w:r>
        <w:rPr>
          <w:spacing w:val="-6"/>
          <w:highlight w:val="none"/>
        </w:rPr>
        <w:t xml:space="preserve">为响应党中央、国务院关于治理采购领域商业贿赂行为的号召，我公司再次承诺： </w:t>
      </w:r>
      <w:r>
        <w:rPr>
          <w:highlight w:val="none"/>
        </w:rPr>
        <w:t>1、在参与采购活动中遵纪守法、诚信经营、公平竞标。</w:t>
      </w:r>
    </w:p>
    <w:p w14:paraId="63412BA2">
      <w:pPr>
        <w:pStyle w:val="16"/>
        <w:spacing w:before="5" w:line="362" w:lineRule="auto"/>
        <w:ind w:left="553" w:right="551" w:firstLine="480"/>
        <w:rPr>
          <w:highlight w:val="none"/>
        </w:rPr>
      </w:pPr>
      <w:r>
        <w:rPr>
          <w:highlight w:val="none"/>
        </w:rPr>
        <w:t>2</w:t>
      </w:r>
      <w:r>
        <w:rPr>
          <w:spacing w:val="-8"/>
          <w:highlight w:val="none"/>
        </w:rPr>
        <w:t>、不向</w:t>
      </w:r>
      <w:r>
        <w:rPr>
          <w:rFonts w:hint="eastAsia"/>
          <w:spacing w:val="-8"/>
          <w:highlight w:val="none"/>
          <w:lang w:eastAsia="zh-CN"/>
        </w:rPr>
        <w:t>招标人</w:t>
      </w:r>
      <w:r>
        <w:rPr>
          <w:spacing w:val="-8"/>
          <w:highlight w:val="none"/>
        </w:rPr>
        <w:t>、</w:t>
      </w:r>
      <w:r>
        <w:rPr>
          <w:rFonts w:hint="eastAsia"/>
          <w:spacing w:val="-8"/>
          <w:highlight w:val="none"/>
          <w:lang w:eastAsia="zh-CN"/>
        </w:rPr>
        <w:t>招标代理机构</w:t>
      </w:r>
      <w:r>
        <w:rPr>
          <w:spacing w:val="-8"/>
          <w:highlight w:val="none"/>
        </w:rPr>
        <w:t>和采购评审专家进行任何形式的商业贿赂以谋取成</w:t>
      </w:r>
      <w:r>
        <w:rPr>
          <w:highlight w:val="none"/>
        </w:rPr>
        <w:t>交交易机会。</w:t>
      </w:r>
    </w:p>
    <w:p w14:paraId="4D4F81B4">
      <w:pPr>
        <w:pStyle w:val="16"/>
        <w:spacing w:before="5" w:line="364" w:lineRule="auto"/>
        <w:ind w:left="553" w:right="551" w:firstLine="480"/>
        <w:rPr>
          <w:highlight w:val="none"/>
        </w:rPr>
      </w:pPr>
      <w:r>
        <w:rPr>
          <w:highlight w:val="none"/>
        </w:rPr>
        <w:t>3</w:t>
      </w:r>
      <w:r>
        <w:rPr>
          <w:spacing w:val="-8"/>
          <w:highlight w:val="none"/>
        </w:rPr>
        <w:t>、不向</w:t>
      </w:r>
      <w:r>
        <w:rPr>
          <w:rFonts w:hint="eastAsia"/>
          <w:spacing w:val="-8"/>
          <w:highlight w:val="none"/>
          <w:lang w:eastAsia="zh-CN"/>
        </w:rPr>
        <w:t>招标代理机构</w:t>
      </w:r>
      <w:r>
        <w:rPr>
          <w:spacing w:val="-8"/>
          <w:highlight w:val="none"/>
        </w:rPr>
        <w:t>和</w:t>
      </w:r>
      <w:r>
        <w:rPr>
          <w:rFonts w:hint="eastAsia"/>
          <w:spacing w:val="-8"/>
          <w:highlight w:val="none"/>
          <w:lang w:eastAsia="zh-CN"/>
        </w:rPr>
        <w:t>招标人</w:t>
      </w:r>
      <w:r>
        <w:rPr>
          <w:spacing w:val="-8"/>
          <w:highlight w:val="none"/>
        </w:rPr>
        <w:t>提供虚假资质文件或采用虚假应标方式参与采购市</w:t>
      </w:r>
      <w:r>
        <w:rPr>
          <w:highlight w:val="none"/>
        </w:rPr>
        <w:t>场竞争并谋取中标、成交。</w:t>
      </w:r>
    </w:p>
    <w:p w14:paraId="45D20CFA">
      <w:pPr>
        <w:pStyle w:val="16"/>
        <w:spacing w:line="306" w:lineRule="exact"/>
        <w:ind w:left="1033"/>
        <w:rPr>
          <w:highlight w:val="none"/>
        </w:rPr>
      </w:pPr>
      <w:r>
        <w:rPr>
          <w:highlight w:val="none"/>
        </w:rPr>
        <w:t>4、不采取“围标、陪标”等商业欺诈手段获取采购订单。</w:t>
      </w:r>
    </w:p>
    <w:p w14:paraId="31F0E5E9">
      <w:pPr>
        <w:pStyle w:val="16"/>
        <w:spacing w:before="161"/>
        <w:ind w:left="1033"/>
        <w:rPr>
          <w:highlight w:val="none"/>
        </w:rPr>
      </w:pPr>
      <w:r>
        <w:rPr>
          <w:highlight w:val="none"/>
        </w:rPr>
        <w:t>5、不采取不正当手段诋毁、排挤其他投标人。</w:t>
      </w:r>
    </w:p>
    <w:p w14:paraId="7AADAECA">
      <w:pPr>
        <w:pStyle w:val="16"/>
        <w:spacing w:before="158"/>
        <w:ind w:left="1033"/>
        <w:rPr>
          <w:highlight w:val="none"/>
        </w:rPr>
      </w:pPr>
      <w:r>
        <w:rPr>
          <w:highlight w:val="none"/>
        </w:rPr>
        <w:t>6、不在提供商品和服务时“偷梁换柱、以次充好”损害</w:t>
      </w:r>
      <w:r>
        <w:rPr>
          <w:rFonts w:hint="eastAsia"/>
          <w:highlight w:val="none"/>
          <w:lang w:eastAsia="zh-CN"/>
        </w:rPr>
        <w:t>招标人</w:t>
      </w:r>
      <w:r>
        <w:rPr>
          <w:highlight w:val="none"/>
        </w:rPr>
        <w:t>的合法权益。</w:t>
      </w:r>
    </w:p>
    <w:p w14:paraId="20538EFA">
      <w:pPr>
        <w:pStyle w:val="16"/>
        <w:spacing w:before="158" w:line="364" w:lineRule="auto"/>
        <w:ind w:left="553" w:right="551" w:firstLine="480"/>
        <w:rPr>
          <w:highlight w:val="none"/>
        </w:rPr>
      </w:pPr>
      <w:r>
        <w:rPr>
          <w:highlight w:val="none"/>
        </w:rPr>
        <w:t>7</w:t>
      </w:r>
      <w:r>
        <w:rPr>
          <w:spacing w:val="-8"/>
          <w:highlight w:val="none"/>
        </w:rPr>
        <w:t>、不与</w:t>
      </w:r>
      <w:r>
        <w:rPr>
          <w:rFonts w:hint="eastAsia"/>
          <w:spacing w:val="-8"/>
          <w:highlight w:val="none"/>
          <w:lang w:eastAsia="zh-CN"/>
        </w:rPr>
        <w:t>招标人</w:t>
      </w:r>
      <w:r>
        <w:rPr>
          <w:spacing w:val="-8"/>
          <w:highlight w:val="none"/>
        </w:rPr>
        <w:t>、</w:t>
      </w:r>
      <w:r>
        <w:rPr>
          <w:rFonts w:hint="eastAsia"/>
          <w:spacing w:val="-8"/>
          <w:highlight w:val="none"/>
          <w:lang w:eastAsia="zh-CN"/>
        </w:rPr>
        <w:t>招标代理机构</w:t>
      </w:r>
      <w:r>
        <w:rPr>
          <w:spacing w:val="-8"/>
          <w:highlight w:val="none"/>
        </w:rPr>
        <w:t>、采购评审专家或其他投标人恶意串通，进行质疑</w:t>
      </w:r>
      <w:r>
        <w:rPr>
          <w:highlight w:val="none"/>
        </w:rPr>
        <w:t>和投诉，维护采购市场秩序。</w:t>
      </w:r>
    </w:p>
    <w:p w14:paraId="2B7B9784">
      <w:pPr>
        <w:pStyle w:val="16"/>
        <w:spacing w:before="1" w:line="362" w:lineRule="auto"/>
        <w:ind w:left="553" w:right="551" w:firstLine="480"/>
        <w:rPr>
          <w:highlight w:val="none"/>
        </w:rPr>
      </w:pPr>
      <w:r>
        <w:rPr>
          <w:highlight w:val="none"/>
        </w:rPr>
        <w:t>8</w:t>
      </w:r>
      <w:r>
        <w:rPr>
          <w:spacing w:val="-7"/>
          <w:highlight w:val="none"/>
        </w:rPr>
        <w:t>、尊重和接受采购监督管理部门的监督和</w:t>
      </w:r>
      <w:r>
        <w:rPr>
          <w:rFonts w:hint="eastAsia"/>
          <w:spacing w:val="-7"/>
          <w:highlight w:val="none"/>
          <w:lang w:eastAsia="zh-CN"/>
        </w:rPr>
        <w:t>招标代理机构</w:t>
      </w:r>
      <w:r>
        <w:rPr>
          <w:spacing w:val="-7"/>
          <w:highlight w:val="none"/>
        </w:rPr>
        <w:t>招标采购要求，承担因违</w:t>
      </w:r>
      <w:r>
        <w:rPr>
          <w:highlight w:val="none"/>
        </w:rPr>
        <w:t>约行为给</w:t>
      </w:r>
      <w:r>
        <w:rPr>
          <w:rFonts w:hint="eastAsia"/>
          <w:highlight w:val="none"/>
          <w:lang w:eastAsia="zh-CN"/>
        </w:rPr>
        <w:t>招标人</w:t>
      </w:r>
      <w:r>
        <w:rPr>
          <w:highlight w:val="none"/>
        </w:rPr>
        <w:t>造成的损失。</w:t>
      </w:r>
    </w:p>
    <w:p w14:paraId="4CFBC79F">
      <w:pPr>
        <w:pStyle w:val="16"/>
        <w:spacing w:before="5"/>
        <w:ind w:left="1033"/>
        <w:rPr>
          <w:highlight w:val="none"/>
        </w:rPr>
      </w:pPr>
      <w:r>
        <w:rPr>
          <w:highlight w:val="none"/>
        </w:rPr>
        <w:t>9、不发生其他有悖于政府采购公开、公平、公正和诚信原则的行为。</w:t>
      </w:r>
    </w:p>
    <w:p w14:paraId="4434FDB8">
      <w:pPr>
        <w:pStyle w:val="16"/>
        <w:rPr>
          <w:highlight w:val="none"/>
        </w:rPr>
      </w:pPr>
    </w:p>
    <w:p w14:paraId="0D12F255">
      <w:pPr>
        <w:pStyle w:val="16"/>
        <w:spacing w:before="11"/>
        <w:rPr>
          <w:highlight w:val="none"/>
        </w:rPr>
      </w:pPr>
    </w:p>
    <w:p w14:paraId="447E07A0">
      <w:pPr>
        <w:pStyle w:val="16"/>
        <w:spacing w:line="364" w:lineRule="auto"/>
        <w:ind w:left="1036" w:right="6869"/>
        <w:jc w:val="both"/>
        <w:rPr>
          <w:highlight w:val="none"/>
        </w:rPr>
      </w:pPr>
      <w:r>
        <w:rPr>
          <w:highlight w:val="none"/>
        </w:rPr>
        <w:t>承诺单位：（盖章</w:t>
      </w:r>
      <w:r>
        <w:rPr>
          <w:spacing w:val="-19"/>
          <w:highlight w:val="none"/>
        </w:rPr>
        <w:t xml:space="preserve">） </w:t>
      </w:r>
      <w:r>
        <w:rPr>
          <w:highlight w:val="none"/>
        </w:rPr>
        <w:t>全权代表：（签字</w:t>
      </w:r>
      <w:r>
        <w:rPr>
          <w:spacing w:val="-19"/>
          <w:highlight w:val="none"/>
        </w:rPr>
        <w:t xml:space="preserve">） </w:t>
      </w:r>
      <w:r>
        <w:rPr>
          <w:highlight w:val="none"/>
        </w:rPr>
        <w:t>地址：邮编：</w:t>
      </w:r>
    </w:p>
    <w:p w14:paraId="4C9B6239">
      <w:pPr>
        <w:pStyle w:val="16"/>
        <w:spacing w:line="304" w:lineRule="exact"/>
        <w:ind w:left="1036"/>
        <w:rPr>
          <w:highlight w:val="none"/>
        </w:rPr>
      </w:pPr>
      <w:r>
        <w:rPr>
          <w:highlight w:val="none"/>
        </w:rPr>
        <w:t>电话：电话：</w:t>
      </w:r>
    </w:p>
    <w:p w14:paraId="64BA46F1">
      <w:pPr>
        <w:pStyle w:val="16"/>
        <w:rPr>
          <w:highlight w:val="none"/>
        </w:rPr>
      </w:pPr>
    </w:p>
    <w:p w14:paraId="1DD1D8D7">
      <w:pPr>
        <w:pStyle w:val="16"/>
        <w:spacing w:before="11"/>
        <w:rPr>
          <w:highlight w:val="none"/>
        </w:rPr>
      </w:pPr>
    </w:p>
    <w:p w14:paraId="5BF51748">
      <w:pPr>
        <w:pStyle w:val="16"/>
        <w:tabs>
          <w:tab w:val="left" w:pos="6795"/>
          <w:tab w:val="left" w:pos="7515"/>
        </w:tabs>
        <w:ind w:left="6196"/>
        <w:rPr>
          <w:highlight w:val="none"/>
        </w:rPr>
      </w:pPr>
      <w:r>
        <w:rPr>
          <w:highlight w:val="none"/>
        </w:rPr>
        <w:t>年</w:t>
      </w:r>
      <w:r>
        <w:rPr>
          <w:highlight w:val="none"/>
        </w:rPr>
        <w:tab/>
      </w:r>
      <w:r>
        <w:rPr>
          <w:highlight w:val="none"/>
        </w:rPr>
        <w:t>月</w:t>
      </w:r>
      <w:r>
        <w:rPr>
          <w:highlight w:val="none"/>
        </w:rPr>
        <w:tab/>
      </w:r>
      <w:r>
        <w:rPr>
          <w:highlight w:val="none"/>
        </w:rPr>
        <w:t>日</w:t>
      </w:r>
    </w:p>
    <w:p w14:paraId="1545B3EA">
      <w:pPr>
        <w:rPr>
          <w:highlight w:val="none"/>
        </w:rPr>
        <w:sectPr>
          <w:pgSz w:w="11910" w:h="16840"/>
          <w:pgMar w:top="1580" w:right="920" w:bottom="1420" w:left="920" w:header="0" w:footer="1229" w:gutter="0"/>
          <w:cols w:space="720" w:num="1"/>
        </w:sectPr>
      </w:pPr>
    </w:p>
    <w:p w14:paraId="0337B091">
      <w:pPr>
        <w:spacing w:before="23"/>
        <w:ind w:left="836" w:right="836"/>
        <w:jc w:val="center"/>
        <w:rPr>
          <w:b/>
          <w:sz w:val="36"/>
          <w:highlight w:val="none"/>
        </w:rPr>
      </w:pPr>
      <w:r>
        <w:rPr>
          <w:b/>
          <w:sz w:val="36"/>
          <w:highlight w:val="none"/>
        </w:rPr>
        <w:t>五、其他资料</w:t>
      </w:r>
    </w:p>
    <w:p w14:paraId="6CBB37ED">
      <w:pPr>
        <w:pStyle w:val="16"/>
        <w:rPr>
          <w:b/>
          <w:sz w:val="31"/>
          <w:highlight w:val="none"/>
        </w:rPr>
      </w:pPr>
    </w:p>
    <w:p w14:paraId="536F4FBB">
      <w:pPr>
        <w:pStyle w:val="16"/>
        <w:ind w:left="836" w:right="837"/>
        <w:jc w:val="center"/>
        <w:rPr>
          <w:highlight w:val="none"/>
        </w:rPr>
      </w:pPr>
      <w:r>
        <w:rPr>
          <w:highlight w:val="none"/>
        </w:rPr>
        <w:t>（后附投标人认为有必要提供的其他资料）</w:t>
      </w:r>
    </w:p>
    <w:p w14:paraId="77068EE2">
      <w:pPr>
        <w:jc w:val="center"/>
        <w:rPr>
          <w:highlight w:val="none"/>
        </w:rPr>
        <w:sectPr>
          <w:pgSz w:w="11910" w:h="16840"/>
          <w:pgMar w:top="1400" w:right="920" w:bottom="1420" w:left="920" w:header="0" w:footer="1229" w:gutter="0"/>
          <w:cols w:space="720" w:num="1"/>
        </w:sectPr>
      </w:pPr>
    </w:p>
    <w:p w14:paraId="408DE119">
      <w:pPr>
        <w:pStyle w:val="16"/>
        <w:rPr>
          <w:sz w:val="20"/>
          <w:highlight w:val="none"/>
        </w:rPr>
      </w:pPr>
    </w:p>
    <w:p w14:paraId="1C338297">
      <w:pPr>
        <w:pStyle w:val="16"/>
        <w:rPr>
          <w:sz w:val="20"/>
          <w:highlight w:val="none"/>
        </w:rPr>
      </w:pPr>
    </w:p>
    <w:p w14:paraId="55B92941">
      <w:pPr>
        <w:pStyle w:val="16"/>
        <w:rPr>
          <w:sz w:val="20"/>
          <w:highlight w:val="none"/>
        </w:rPr>
      </w:pPr>
    </w:p>
    <w:p w14:paraId="1D908A1B">
      <w:pPr>
        <w:pStyle w:val="16"/>
        <w:rPr>
          <w:sz w:val="20"/>
          <w:highlight w:val="none"/>
        </w:rPr>
      </w:pPr>
    </w:p>
    <w:p w14:paraId="4F022C25">
      <w:pPr>
        <w:pStyle w:val="16"/>
        <w:rPr>
          <w:sz w:val="20"/>
          <w:highlight w:val="none"/>
        </w:rPr>
      </w:pPr>
    </w:p>
    <w:p w14:paraId="6DF260E9">
      <w:pPr>
        <w:pStyle w:val="16"/>
        <w:rPr>
          <w:sz w:val="20"/>
          <w:highlight w:val="none"/>
        </w:rPr>
      </w:pPr>
    </w:p>
    <w:p w14:paraId="03C0A77D">
      <w:pPr>
        <w:pStyle w:val="16"/>
        <w:rPr>
          <w:sz w:val="20"/>
          <w:highlight w:val="none"/>
        </w:rPr>
      </w:pPr>
    </w:p>
    <w:p w14:paraId="00D68744">
      <w:pPr>
        <w:pStyle w:val="16"/>
        <w:rPr>
          <w:sz w:val="20"/>
          <w:highlight w:val="none"/>
        </w:rPr>
      </w:pPr>
    </w:p>
    <w:p w14:paraId="08AB8559">
      <w:pPr>
        <w:pStyle w:val="16"/>
        <w:rPr>
          <w:sz w:val="20"/>
          <w:highlight w:val="none"/>
        </w:rPr>
      </w:pPr>
    </w:p>
    <w:p w14:paraId="13F7C0A9">
      <w:pPr>
        <w:pStyle w:val="16"/>
        <w:rPr>
          <w:sz w:val="20"/>
          <w:highlight w:val="none"/>
        </w:rPr>
      </w:pPr>
    </w:p>
    <w:p w14:paraId="4CDC3DC3">
      <w:pPr>
        <w:pStyle w:val="16"/>
        <w:rPr>
          <w:sz w:val="20"/>
          <w:highlight w:val="none"/>
        </w:rPr>
      </w:pPr>
    </w:p>
    <w:p w14:paraId="250717C8">
      <w:pPr>
        <w:pStyle w:val="16"/>
        <w:rPr>
          <w:sz w:val="20"/>
          <w:highlight w:val="none"/>
        </w:rPr>
      </w:pPr>
    </w:p>
    <w:p w14:paraId="607D6F10">
      <w:pPr>
        <w:pStyle w:val="16"/>
        <w:rPr>
          <w:sz w:val="20"/>
          <w:highlight w:val="none"/>
        </w:rPr>
      </w:pPr>
    </w:p>
    <w:p w14:paraId="046080CF">
      <w:pPr>
        <w:pStyle w:val="16"/>
        <w:spacing w:before="7"/>
        <w:rPr>
          <w:sz w:val="26"/>
          <w:highlight w:val="none"/>
        </w:rPr>
      </w:pPr>
    </w:p>
    <w:p w14:paraId="183BB85B">
      <w:pPr>
        <w:spacing w:line="922" w:lineRule="exact"/>
        <w:ind w:left="836" w:right="836"/>
        <w:jc w:val="center"/>
        <w:rPr>
          <w:b/>
          <w:sz w:val="72"/>
          <w:highlight w:val="none"/>
        </w:rPr>
      </w:pPr>
      <w:r>
        <w:rPr>
          <w:b/>
          <w:sz w:val="72"/>
          <w:highlight w:val="none"/>
        </w:rPr>
        <w:t>二、技术部分</w:t>
      </w:r>
    </w:p>
    <w:p w14:paraId="7A8B27E7">
      <w:pPr>
        <w:spacing w:line="922" w:lineRule="exact"/>
        <w:jc w:val="center"/>
        <w:rPr>
          <w:sz w:val="72"/>
          <w:highlight w:val="none"/>
        </w:rPr>
        <w:sectPr>
          <w:pgSz w:w="11910" w:h="16840"/>
          <w:pgMar w:top="1580" w:right="920" w:bottom="1420" w:left="920" w:header="0" w:footer="1229" w:gutter="0"/>
          <w:cols w:space="720" w:num="1"/>
        </w:sectPr>
      </w:pPr>
    </w:p>
    <w:p w14:paraId="193C18A0">
      <w:pPr>
        <w:pStyle w:val="16"/>
        <w:rPr>
          <w:b/>
          <w:sz w:val="20"/>
          <w:highlight w:val="none"/>
        </w:rPr>
      </w:pPr>
    </w:p>
    <w:p w14:paraId="1AF167E7">
      <w:pPr>
        <w:pStyle w:val="16"/>
        <w:rPr>
          <w:b/>
          <w:sz w:val="20"/>
          <w:highlight w:val="none"/>
        </w:rPr>
      </w:pPr>
    </w:p>
    <w:p w14:paraId="6885E903">
      <w:pPr>
        <w:tabs>
          <w:tab w:val="left" w:pos="902"/>
        </w:tabs>
        <w:spacing w:before="216"/>
        <w:jc w:val="center"/>
        <w:rPr>
          <w:b/>
          <w:sz w:val="36"/>
          <w:highlight w:val="none"/>
        </w:rPr>
      </w:pPr>
      <w:bookmarkStart w:id="272" w:name="目___录"/>
      <w:bookmarkEnd w:id="272"/>
      <w:r>
        <w:rPr>
          <w:b/>
          <w:sz w:val="36"/>
          <w:highlight w:val="none"/>
        </w:rPr>
        <w:t>目</w:t>
      </w:r>
      <w:r>
        <w:rPr>
          <w:b/>
          <w:sz w:val="36"/>
          <w:highlight w:val="none"/>
        </w:rPr>
        <w:tab/>
      </w:r>
      <w:r>
        <w:rPr>
          <w:b/>
          <w:sz w:val="36"/>
          <w:highlight w:val="none"/>
        </w:rPr>
        <w:t>录</w:t>
      </w:r>
    </w:p>
    <w:p w14:paraId="0E6A1FBE">
      <w:pPr>
        <w:jc w:val="center"/>
        <w:rPr>
          <w:sz w:val="36"/>
          <w:highlight w:val="none"/>
        </w:rPr>
        <w:sectPr>
          <w:pgSz w:w="11910" w:h="16840"/>
          <w:pgMar w:top="1580" w:right="920" w:bottom="1420" w:left="920" w:header="0" w:footer="1229" w:gutter="0"/>
          <w:cols w:space="720" w:num="1"/>
        </w:sectPr>
      </w:pPr>
    </w:p>
    <w:p w14:paraId="091E36C6">
      <w:pPr>
        <w:spacing w:before="39"/>
        <w:ind w:left="836" w:right="116"/>
        <w:jc w:val="center"/>
        <w:rPr>
          <w:b/>
          <w:sz w:val="36"/>
          <w:highlight w:val="none"/>
        </w:rPr>
      </w:pPr>
      <w:bookmarkStart w:id="273" w:name="附表一：拟投入本工程的主要施工设备表"/>
      <w:bookmarkEnd w:id="273"/>
      <w:bookmarkStart w:id="274" w:name="施工组织设计"/>
      <w:bookmarkEnd w:id="274"/>
      <w:r>
        <w:rPr>
          <w:b/>
          <w:sz w:val="36"/>
          <w:highlight w:val="none"/>
        </w:rPr>
        <w:t>施工组织设计</w:t>
      </w:r>
    </w:p>
    <w:p w14:paraId="4BEFC3E5">
      <w:pPr>
        <w:spacing w:line="360" w:lineRule="auto"/>
        <w:ind w:firstLine="220" w:firstLineChars="100"/>
        <w:rPr>
          <w:highlight w:val="none"/>
        </w:rPr>
      </w:pPr>
      <w:r>
        <w:rPr>
          <w:rFonts w:hint="eastAsia"/>
          <w:highlight w:val="none"/>
        </w:rPr>
        <w:t>项目名称：</w:t>
      </w:r>
    </w:p>
    <w:p w14:paraId="7F3A95FA">
      <w:pPr>
        <w:spacing w:line="360" w:lineRule="auto"/>
        <w:ind w:firstLine="220" w:firstLineChars="100"/>
        <w:rPr>
          <w:highlight w:val="none"/>
        </w:rPr>
      </w:pPr>
      <w:r>
        <w:rPr>
          <w:rFonts w:hint="eastAsia"/>
          <w:highlight w:val="none"/>
        </w:rPr>
        <w:t>项目编号：</w:t>
      </w:r>
    </w:p>
    <w:p w14:paraId="320BD6AF">
      <w:pPr>
        <w:spacing w:line="360" w:lineRule="auto"/>
        <w:ind w:firstLine="440" w:firstLineChars="200"/>
        <w:rPr>
          <w:highlight w:val="none"/>
        </w:rPr>
      </w:pPr>
      <w:r>
        <w:rPr>
          <w:rFonts w:hint="eastAsia"/>
          <w:highlight w:val="none"/>
        </w:rPr>
        <w:t>1．投标人编制的施工组织设计必须至少包含以下内容：</w:t>
      </w:r>
    </w:p>
    <w:p w14:paraId="2D140EFB">
      <w:pPr>
        <w:spacing w:line="360" w:lineRule="auto"/>
        <w:ind w:firstLine="660" w:firstLineChars="300"/>
        <w:rPr>
          <w:highlight w:val="none"/>
        </w:rPr>
      </w:pPr>
      <w:r>
        <w:rPr>
          <w:rFonts w:hint="eastAsia"/>
          <w:highlight w:val="none"/>
        </w:rPr>
        <w:t>1）工程质量的技术措施</w:t>
      </w:r>
    </w:p>
    <w:p w14:paraId="01334F46">
      <w:pPr>
        <w:spacing w:line="360" w:lineRule="auto"/>
        <w:ind w:firstLine="660" w:firstLineChars="300"/>
        <w:rPr>
          <w:highlight w:val="none"/>
        </w:rPr>
      </w:pPr>
      <w:r>
        <w:rPr>
          <w:rFonts w:hint="eastAsia"/>
          <w:highlight w:val="none"/>
        </w:rPr>
        <w:t>2）工期的技术组织措施</w:t>
      </w:r>
    </w:p>
    <w:p w14:paraId="5F968ED0">
      <w:pPr>
        <w:spacing w:line="360" w:lineRule="auto"/>
        <w:ind w:firstLine="660" w:firstLineChars="300"/>
        <w:rPr>
          <w:highlight w:val="none"/>
        </w:rPr>
      </w:pPr>
      <w:r>
        <w:rPr>
          <w:rFonts w:hint="eastAsia"/>
          <w:highlight w:val="none"/>
        </w:rPr>
        <w:t>3）安全生产技术措施</w:t>
      </w:r>
    </w:p>
    <w:p w14:paraId="3F9D2AE2">
      <w:pPr>
        <w:spacing w:line="360" w:lineRule="auto"/>
        <w:ind w:firstLine="660" w:firstLineChars="300"/>
        <w:rPr>
          <w:highlight w:val="none"/>
        </w:rPr>
      </w:pPr>
      <w:r>
        <w:rPr>
          <w:rFonts w:hint="eastAsia"/>
          <w:highlight w:val="none"/>
        </w:rPr>
        <w:t>4）文明施工、环境保护措施、“治污减霾”措施</w:t>
      </w:r>
    </w:p>
    <w:p w14:paraId="42AEF939">
      <w:pPr>
        <w:spacing w:line="360" w:lineRule="auto"/>
        <w:ind w:firstLine="660" w:firstLineChars="300"/>
        <w:rPr>
          <w:highlight w:val="none"/>
        </w:rPr>
      </w:pPr>
      <w:r>
        <w:rPr>
          <w:rFonts w:hint="eastAsia"/>
          <w:highlight w:val="none"/>
        </w:rPr>
        <w:t>5）施工方案和项目经理部组成人员</w:t>
      </w:r>
    </w:p>
    <w:p w14:paraId="4742904D">
      <w:pPr>
        <w:spacing w:line="360" w:lineRule="auto"/>
        <w:ind w:firstLine="660" w:firstLineChars="300"/>
        <w:rPr>
          <w:highlight w:val="none"/>
        </w:rPr>
      </w:pPr>
      <w:r>
        <w:rPr>
          <w:rFonts w:hint="eastAsia"/>
          <w:highlight w:val="none"/>
        </w:rPr>
        <w:t>6）施工机械设备及配备情况计划</w:t>
      </w:r>
    </w:p>
    <w:p w14:paraId="0C4895E2">
      <w:pPr>
        <w:spacing w:line="360" w:lineRule="auto"/>
        <w:ind w:firstLine="660" w:firstLineChars="300"/>
        <w:rPr>
          <w:highlight w:val="none"/>
        </w:rPr>
      </w:pPr>
      <w:r>
        <w:rPr>
          <w:rFonts w:hint="eastAsia"/>
          <w:highlight w:val="none"/>
        </w:rPr>
        <w:t>7）施工进度表或施工网络图</w:t>
      </w:r>
    </w:p>
    <w:p w14:paraId="12A69DAA">
      <w:pPr>
        <w:spacing w:line="360" w:lineRule="auto"/>
        <w:ind w:firstLine="660" w:firstLineChars="300"/>
        <w:rPr>
          <w:highlight w:val="none"/>
        </w:rPr>
      </w:pPr>
      <w:r>
        <w:rPr>
          <w:rFonts w:hint="eastAsia"/>
          <w:highlight w:val="none"/>
        </w:rPr>
        <w:t>8）劳动力及劳务分包情况表</w:t>
      </w:r>
    </w:p>
    <w:p w14:paraId="3D48865F">
      <w:pPr>
        <w:spacing w:line="360" w:lineRule="auto"/>
        <w:ind w:firstLine="660" w:firstLineChars="300"/>
        <w:rPr>
          <w:highlight w:val="none"/>
        </w:rPr>
      </w:pPr>
      <w:r>
        <w:rPr>
          <w:rFonts w:hint="eastAsia"/>
          <w:highlight w:val="none"/>
        </w:rPr>
        <w:t>9）施工部署及总平面布置</w:t>
      </w:r>
    </w:p>
    <w:p w14:paraId="06BF537F">
      <w:pPr>
        <w:spacing w:line="360" w:lineRule="auto"/>
        <w:ind w:firstLine="660" w:firstLineChars="300"/>
        <w:rPr>
          <w:highlight w:val="none"/>
        </w:rPr>
      </w:pPr>
      <w:r>
        <w:rPr>
          <w:rFonts w:hint="eastAsia"/>
          <w:highlight w:val="none"/>
        </w:rPr>
        <w:t>10）新技术、新产品、新工艺、新材料应用</w:t>
      </w:r>
    </w:p>
    <w:p w14:paraId="620994AC">
      <w:pPr>
        <w:spacing w:line="360" w:lineRule="auto"/>
        <w:ind w:firstLine="440" w:firstLineChars="200"/>
        <w:rPr>
          <w:highlight w:val="none"/>
        </w:rPr>
      </w:pPr>
      <w:r>
        <w:rPr>
          <w:rFonts w:hint="eastAsia"/>
          <w:highlight w:val="none"/>
        </w:rPr>
        <w:t>2．施工组织设计除采用文字表述外可附下列图表，图表及格式要求附后。</w:t>
      </w:r>
    </w:p>
    <w:p w14:paraId="59F3F92F">
      <w:pPr>
        <w:spacing w:line="360" w:lineRule="auto"/>
        <w:ind w:firstLine="440" w:firstLineChars="200"/>
        <w:rPr>
          <w:highlight w:val="none"/>
        </w:rPr>
      </w:pPr>
      <w:r>
        <w:rPr>
          <w:rFonts w:hint="eastAsia"/>
          <w:highlight w:val="none"/>
        </w:rPr>
        <w:t>附表一拟投入本工程的主要施工设备表</w:t>
      </w:r>
    </w:p>
    <w:p w14:paraId="16DC10E7">
      <w:pPr>
        <w:spacing w:line="360" w:lineRule="auto"/>
        <w:ind w:firstLine="440" w:firstLineChars="200"/>
        <w:rPr>
          <w:highlight w:val="none"/>
        </w:rPr>
      </w:pPr>
      <w:r>
        <w:rPr>
          <w:rFonts w:hint="eastAsia"/>
          <w:highlight w:val="none"/>
        </w:rPr>
        <w:t>附表二拟配备本工程的试验和检测仪器设备表</w:t>
      </w:r>
    </w:p>
    <w:p w14:paraId="11866183">
      <w:pPr>
        <w:spacing w:line="360" w:lineRule="auto"/>
        <w:ind w:firstLine="440" w:firstLineChars="200"/>
        <w:rPr>
          <w:highlight w:val="none"/>
        </w:rPr>
      </w:pPr>
      <w:r>
        <w:rPr>
          <w:rFonts w:hint="eastAsia"/>
          <w:highlight w:val="none"/>
        </w:rPr>
        <w:t>附表三劳动力计划表</w:t>
      </w:r>
    </w:p>
    <w:p w14:paraId="41E7E196">
      <w:pPr>
        <w:spacing w:line="360" w:lineRule="auto"/>
        <w:ind w:firstLine="440" w:firstLineChars="200"/>
        <w:rPr>
          <w:highlight w:val="none"/>
        </w:rPr>
      </w:pPr>
      <w:r>
        <w:rPr>
          <w:rFonts w:hint="eastAsia"/>
          <w:highlight w:val="none"/>
        </w:rPr>
        <w:t>附表四计划开、竣工日期和施工进度网络图</w:t>
      </w:r>
    </w:p>
    <w:p w14:paraId="35D5099B">
      <w:pPr>
        <w:spacing w:line="360" w:lineRule="auto"/>
        <w:ind w:firstLine="440" w:firstLineChars="200"/>
        <w:rPr>
          <w:highlight w:val="none"/>
        </w:rPr>
      </w:pPr>
      <w:r>
        <w:rPr>
          <w:rFonts w:hint="eastAsia"/>
          <w:highlight w:val="none"/>
        </w:rPr>
        <w:t>附表五临时用地表</w:t>
      </w:r>
    </w:p>
    <w:p w14:paraId="1C498941">
      <w:pPr>
        <w:pStyle w:val="20"/>
        <w:rPr>
          <w:rFonts w:hAnsi="宋体"/>
          <w:highlight w:val="none"/>
        </w:rPr>
      </w:pPr>
    </w:p>
    <w:p w14:paraId="46BEE86F">
      <w:pPr>
        <w:rPr>
          <w:highlight w:val="none"/>
        </w:rPr>
      </w:pPr>
      <w:r>
        <w:rPr>
          <w:highlight w:val="none"/>
        </w:rPr>
        <w:br w:type="page"/>
      </w:r>
    </w:p>
    <w:p w14:paraId="796609D5">
      <w:pPr>
        <w:pStyle w:val="20"/>
        <w:rPr>
          <w:rFonts w:hAnsi="宋体"/>
          <w:highlight w:val="none"/>
        </w:rPr>
      </w:pPr>
    </w:p>
    <w:p w14:paraId="76F9DB81">
      <w:pPr>
        <w:spacing w:before="120" w:beforeLines="50" w:after="240" w:afterLines="100" w:line="420" w:lineRule="exact"/>
        <w:rPr>
          <w:b/>
          <w:bCs/>
          <w:highlight w:val="none"/>
        </w:rPr>
      </w:pPr>
      <w:r>
        <w:rPr>
          <w:rFonts w:hint="eastAsia"/>
          <w:b/>
          <w:bCs/>
          <w:highlight w:val="none"/>
        </w:rPr>
        <w:t>附表一：拟投入本工程的主要施工设备表</w:t>
      </w:r>
    </w:p>
    <w:tbl>
      <w:tblPr>
        <w:tblStyle w:val="41"/>
        <w:tblW w:w="929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17"/>
        <w:gridCol w:w="992"/>
        <w:gridCol w:w="709"/>
        <w:gridCol w:w="1134"/>
        <w:gridCol w:w="1134"/>
        <w:gridCol w:w="1843"/>
        <w:gridCol w:w="1701"/>
      </w:tblGrid>
      <w:tr w14:paraId="50D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6" w:type="dxa"/>
            <w:vAlign w:val="center"/>
          </w:tcPr>
          <w:p w14:paraId="2DD925C2">
            <w:pPr>
              <w:jc w:val="center"/>
              <w:rPr>
                <w:highlight w:val="none"/>
              </w:rPr>
            </w:pPr>
            <w:r>
              <w:rPr>
                <w:rFonts w:hint="eastAsia"/>
                <w:highlight w:val="none"/>
              </w:rPr>
              <w:t>序号</w:t>
            </w:r>
          </w:p>
        </w:tc>
        <w:tc>
          <w:tcPr>
            <w:tcW w:w="1117" w:type="dxa"/>
            <w:vAlign w:val="center"/>
          </w:tcPr>
          <w:p w14:paraId="2BA7D63C">
            <w:pPr>
              <w:jc w:val="center"/>
              <w:rPr>
                <w:highlight w:val="none"/>
              </w:rPr>
            </w:pPr>
            <w:r>
              <w:rPr>
                <w:rFonts w:hint="eastAsia"/>
                <w:highlight w:val="none"/>
              </w:rPr>
              <w:t>设备</w:t>
            </w:r>
          </w:p>
          <w:p w14:paraId="652AEFD5">
            <w:pPr>
              <w:jc w:val="center"/>
              <w:rPr>
                <w:highlight w:val="none"/>
              </w:rPr>
            </w:pPr>
            <w:r>
              <w:rPr>
                <w:rFonts w:hint="eastAsia"/>
                <w:highlight w:val="none"/>
              </w:rPr>
              <w:t>名称</w:t>
            </w:r>
          </w:p>
        </w:tc>
        <w:tc>
          <w:tcPr>
            <w:tcW w:w="992" w:type="dxa"/>
            <w:vAlign w:val="center"/>
          </w:tcPr>
          <w:p w14:paraId="53C1E077">
            <w:pPr>
              <w:jc w:val="center"/>
              <w:rPr>
                <w:highlight w:val="none"/>
              </w:rPr>
            </w:pPr>
            <w:r>
              <w:rPr>
                <w:rFonts w:hint="eastAsia"/>
                <w:highlight w:val="none"/>
              </w:rPr>
              <w:t>型号</w:t>
            </w:r>
          </w:p>
          <w:p w14:paraId="43C8BCD6">
            <w:pPr>
              <w:jc w:val="center"/>
              <w:rPr>
                <w:highlight w:val="none"/>
              </w:rPr>
            </w:pPr>
            <w:r>
              <w:rPr>
                <w:rFonts w:hint="eastAsia"/>
                <w:highlight w:val="none"/>
              </w:rPr>
              <w:t>规格</w:t>
            </w:r>
          </w:p>
        </w:tc>
        <w:tc>
          <w:tcPr>
            <w:tcW w:w="709" w:type="dxa"/>
            <w:vAlign w:val="center"/>
          </w:tcPr>
          <w:p w14:paraId="14C9D739">
            <w:pPr>
              <w:jc w:val="center"/>
              <w:rPr>
                <w:highlight w:val="none"/>
              </w:rPr>
            </w:pPr>
            <w:r>
              <w:rPr>
                <w:rFonts w:hint="eastAsia"/>
                <w:highlight w:val="none"/>
              </w:rPr>
              <w:t>数量</w:t>
            </w:r>
          </w:p>
        </w:tc>
        <w:tc>
          <w:tcPr>
            <w:tcW w:w="1134" w:type="dxa"/>
            <w:vAlign w:val="center"/>
          </w:tcPr>
          <w:p w14:paraId="36206742">
            <w:pPr>
              <w:jc w:val="center"/>
              <w:rPr>
                <w:highlight w:val="none"/>
              </w:rPr>
            </w:pPr>
            <w:r>
              <w:rPr>
                <w:rFonts w:hint="eastAsia"/>
                <w:highlight w:val="none"/>
              </w:rPr>
              <w:t>国别</w:t>
            </w:r>
          </w:p>
          <w:p w14:paraId="60F7879A">
            <w:pPr>
              <w:jc w:val="center"/>
              <w:rPr>
                <w:highlight w:val="none"/>
              </w:rPr>
            </w:pPr>
            <w:r>
              <w:rPr>
                <w:rFonts w:hint="eastAsia"/>
                <w:highlight w:val="none"/>
              </w:rPr>
              <w:t>产地</w:t>
            </w:r>
          </w:p>
        </w:tc>
        <w:tc>
          <w:tcPr>
            <w:tcW w:w="1134" w:type="dxa"/>
            <w:vAlign w:val="center"/>
          </w:tcPr>
          <w:p w14:paraId="22AB38C6">
            <w:pPr>
              <w:jc w:val="center"/>
              <w:rPr>
                <w:highlight w:val="none"/>
              </w:rPr>
            </w:pPr>
            <w:r>
              <w:rPr>
                <w:rFonts w:hint="eastAsia"/>
                <w:highlight w:val="none"/>
              </w:rPr>
              <w:t>额定功率</w:t>
            </w:r>
          </w:p>
          <w:p w14:paraId="12F71BC3">
            <w:pPr>
              <w:jc w:val="center"/>
              <w:rPr>
                <w:highlight w:val="none"/>
              </w:rPr>
            </w:pPr>
            <w:r>
              <w:rPr>
                <w:rFonts w:hint="eastAsia"/>
                <w:highlight w:val="none"/>
              </w:rPr>
              <w:t>（KW）</w:t>
            </w:r>
          </w:p>
        </w:tc>
        <w:tc>
          <w:tcPr>
            <w:tcW w:w="1843" w:type="dxa"/>
            <w:vAlign w:val="center"/>
          </w:tcPr>
          <w:p w14:paraId="4BD14DA6">
            <w:pPr>
              <w:jc w:val="center"/>
              <w:rPr>
                <w:highlight w:val="none"/>
              </w:rPr>
            </w:pPr>
            <w:r>
              <w:rPr>
                <w:rFonts w:hint="eastAsia"/>
                <w:highlight w:val="none"/>
              </w:rPr>
              <w:t>用于施工部位</w:t>
            </w:r>
          </w:p>
        </w:tc>
        <w:tc>
          <w:tcPr>
            <w:tcW w:w="1701" w:type="dxa"/>
            <w:vAlign w:val="center"/>
          </w:tcPr>
          <w:p w14:paraId="446FA230">
            <w:pPr>
              <w:jc w:val="center"/>
              <w:rPr>
                <w:highlight w:val="none"/>
              </w:rPr>
            </w:pPr>
            <w:r>
              <w:rPr>
                <w:rFonts w:hint="eastAsia"/>
                <w:highlight w:val="none"/>
              </w:rPr>
              <w:t>备注</w:t>
            </w:r>
          </w:p>
        </w:tc>
      </w:tr>
      <w:tr w14:paraId="7FC2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0AECD874">
            <w:pPr>
              <w:jc w:val="center"/>
              <w:rPr>
                <w:highlight w:val="none"/>
              </w:rPr>
            </w:pPr>
          </w:p>
        </w:tc>
        <w:tc>
          <w:tcPr>
            <w:tcW w:w="1117" w:type="dxa"/>
            <w:vAlign w:val="center"/>
          </w:tcPr>
          <w:p w14:paraId="6519653D">
            <w:pPr>
              <w:jc w:val="center"/>
              <w:rPr>
                <w:highlight w:val="none"/>
              </w:rPr>
            </w:pPr>
          </w:p>
        </w:tc>
        <w:tc>
          <w:tcPr>
            <w:tcW w:w="992" w:type="dxa"/>
            <w:vAlign w:val="center"/>
          </w:tcPr>
          <w:p w14:paraId="0D8F7C5A">
            <w:pPr>
              <w:jc w:val="center"/>
              <w:rPr>
                <w:highlight w:val="none"/>
              </w:rPr>
            </w:pPr>
          </w:p>
        </w:tc>
        <w:tc>
          <w:tcPr>
            <w:tcW w:w="709" w:type="dxa"/>
            <w:vAlign w:val="center"/>
          </w:tcPr>
          <w:p w14:paraId="5CE9F55C">
            <w:pPr>
              <w:jc w:val="center"/>
              <w:rPr>
                <w:highlight w:val="none"/>
              </w:rPr>
            </w:pPr>
          </w:p>
        </w:tc>
        <w:tc>
          <w:tcPr>
            <w:tcW w:w="1134" w:type="dxa"/>
            <w:vAlign w:val="center"/>
          </w:tcPr>
          <w:p w14:paraId="6F88A745">
            <w:pPr>
              <w:jc w:val="center"/>
              <w:rPr>
                <w:highlight w:val="none"/>
              </w:rPr>
            </w:pPr>
          </w:p>
        </w:tc>
        <w:tc>
          <w:tcPr>
            <w:tcW w:w="1134" w:type="dxa"/>
            <w:vAlign w:val="center"/>
          </w:tcPr>
          <w:p w14:paraId="40FC18D6">
            <w:pPr>
              <w:jc w:val="center"/>
              <w:rPr>
                <w:highlight w:val="none"/>
              </w:rPr>
            </w:pPr>
          </w:p>
        </w:tc>
        <w:tc>
          <w:tcPr>
            <w:tcW w:w="1843" w:type="dxa"/>
            <w:vAlign w:val="center"/>
          </w:tcPr>
          <w:p w14:paraId="33DEBD50">
            <w:pPr>
              <w:jc w:val="center"/>
              <w:rPr>
                <w:highlight w:val="none"/>
              </w:rPr>
            </w:pPr>
          </w:p>
        </w:tc>
        <w:tc>
          <w:tcPr>
            <w:tcW w:w="1701" w:type="dxa"/>
            <w:vAlign w:val="center"/>
          </w:tcPr>
          <w:p w14:paraId="0F340941">
            <w:pPr>
              <w:jc w:val="center"/>
              <w:rPr>
                <w:highlight w:val="none"/>
              </w:rPr>
            </w:pPr>
          </w:p>
        </w:tc>
      </w:tr>
      <w:tr w14:paraId="5DC9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0D643630">
            <w:pPr>
              <w:jc w:val="center"/>
              <w:rPr>
                <w:highlight w:val="none"/>
              </w:rPr>
            </w:pPr>
          </w:p>
        </w:tc>
        <w:tc>
          <w:tcPr>
            <w:tcW w:w="1117" w:type="dxa"/>
            <w:vAlign w:val="center"/>
          </w:tcPr>
          <w:p w14:paraId="796F2A16">
            <w:pPr>
              <w:jc w:val="center"/>
              <w:rPr>
                <w:highlight w:val="none"/>
              </w:rPr>
            </w:pPr>
          </w:p>
        </w:tc>
        <w:tc>
          <w:tcPr>
            <w:tcW w:w="992" w:type="dxa"/>
            <w:vAlign w:val="center"/>
          </w:tcPr>
          <w:p w14:paraId="4B87A374">
            <w:pPr>
              <w:jc w:val="center"/>
              <w:rPr>
                <w:highlight w:val="none"/>
              </w:rPr>
            </w:pPr>
          </w:p>
        </w:tc>
        <w:tc>
          <w:tcPr>
            <w:tcW w:w="709" w:type="dxa"/>
            <w:vAlign w:val="center"/>
          </w:tcPr>
          <w:p w14:paraId="6CBA3A77">
            <w:pPr>
              <w:jc w:val="center"/>
              <w:rPr>
                <w:highlight w:val="none"/>
              </w:rPr>
            </w:pPr>
          </w:p>
        </w:tc>
        <w:tc>
          <w:tcPr>
            <w:tcW w:w="1134" w:type="dxa"/>
            <w:vAlign w:val="center"/>
          </w:tcPr>
          <w:p w14:paraId="782F5A36">
            <w:pPr>
              <w:jc w:val="center"/>
              <w:rPr>
                <w:highlight w:val="none"/>
              </w:rPr>
            </w:pPr>
          </w:p>
        </w:tc>
        <w:tc>
          <w:tcPr>
            <w:tcW w:w="1134" w:type="dxa"/>
            <w:vAlign w:val="center"/>
          </w:tcPr>
          <w:p w14:paraId="34E720ED">
            <w:pPr>
              <w:jc w:val="center"/>
              <w:rPr>
                <w:highlight w:val="none"/>
              </w:rPr>
            </w:pPr>
          </w:p>
        </w:tc>
        <w:tc>
          <w:tcPr>
            <w:tcW w:w="1843" w:type="dxa"/>
            <w:vAlign w:val="center"/>
          </w:tcPr>
          <w:p w14:paraId="367B6EF7">
            <w:pPr>
              <w:jc w:val="center"/>
              <w:rPr>
                <w:highlight w:val="none"/>
              </w:rPr>
            </w:pPr>
          </w:p>
        </w:tc>
        <w:tc>
          <w:tcPr>
            <w:tcW w:w="1701" w:type="dxa"/>
            <w:vAlign w:val="center"/>
          </w:tcPr>
          <w:p w14:paraId="146B5324">
            <w:pPr>
              <w:jc w:val="center"/>
              <w:rPr>
                <w:highlight w:val="none"/>
              </w:rPr>
            </w:pPr>
          </w:p>
        </w:tc>
      </w:tr>
      <w:tr w14:paraId="07F8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30D18CAC">
            <w:pPr>
              <w:jc w:val="center"/>
              <w:rPr>
                <w:highlight w:val="none"/>
              </w:rPr>
            </w:pPr>
          </w:p>
        </w:tc>
        <w:tc>
          <w:tcPr>
            <w:tcW w:w="1117" w:type="dxa"/>
            <w:vAlign w:val="center"/>
          </w:tcPr>
          <w:p w14:paraId="1EA920F2">
            <w:pPr>
              <w:jc w:val="center"/>
              <w:rPr>
                <w:highlight w:val="none"/>
              </w:rPr>
            </w:pPr>
          </w:p>
        </w:tc>
        <w:tc>
          <w:tcPr>
            <w:tcW w:w="992" w:type="dxa"/>
            <w:vAlign w:val="center"/>
          </w:tcPr>
          <w:p w14:paraId="156416BF">
            <w:pPr>
              <w:jc w:val="center"/>
              <w:rPr>
                <w:highlight w:val="none"/>
              </w:rPr>
            </w:pPr>
          </w:p>
        </w:tc>
        <w:tc>
          <w:tcPr>
            <w:tcW w:w="709" w:type="dxa"/>
            <w:vAlign w:val="center"/>
          </w:tcPr>
          <w:p w14:paraId="3A7AEE3B">
            <w:pPr>
              <w:jc w:val="center"/>
              <w:rPr>
                <w:highlight w:val="none"/>
              </w:rPr>
            </w:pPr>
          </w:p>
        </w:tc>
        <w:tc>
          <w:tcPr>
            <w:tcW w:w="1134" w:type="dxa"/>
            <w:vAlign w:val="center"/>
          </w:tcPr>
          <w:p w14:paraId="5DB898C8">
            <w:pPr>
              <w:jc w:val="center"/>
              <w:rPr>
                <w:highlight w:val="none"/>
              </w:rPr>
            </w:pPr>
          </w:p>
        </w:tc>
        <w:tc>
          <w:tcPr>
            <w:tcW w:w="1134" w:type="dxa"/>
            <w:vAlign w:val="center"/>
          </w:tcPr>
          <w:p w14:paraId="2EF9CACD">
            <w:pPr>
              <w:jc w:val="center"/>
              <w:rPr>
                <w:highlight w:val="none"/>
              </w:rPr>
            </w:pPr>
          </w:p>
        </w:tc>
        <w:tc>
          <w:tcPr>
            <w:tcW w:w="1843" w:type="dxa"/>
            <w:vAlign w:val="center"/>
          </w:tcPr>
          <w:p w14:paraId="5D0A608F">
            <w:pPr>
              <w:jc w:val="center"/>
              <w:rPr>
                <w:highlight w:val="none"/>
              </w:rPr>
            </w:pPr>
          </w:p>
        </w:tc>
        <w:tc>
          <w:tcPr>
            <w:tcW w:w="1701" w:type="dxa"/>
            <w:vAlign w:val="center"/>
          </w:tcPr>
          <w:p w14:paraId="40623C3C">
            <w:pPr>
              <w:jc w:val="center"/>
              <w:rPr>
                <w:highlight w:val="none"/>
              </w:rPr>
            </w:pPr>
          </w:p>
        </w:tc>
      </w:tr>
      <w:tr w14:paraId="0A81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58BCCFD0">
            <w:pPr>
              <w:jc w:val="center"/>
              <w:rPr>
                <w:highlight w:val="none"/>
              </w:rPr>
            </w:pPr>
          </w:p>
        </w:tc>
        <w:tc>
          <w:tcPr>
            <w:tcW w:w="1117" w:type="dxa"/>
            <w:vAlign w:val="center"/>
          </w:tcPr>
          <w:p w14:paraId="2013046A">
            <w:pPr>
              <w:jc w:val="center"/>
              <w:rPr>
                <w:highlight w:val="none"/>
              </w:rPr>
            </w:pPr>
          </w:p>
        </w:tc>
        <w:tc>
          <w:tcPr>
            <w:tcW w:w="992" w:type="dxa"/>
            <w:vAlign w:val="center"/>
          </w:tcPr>
          <w:p w14:paraId="74A8C3BB">
            <w:pPr>
              <w:jc w:val="center"/>
              <w:rPr>
                <w:highlight w:val="none"/>
              </w:rPr>
            </w:pPr>
          </w:p>
        </w:tc>
        <w:tc>
          <w:tcPr>
            <w:tcW w:w="709" w:type="dxa"/>
            <w:vAlign w:val="center"/>
          </w:tcPr>
          <w:p w14:paraId="3BDB2DB4">
            <w:pPr>
              <w:jc w:val="center"/>
              <w:rPr>
                <w:highlight w:val="none"/>
              </w:rPr>
            </w:pPr>
          </w:p>
        </w:tc>
        <w:tc>
          <w:tcPr>
            <w:tcW w:w="1134" w:type="dxa"/>
            <w:vAlign w:val="center"/>
          </w:tcPr>
          <w:p w14:paraId="06FE94A8">
            <w:pPr>
              <w:jc w:val="center"/>
              <w:rPr>
                <w:highlight w:val="none"/>
              </w:rPr>
            </w:pPr>
          </w:p>
        </w:tc>
        <w:tc>
          <w:tcPr>
            <w:tcW w:w="1134" w:type="dxa"/>
            <w:vAlign w:val="center"/>
          </w:tcPr>
          <w:p w14:paraId="7744A105">
            <w:pPr>
              <w:jc w:val="center"/>
              <w:rPr>
                <w:highlight w:val="none"/>
              </w:rPr>
            </w:pPr>
          </w:p>
        </w:tc>
        <w:tc>
          <w:tcPr>
            <w:tcW w:w="1843" w:type="dxa"/>
            <w:vAlign w:val="center"/>
          </w:tcPr>
          <w:p w14:paraId="467B3788">
            <w:pPr>
              <w:jc w:val="center"/>
              <w:rPr>
                <w:highlight w:val="none"/>
              </w:rPr>
            </w:pPr>
          </w:p>
        </w:tc>
        <w:tc>
          <w:tcPr>
            <w:tcW w:w="1701" w:type="dxa"/>
            <w:vAlign w:val="center"/>
          </w:tcPr>
          <w:p w14:paraId="1F111C9B">
            <w:pPr>
              <w:jc w:val="center"/>
              <w:rPr>
                <w:highlight w:val="none"/>
              </w:rPr>
            </w:pPr>
          </w:p>
        </w:tc>
      </w:tr>
      <w:tr w14:paraId="54C6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34B56A02">
            <w:pPr>
              <w:jc w:val="center"/>
              <w:rPr>
                <w:highlight w:val="none"/>
              </w:rPr>
            </w:pPr>
          </w:p>
        </w:tc>
        <w:tc>
          <w:tcPr>
            <w:tcW w:w="1117" w:type="dxa"/>
            <w:vAlign w:val="center"/>
          </w:tcPr>
          <w:p w14:paraId="2B5038A6">
            <w:pPr>
              <w:jc w:val="center"/>
              <w:rPr>
                <w:highlight w:val="none"/>
              </w:rPr>
            </w:pPr>
          </w:p>
        </w:tc>
        <w:tc>
          <w:tcPr>
            <w:tcW w:w="992" w:type="dxa"/>
            <w:vAlign w:val="center"/>
          </w:tcPr>
          <w:p w14:paraId="19EB1386">
            <w:pPr>
              <w:jc w:val="center"/>
              <w:rPr>
                <w:highlight w:val="none"/>
              </w:rPr>
            </w:pPr>
          </w:p>
        </w:tc>
        <w:tc>
          <w:tcPr>
            <w:tcW w:w="709" w:type="dxa"/>
            <w:vAlign w:val="center"/>
          </w:tcPr>
          <w:p w14:paraId="532BA6E2">
            <w:pPr>
              <w:jc w:val="center"/>
              <w:rPr>
                <w:highlight w:val="none"/>
              </w:rPr>
            </w:pPr>
          </w:p>
        </w:tc>
        <w:tc>
          <w:tcPr>
            <w:tcW w:w="1134" w:type="dxa"/>
            <w:vAlign w:val="center"/>
          </w:tcPr>
          <w:p w14:paraId="07132EA5">
            <w:pPr>
              <w:jc w:val="center"/>
              <w:rPr>
                <w:highlight w:val="none"/>
              </w:rPr>
            </w:pPr>
          </w:p>
        </w:tc>
        <w:tc>
          <w:tcPr>
            <w:tcW w:w="1134" w:type="dxa"/>
            <w:vAlign w:val="center"/>
          </w:tcPr>
          <w:p w14:paraId="578BC4FC">
            <w:pPr>
              <w:jc w:val="center"/>
              <w:rPr>
                <w:highlight w:val="none"/>
              </w:rPr>
            </w:pPr>
          </w:p>
        </w:tc>
        <w:tc>
          <w:tcPr>
            <w:tcW w:w="1843" w:type="dxa"/>
            <w:vAlign w:val="center"/>
          </w:tcPr>
          <w:p w14:paraId="79BCC9C2">
            <w:pPr>
              <w:jc w:val="center"/>
              <w:rPr>
                <w:highlight w:val="none"/>
              </w:rPr>
            </w:pPr>
          </w:p>
        </w:tc>
        <w:tc>
          <w:tcPr>
            <w:tcW w:w="1701" w:type="dxa"/>
            <w:vAlign w:val="center"/>
          </w:tcPr>
          <w:p w14:paraId="7A628A02">
            <w:pPr>
              <w:jc w:val="center"/>
              <w:rPr>
                <w:highlight w:val="none"/>
              </w:rPr>
            </w:pPr>
          </w:p>
        </w:tc>
      </w:tr>
      <w:tr w14:paraId="224A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5DC5D2E6">
            <w:pPr>
              <w:jc w:val="center"/>
              <w:rPr>
                <w:highlight w:val="none"/>
              </w:rPr>
            </w:pPr>
          </w:p>
        </w:tc>
        <w:tc>
          <w:tcPr>
            <w:tcW w:w="1117" w:type="dxa"/>
            <w:vAlign w:val="center"/>
          </w:tcPr>
          <w:p w14:paraId="4B3BC7DC">
            <w:pPr>
              <w:jc w:val="center"/>
              <w:rPr>
                <w:highlight w:val="none"/>
              </w:rPr>
            </w:pPr>
          </w:p>
        </w:tc>
        <w:tc>
          <w:tcPr>
            <w:tcW w:w="992" w:type="dxa"/>
            <w:vAlign w:val="center"/>
          </w:tcPr>
          <w:p w14:paraId="07A9EE04">
            <w:pPr>
              <w:jc w:val="center"/>
              <w:rPr>
                <w:highlight w:val="none"/>
              </w:rPr>
            </w:pPr>
          </w:p>
        </w:tc>
        <w:tc>
          <w:tcPr>
            <w:tcW w:w="709" w:type="dxa"/>
            <w:vAlign w:val="center"/>
          </w:tcPr>
          <w:p w14:paraId="0D3CB700">
            <w:pPr>
              <w:jc w:val="center"/>
              <w:rPr>
                <w:highlight w:val="none"/>
              </w:rPr>
            </w:pPr>
          </w:p>
        </w:tc>
        <w:tc>
          <w:tcPr>
            <w:tcW w:w="1134" w:type="dxa"/>
            <w:vAlign w:val="center"/>
          </w:tcPr>
          <w:p w14:paraId="5EFE6B4E">
            <w:pPr>
              <w:jc w:val="center"/>
              <w:rPr>
                <w:highlight w:val="none"/>
              </w:rPr>
            </w:pPr>
          </w:p>
        </w:tc>
        <w:tc>
          <w:tcPr>
            <w:tcW w:w="1134" w:type="dxa"/>
            <w:vAlign w:val="center"/>
          </w:tcPr>
          <w:p w14:paraId="64318DAC">
            <w:pPr>
              <w:jc w:val="center"/>
              <w:rPr>
                <w:highlight w:val="none"/>
              </w:rPr>
            </w:pPr>
          </w:p>
        </w:tc>
        <w:tc>
          <w:tcPr>
            <w:tcW w:w="1843" w:type="dxa"/>
            <w:vAlign w:val="center"/>
          </w:tcPr>
          <w:p w14:paraId="327854A4">
            <w:pPr>
              <w:jc w:val="center"/>
              <w:rPr>
                <w:highlight w:val="none"/>
              </w:rPr>
            </w:pPr>
          </w:p>
        </w:tc>
        <w:tc>
          <w:tcPr>
            <w:tcW w:w="1701" w:type="dxa"/>
            <w:vAlign w:val="center"/>
          </w:tcPr>
          <w:p w14:paraId="4EE8D030">
            <w:pPr>
              <w:jc w:val="center"/>
              <w:rPr>
                <w:highlight w:val="none"/>
              </w:rPr>
            </w:pPr>
          </w:p>
        </w:tc>
      </w:tr>
      <w:tr w14:paraId="2CBF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1A4FA02E">
            <w:pPr>
              <w:jc w:val="center"/>
              <w:rPr>
                <w:highlight w:val="none"/>
              </w:rPr>
            </w:pPr>
          </w:p>
        </w:tc>
        <w:tc>
          <w:tcPr>
            <w:tcW w:w="1117" w:type="dxa"/>
            <w:vAlign w:val="center"/>
          </w:tcPr>
          <w:p w14:paraId="1DA0A5E4">
            <w:pPr>
              <w:jc w:val="center"/>
              <w:rPr>
                <w:highlight w:val="none"/>
              </w:rPr>
            </w:pPr>
          </w:p>
        </w:tc>
        <w:tc>
          <w:tcPr>
            <w:tcW w:w="992" w:type="dxa"/>
            <w:vAlign w:val="center"/>
          </w:tcPr>
          <w:p w14:paraId="16ACAD24">
            <w:pPr>
              <w:jc w:val="center"/>
              <w:rPr>
                <w:highlight w:val="none"/>
              </w:rPr>
            </w:pPr>
          </w:p>
        </w:tc>
        <w:tc>
          <w:tcPr>
            <w:tcW w:w="709" w:type="dxa"/>
            <w:vAlign w:val="center"/>
          </w:tcPr>
          <w:p w14:paraId="5017AF78">
            <w:pPr>
              <w:jc w:val="center"/>
              <w:rPr>
                <w:highlight w:val="none"/>
              </w:rPr>
            </w:pPr>
          </w:p>
        </w:tc>
        <w:tc>
          <w:tcPr>
            <w:tcW w:w="1134" w:type="dxa"/>
            <w:vAlign w:val="center"/>
          </w:tcPr>
          <w:p w14:paraId="69BCCF92">
            <w:pPr>
              <w:jc w:val="center"/>
              <w:rPr>
                <w:highlight w:val="none"/>
              </w:rPr>
            </w:pPr>
          </w:p>
        </w:tc>
        <w:tc>
          <w:tcPr>
            <w:tcW w:w="1134" w:type="dxa"/>
            <w:vAlign w:val="center"/>
          </w:tcPr>
          <w:p w14:paraId="424BAEB6">
            <w:pPr>
              <w:jc w:val="center"/>
              <w:rPr>
                <w:highlight w:val="none"/>
              </w:rPr>
            </w:pPr>
          </w:p>
        </w:tc>
        <w:tc>
          <w:tcPr>
            <w:tcW w:w="1843" w:type="dxa"/>
            <w:vAlign w:val="center"/>
          </w:tcPr>
          <w:p w14:paraId="536853FB">
            <w:pPr>
              <w:jc w:val="center"/>
              <w:rPr>
                <w:highlight w:val="none"/>
              </w:rPr>
            </w:pPr>
          </w:p>
        </w:tc>
        <w:tc>
          <w:tcPr>
            <w:tcW w:w="1701" w:type="dxa"/>
            <w:vAlign w:val="center"/>
          </w:tcPr>
          <w:p w14:paraId="47C8BBAD">
            <w:pPr>
              <w:jc w:val="center"/>
              <w:rPr>
                <w:highlight w:val="none"/>
              </w:rPr>
            </w:pPr>
          </w:p>
        </w:tc>
      </w:tr>
      <w:tr w14:paraId="0B0A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0E73DECE">
            <w:pPr>
              <w:jc w:val="center"/>
              <w:rPr>
                <w:highlight w:val="none"/>
              </w:rPr>
            </w:pPr>
          </w:p>
        </w:tc>
        <w:tc>
          <w:tcPr>
            <w:tcW w:w="1117" w:type="dxa"/>
            <w:vAlign w:val="center"/>
          </w:tcPr>
          <w:p w14:paraId="6FEA5002">
            <w:pPr>
              <w:jc w:val="center"/>
              <w:rPr>
                <w:highlight w:val="none"/>
              </w:rPr>
            </w:pPr>
          </w:p>
        </w:tc>
        <w:tc>
          <w:tcPr>
            <w:tcW w:w="992" w:type="dxa"/>
            <w:vAlign w:val="center"/>
          </w:tcPr>
          <w:p w14:paraId="1CFF3D8B">
            <w:pPr>
              <w:jc w:val="center"/>
              <w:rPr>
                <w:highlight w:val="none"/>
              </w:rPr>
            </w:pPr>
          </w:p>
        </w:tc>
        <w:tc>
          <w:tcPr>
            <w:tcW w:w="709" w:type="dxa"/>
            <w:vAlign w:val="center"/>
          </w:tcPr>
          <w:p w14:paraId="5C54ACF5">
            <w:pPr>
              <w:jc w:val="center"/>
              <w:rPr>
                <w:highlight w:val="none"/>
              </w:rPr>
            </w:pPr>
          </w:p>
        </w:tc>
        <w:tc>
          <w:tcPr>
            <w:tcW w:w="1134" w:type="dxa"/>
            <w:vAlign w:val="center"/>
          </w:tcPr>
          <w:p w14:paraId="13035B81">
            <w:pPr>
              <w:jc w:val="center"/>
              <w:rPr>
                <w:highlight w:val="none"/>
              </w:rPr>
            </w:pPr>
          </w:p>
        </w:tc>
        <w:tc>
          <w:tcPr>
            <w:tcW w:w="1134" w:type="dxa"/>
            <w:vAlign w:val="center"/>
          </w:tcPr>
          <w:p w14:paraId="5FF5FF9E">
            <w:pPr>
              <w:jc w:val="center"/>
              <w:rPr>
                <w:highlight w:val="none"/>
              </w:rPr>
            </w:pPr>
          </w:p>
        </w:tc>
        <w:tc>
          <w:tcPr>
            <w:tcW w:w="1843" w:type="dxa"/>
            <w:vAlign w:val="center"/>
          </w:tcPr>
          <w:p w14:paraId="55AE8E9D">
            <w:pPr>
              <w:jc w:val="center"/>
              <w:rPr>
                <w:highlight w:val="none"/>
              </w:rPr>
            </w:pPr>
          </w:p>
        </w:tc>
        <w:tc>
          <w:tcPr>
            <w:tcW w:w="1701" w:type="dxa"/>
            <w:vAlign w:val="center"/>
          </w:tcPr>
          <w:p w14:paraId="63D0EFA9">
            <w:pPr>
              <w:jc w:val="center"/>
              <w:rPr>
                <w:highlight w:val="none"/>
              </w:rPr>
            </w:pPr>
          </w:p>
        </w:tc>
      </w:tr>
      <w:tr w14:paraId="52CF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1854C7FD">
            <w:pPr>
              <w:jc w:val="center"/>
              <w:rPr>
                <w:highlight w:val="none"/>
              </w:rPr>
            </w:pPr>
          </w:p>
        </w:tc>
        <w:tc>
          <w:tcPr>
            <w:tcW w:w="1117" w:type="dxa"/>
            <w:vAlign w:val="center"/>
          </w:tcPr>
          <w:p w14:paraId="69D2D264">
            <w:pPr>
              <w:jc w:val="center"/>
              <w:rPr>
                <w:highlight w:val="none"/>
              </w:rPr>
            </w:pPr>
          </w:p>
        </w:tc>
        <w:tc>
          <w:tcPr>
            <w:tcW w:w="992" w:type="dxa"/>
            <w:vAlign w:val="center"/>
          </w:tcPr>
          <w:p w14:paraId="4338AAD4">
            <w:pPr>
              <w:jc w:val="center"/>
              <w:rPr>
                <w:highlight w:val="none"/>
              </w:rPr>
            </w:pPr>
          </w:p>
        </w:tc>
        <w:tc>
          <w:tcPr>
            <w:tcW w:w="709" w:type="dxa"/>
            <w:vAlign w:val="center"/>
          </w:tcPr>
          <w:p w14:paraId="711C40EF">
            <w:pPr>
              <w:jc w:val="center"/>
              <w:rPr>
                <w:highlight w:val="none"/>
              </w:rPr>
            </w:pPr>
          </w:p>
        </w:tc>
        <w:tc>
          <w:tcPr>
            <w:tcW w:w="1134" w:type="dxa"/>
            <w:vAlign w:val="center"/>
          </w:tcPr>
          <w:p w14:paraId="78EF1282">
            <w:pPr>
              <w:jc w:val="center"/>
              <w:rPr>
                <w:highlight w:val="none"/>
              </w:rPr>
            </w:pPr>
          </w:p>
        </w:tc>
        <w:tc>
          <w:tcPr>
            <w:tcW w:w="1134" w:type="dxa"/>
            <w:vAlign w:val="center"/>
          </w:tcPr>
          <w:p w14:paraId="4C47BB53">
            <w:pPr>
              <w:jc w:val="center"/>
              <w:rPr>
                <w:highlight w:val="none"/>
              </w:rPr>
            </w:pPr>
          </w:p>
        </w:tc>
        <w:tc>
          <w:tcPr>
            <w:tcW w:w="1843" w:type="dxa"/>
            <w:vAlign w:val="center"/>
          </w:tcPr>
          <w:p w14:paraId="406184CB">
            <w:pPr>
              <w:jc w:val="center"/>
              <w:rPr>
                <w:highlight w:val="none"/>
              </w:rPr>
            </w:pPr>
          </w:p>
        </w:tc>
        <w:tc>
          <w:tcPr>
            <w:tcW w:w="1701" w:type="dxa"/>
            <w:vAlign w:val="center"/>
          </w:tcPr>
          <w:p w14:paraId="2B8216F9">
            <w:pPr>
              <w:jc w:val="center"/>
              <w:rPr>
                <w:highlight w:val="none"/>
              </w:rPr>
            </w:pPr>
          </w:p>
        </w:tc>
      </w:tr>
      <w:tr w14:paraId="0CD2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00465A97">
            <w:pPr>
              <w:jc w:val="center"/>
              <w:rPr>
                <w:highlight w:val="none"/>
              </w:rPr>
            </w:pPr>
          </w:p>
        </w:tc>
        <w:tc>
          <w:tcPr>
            <w:tcW w:w="1117" w:type="dxa"/>
            <w:vAlign w:val="center"/>
          </w:tcPr>
          <w:p w14:paraId="2CAC581E">
            <w:pPr>
              <w:jc w:val="center"/>
              <w:rPr>
                <w:highlight w:val="none"/>
              </w:rPr>
            </w:pPr>
          </w:p>
        </w:tc>
        <w:tc>
          <w:tcPr>
            <w:tcW w:w="992" w:type="dxa"/>
            <w:vAlign w:val="center"/>
          </w:tcPr>
          <w:p w14:paraId="22AE158D">
            <w:pPr>
              <w:jc w:val="center"/>
              <w:rPr>
                <w:highlight w:val="none"/>
              </w:rPr>
            </w:pPr>
          </w:p>
        </w:tc>
        <w:tc>
          <w:tcPr>
            <w:tcW w:w="709" w:type="dxa"/>
            <w:vAlign w:val="center"/>
          </w:tcPr>
          <w:p w14:paraId="067B4349">
            <w:pPr>
              <w:jc w:val="center"/>
              <w:rPr>
                <w:highlight w:val="none"/>
              </w:rPr>
            </w:pPr>
          </w:p>
        </w:tc>
        <w:tc>
          <w:tcPr>
            <w:tcW w:w="1134" w:type="dxa"/>
            <w:vAlign w:val="center"/>
          </w:tcPr>
          <w:p w14:paraId="70E8A398">
            <w:pPr>
              <w:jc w:val="center"/>
              <w:rPr>
                <w:highlight w:val="none"/>
              </w:rPr>
            </w:pPr>
          </w:p>
        </w:tc>
        <w:tc>
          <w:tcPr>
            <w:tcW w:w="1134" w:type="dxa"/>
            <w:vAlign w:val="center"/>
          </w:tcPr>
          <w:p w14:paraId="3A9806A8">
            <w:pPr>
              <w:jc w:val="center"/>
              <w:rPr>
                <w:highlight w:val="none"/>
              </w:rPr>
            </w:pPr>
          </w:p>
        </w:tc>
        <w:tc>
          <w:tcPr>
            <w:tcW w:w="1843" w:type="dxa"/>
            <w:vAlign w:val="center"/>
          </w:tcPr>
          <w:p w14:paraId="18C2176E">
            <w:pPr>
              <w:jc w:val="center"/>
              <w:rPr>
                <w:highlight w:val="none"/>
              </w:rPr>
            </w:pPr>
          </w:p>
        </w:tc>
        <w:tc>
          <w:tcPr>
            <w:tcW w:w="1701" w:type="dxa"/>
            <w:vAlign w:val="center"/>
          </w:tcPr>
          <w:p w14:paraId="3FBB4C91">
            <w:pPr>
              <w:jc w:val="center"/>
              <w:rPr>
                <w:highlight w:val="none"/>
              </w:rPr>
            </w:pPr>
          </w:p>
        </w:tc>
      </w:tr>
      <w:tr w14:paraId="578C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110C5056">
            <w:pPr>
              <w:jc w:val="center"/>
              <w:rPr>
                <w:highlight w:val="none"/>
              </w:rPr>
            </w:pPr>
          </w:p>
        </w:tc>
        <w:tc>
          <w:tcPr>
            <w:tcW w:w="1117" w:type="dxa"/>
            <w:vAlign w:val="center"/>
          </w:tcPr>
          <w:p w14:paraId="3DF36E67">
            <w:pPr>
              <w:jc w:val="center"/>
              <w:rPr>
                <w:highlight w:val="none"/>
              </w:rPr>
            </w:pPr>
          </w:p>
        </w:tc>
        <w:tc>
          <w:tcPr>
            <w:tcW w:w="992" w:type="dxa"/>
            <w:vAlign w:val="center"/>
          </w:tcPr>
          <w:p w14:paraId="788D5D27">
            <w:pPr>
              <w:jc w:val="center"/>
              <w:rPr>
                <w:highlight w:val="none"/>
              </w:rPr>
            </w:pPr>
          </w:p>
        </w:tc>
        <w:tc>
          <w:tcPr>
            <w:tcW w:w="709" w:type="dxa"/>
            <w:vAlign w:val="center"/>
          </w:tcPr>
          <w:p w14:paraId="7ED19768">
            <w:pPr>
              <w:jc w:val="center"/>
              <w:rPr>
                <w:highlight w:val="none"/>
              </w:rPr>
            </w:pPr>
          </w:p>
        </w:tc>
        <w:tc>
          <w:tcPr>
            <w:tcW w:w="1134" w:type="dxa"/>
            <w:vAlign w:val="center"/>
          </w:tcPr>
          <w:p w14:paraId="13C5CE88">
            <w:pPr>
              <w:jc w:val="center"/>
              <w:rPr>
                <w:highlight w:val="none"/>
              </w:rPr>
            </w:pPr>
          </w:p>
        </w:tc>
        <w:tc>
          <w:tcPr>
            <w:tcW w:w="1134" w:type="dxa"/>
            <w:vAlign w:val="center"/>
          </w:tcPr>
          <w:p w14:paraId="2A937091">
            <w:pPr>
              <w:jc w:val="center"/>
              <w:rPr>
                <w:highlight w:val="none"/>
              </w:rPr>
            </w:pPr>
          </w:p>
        </w:tc>
        <w:tc>
          <w:tcPr>
            <w:tcW w:w="1843" w:type="dxa"/>
            <w:vAlign w:val="center"/>
          </w:tcPr>
          <w:p w14:paraId="21FC303C">
            <w:pPr>
              <w:jc w:val="center"/>
              <w:rPr>
                <w:highlight w:val="none"/>
              </w:rPr>
            </w:pPr>
          </w:p>
        </w:tc>
        <w:tc>
          <w:tcPr>
            <w:tcW w:w="1701" w:type="dxa"/>
            <w:vAlign w:val="center"/>
          </w:tcPr>
          <w:p w14:paraId="3F6D7890">
            <w:pPr>
              <w:jc w:val="center"/>
              <w:rPr>
                <w:highlight w:val="none"/>
              </w:rPr>
            </w:pPr>
          </w:p>
        </w:tc>
      </w:tr>
      <w:tr w14:paraId="37B7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0B0AEBB0">
            <w:pPr>
              <w:jc w:val="center"/>
              <w:rPr>
                <w:highlight w:val="none"/>
              </w:rPr>
            </w:pPr>
          </w:p>
        </w:tc>
        <w:tc>
          <w:tcPr>
            <w:tcW w:w="1117" w:type="dxa"/>
            <w:vAlign w:val="center"/>
          </w:tcPr>
          <w:p w14:paraId="12423E69">
            <w:pPr>
              <w:jc w:val="center"/>
              <w:rPr>
                <w:highlight w:val="none"/>
              </w:rPr>
            </w:pPr>
          </w:p>
        </w:tc>
        <w:tc>
          <w:tcPr>
            <w:tcW w:w="992" w:type="dxa"/>
            <w:vAlign w:val="center"/>
          </w:tcPr>
          <w:p w14:paraId="7DA785E5">
            <w:pPr>
              <w:jc w:val="center"/>
              <w:rPr>
                <w:highlight w:val="none"/>
              </w:rPr>
            </w:pPr>
          </w:p>
        </w:tc>
        <w:tc>
          <w:tcPr>
            <w:tcW w:w="709" w:type="dxa"/>
            <w:vAlign w:val="center"/>
          </w:tcPr>
          <w:p w14:paraId="28F145C0">
            <w:pPr>
              <w:jc w:val="center"/>
              <w:rPr>
                <w:highlight w:val="none"/>
              </w:rPr>
            </w:pPr>
          </w:p>
        </w:tc>
        <w:tc>
          <w:tcPr>
            <w:tcW w:w="1134" w:type="dxa"/>
            <w:vAlign w:val="center"/>
          </w:tcPr>
          <w:p w14:paraId="1316120E">
            <w:pPr>
              <w:jc w:val="center"/>
              <w:rPr>
                <w:highlight w:val="none"/>
              </w:rPr>
            </w:pPr>
          </w:p>
        </w:tc>
        <w:tc>
          <w:tcPr>
            <w:tcW w:w="1134" w:type="dxa"/>
            <w:vAlign w:val="center"/>
          </w:tcPr>
          <w:p w14:paraId="56601950">
            <w:pPr>
              <w:jc w:val="center"/>
              <w:rPr>
                <w:highlight w:val="none"/>
              </w:rPr>
            </w:pPr>
          </w:p>
        </w:tc>
        <w:tc>
          <w:tcPr>
            <w:tcW w:w="1843" w:type="dxa"/>
            <w:vAlign w:val="center"/>
          </w:tcPr>
          <w:p w14:paraId="4BA755C1">
            <w:pPr>
              <w:jc w:val="center"/>
              <w:rPr>
                <w:highlight w:val="none"/>
              </w:rPr>
            </w:pPr>
          </w:p>
        </w:tc>
        <w:tc>
          <w:tcPr>
            <w:tcW w:w="1701" w:type="dxa"/>
            <w:vAlign w:val="center"/>
          </w:tcPr>
          <w:p w14:paraId="74369FE8">
            <w:pPr>
              <w:jc w:val="center"/>
              <w:rPr>
                <w:highlight w:val="none"/>
              </w:rPr>
            </w:pPr>
          </w:p>
        </w:tc>
      </w:tr>
      <w:tr w14:paraId="264C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278AC4E4">
            <w:pPr>
              <w:jc w:val="center"/>
              <w:rPr>
                <w:highlight w:val="none"/>
              </w:rPr>
            </w:pPr>
          </w:p>
        </w:tc>
        <w:tc>
          <w:tcPr>
            <w:tcW w:w="1117" w:type="dxa"/>
            <w:vAlign w:val="center"/>
          </w:tcPr>
          <w:p w14:paraId="1743355A">
            <w:pPr>
              <w:jc w:val="center"/>
              <w:rPr>
                <w:highlight w:val="none"/>
              </w:rPr>
            </w:pPr>
          </w:p>
        </w:tc>
        <w:tc>
          <w:tcPr>
            <w:tcW w:w="992" w:type="dxa"/>
            <w:vAlign w:val="center"/>
          </w:tcPr>
          <w:p w14:paraId="6338EFB5">
            <w:pPr>
              <w:jc w:val="center"/>
              <w:rPr>
                <w:highlight w:val="none"/>
              </w:rPr>
            </w:pPr>
          </w:p>
        </w:tc>
        <w:tc>
          <w:tcPr>
            <w:tcW w:w="709" w:type="dxa"/>
            <w:vAlign w:val="center"/>
          </w:tcPr>
          <w:p w14:paraId="599451CD">
            <w:pPr>
              <w:jc w:val="center"/>
              <w:rPr>
                <w:highlight w:val="none"/>
              </w:rPr>
            </w:pPr>
          </w:p>
        </w:tc>
        <w:tc>
          <w:tcPr>
            <w:tcW w:w="1134" w:type="dxa"/>
            <w:vAlign w:val="center"/>
          </w:tcPr>
          <w:p w14:paraId="539C0AD4">
            <w:pPr>
              <w:jc w:val="center"/>
              <w:rPr>
                <w:highlight w:val="none"/>
              </w:rPr>
            </w:pPr>
          </w:p>
        </w:tc>
        <w:tc>
          <w:tcPr>
            <w:tcW w:w="1134" w:type="dxa"/>
            <w:vAlign w:val="center"/>
          </w:tcPr>
          <w:p w14:paraId="1633EE11">
            <w:pPr>
              <w:jc w:val="center"/>
              <w:rPr>
                <w:highlight w:val="none"/>
              </w:rPr>
            </w:pPr>
          </w:p>
        </w:tc>
        <w:tc>
          <w:tcPr>
            <w:tcW w:w="1843" w:type="dxa"/>
            <w:vAlign w:val="center"/>
          </w:tcPr>
          <w:p w14:paraId="6D9A7A72">
            <w:pPr>
              <w:jc w:val="center"/>
              <w:rPr>
                <w:highlight w:val="none"/>
              </w:rPr>
            </w:pPr>
          </w:p>
        </w:tc>
        <w:tc>
          <w:tcPr>
            <w:tcW w:w="1701" w:type="dxa"/>
            <w:vAlign w:val="center"/>
          </w:tcPr>
          <w:p w14:paraId="17641145">
            <w:pPr>
              <w:jc w:val="center"/>
              <w:rPr>
                <w:highlight w:val="none"/>
              </w:rPr>
            </w:pPr>
          </w:p>
        </w:tc>
      </w:tr>
      <w:tr w14:paraId="27F0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7AC65544">
            <w:pPr>
              <w:jc w:val="center"/>
              <w:rPr>
                <w:highlight w:val="none"/>
              </w:rPr>
            </w:pPr>
          </w:p>
        </w:tc>
        <w:tc>
          <w:tcPr>
            <w:tcW w:w="1117" w:type="dxa"/>
            <w:vAlign w:val="center"/>
          </w:tcPr>
          <w:p w14:paraId="26225B26">
            <w:pPr>
              <w:jc w:val="center"/>
              <w:rPr>
                <w:highlight w:val="none"/>
              </w:rPr>
            </w:pPr>
          </w:p>
        </w:tc>
        <w:tc>
          <w:tcPr>
            <w:tcW w:w="992" w:type="dxa"/>
            <w:vAlign w:val="center"/>
          </w:tcPr>
          <w:p w14:paraId="57C98A95">
            <w:pPr>
              <w:jc w:val="center"/>
              <w:rPr>
                <w:highlight w:val="none"/>
              </w:rPr>
            </w:pPr>
          </w:p>
        </w:tc>
        <w:tc>
          <w:tcPr>
            <w:tcW w:w="709" w:type="dxa"/>
            <w:vAlign w:val="center"/>
          </w:tcPr>
          <w:p w14:paraId="42E71296">
            <w:pPr>
              <w:jc w:val="center"/>
              <w:rPr>
                <w:highlight w:val="none"/>
              </w:rPr>
            </w:pPr>
          </w:p>
        </w:tc>
        <w:tc>
          <w:tcPr>
            <w:tcW w:w="1134" w:type="dxa"/>
            <w:vAlign w:val="center"/>
          </w:tcPr>
          <w:p w14:paraId="51D90DC3">
            <w:pPr>
              <w:jc w:val="center"/>
              <w:rPr>
                <w:highlight w:val="none"/>
              </w:rPr>
            </w:pPr>
          </w:p>
        </w:tc>
        <w:tc>
          <w:tcPr>
            <w:tcW w:w="1134" w:type="dxa"/>
            <w:vAlign w:val="center"/>
          </w:tcPr>
          <w:p w14:paraId="0A913C30">
            <w:pPr>
              <w:jc w:val="center"/>
              <w:rPr>
                <w:highlight w:val="none"/>
              </w:rPr>
            </w:pPr>
          </w:p>
        </w:tc>
        <w:tc>
          <w:tcPr>
            <w:tcW w:w="1843" w:type="dxa"/>
            <w:vAlign w:val="center"/>
          </w:tcPr>
          <w:p w14:paraId="5632B56A">
            <w:pPr>
              <w:jc w:val="center"/>
              <w:rPr>
                <w:highlight w:val="none"/>
              </w:rPr>
            </w:pPr>
          </w:p>
        </w:tc>
        <w:tc>
          <w:tcPr>
            <w:tcW w:w="1701" w:type="dxa"/>
            <w:vAlign w:val="center"/>
          </w:tcPr>
          <w:p w14:paraId="4DF35BE1">
            <w:pPr>
              <w:jc w:val="center"/>
              <w:rPr>
                <w:highlight w:val="none"/>
              </w:rPr>
            </w:pPr>
          </w:p>
        </w:tc>
      </w:tr>
      <w:tr w14:paraId="48AF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5A75D9DE">
            <w:pPr>
              <w:jc w:val="center"/>
              <w:rPr>
                <w:highlight w:val="none"/>
              </w:rPr>
            </w:pPr>
          </w:p>
        </w:tc>
        <w:tc>
          <w:tcPr>
            <w:tcW w:w="1117" w:type="dxa"/>
            <w:vAlign w:val="center"/>
          </w:tcPr>
          <w:p w14:paraId="2FBEEADD">
            <w:pPr>
              <w:jc w:val="center"/>
              <w:rPr>
                <w:highlight w:val="none"/>
              </w:rPr>
            </w:pPr>
          </w:p>
        </w:tc>
        <w:tc>
          <w:tcPr>
            <w:tcW w:w="992" w:type="dxa"/>
            <w:vAlign w:val="center"/>
          </w:tcPr>
          <w:p w14:paraId="1679C08D">
            <w:pPr>
              <w:jc w:val="center"/>
              <w:rPr>
                <w:highlight w:val="none"/>
              </w:rPr>
            </w:pPr>
          </w:p>
        </w:tc>
        <w:tc>
          <w:tcPr>
            <w:tcW w:w="709" w:type="dxa"/>
            <w:vAlign w:val="center"/>
          </w:tcPr>
          <w:p w14:paraId="59953B53">
            <w:pPr>
              <w:jc w:val="center"/>
              <w:rPr>
                <w:highlight w:val="none"/>
              </w:rPr>
            </w:pPr>
          </w:p>
        </w:tc>
        <w:tc>
          <w:tcPr>
            <w:tcW w:w="1134" w:type="dxa"/>
            <w:vAlign w:val="center"/>
          </w:tcPr>
          <w:p w14:paraId="04BE20CD">
            <w:pPr>
              <w:jc w:val="center"/>
              <w:rPr>
                <w:highlight w:val="none"/>
              </w:rPr>
            </w:pPr>
          </w:p>
        </w:tc>
        <w:tc>
          <w:tcPr>
            <w:tcW w:w="1134" w:type="dxa"/>
            <w:vAlign w:val="center"/>
          </w:tcPr>
          <w:p w14:paraId="5EC7E29E">
            <w:pPr>
              <w:jc w:val="center"/>
              <w:rPr>
                <w:highlight w:val="none"/>
              </w:rPr>
            </w:pPr>
          </w:p>
        </w:tc>
        <w:tc>
          <w:tcPr>
            <w:tcW w:w="1843" w:type="dxa"/>
            <w:vAlign w:val="center"/>
          </w:tcPr>
          <w:p w14:paraId="23FE3B3F">
            <w:pPr>
              <w:jc w:val="center"/>
              <w:rPr>
                <w:highlight w:val="none"/>
              </w:rPr>
            </w:pPr>
          </w:p>
        </w:tc>
        <w:tc>
          <w:tcPr>
            <w:tcW w:w="1701" w:type="dxa"/>
            <w:vAlign w:val="center"/>
          </w:tcPr>
          <w:p w14:paraId="4EFF5F95">
            <w:pPr>
              <w:jc w:val="center"/>
              <w:rPr>
                <w:highlight w:val="none"/>
              </w:rPr>
            </w:pPr>
          </w:p>
        </w:tc>
      </w:tr>
      <w:tr w14:paraId="6AA4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2735D043">
            <w:pPr>
              <w:jc w:val="center"/>
              <w:rPr>
                <w:highlight w:val="none"/>
              </w:rPr>
            </w:pPr>
          </w:p>
        </w:tc>
        <w:tc>
          <w:tcPr>
            <w:tcW w:w="1117" w:type="dxa"/>
            <w:vAlign w:val="center"/>
          </w:tcPr>
          <w:p w14:paraId="31564C82">
            <w:pPr>
              <w:jc w:val="center"/>
              <w:rPr>
                <w:highlight w:val="none"/>
              </w:rPr>
            </w:pPr>
          </w:p>
        </w:tc>
        <w:tc>
          <w:tcPr>
            <w:tcW w:w="992" w:type="dxa"/>
            <w:vAlign w:val="center"/>
          </w:tcPr>
          <w:p w14:paraId="62678840">
            <w:pPr>
              <w:jc w:val="center"/>
              <w:rPr>
                <w:highlight w:val="none"/>
              </w:rPr>
            </w:pPr>
          </w:p>
        </w:tc>
        <w:tc>
          <w:tcPr>
            <w:tcW w:w="709" w:type="dxa"/>
            <w:vAlign w:val="center"/>
          </w:tcPr>
          <w:p w14:paraId="522693A3">
            <w:pPr>
              <w:jc w:val="center"/>
              <w:rPr>
                <w:highlight w:val="none"/>
              </w:rPr>
            </w:pPr>
          </w:p>
        </w:tc>
        <w:tc>
          <w:tcPr>
            <w:tcW w:w="1134" w:type="dxa"/>
            <w:vAlign w:val="center"/>
          </w:tcPr>
          <w:p w14:paraId="0CA5CA42">
            <w:pPr>
              <w:jc w:val="center"/>
              <w:rPr>
                <w:highlight w:val="none"/>
              </w:rPr>
            </w:pPr>
          </w:p>
        </w:tc>
        <w:tc>
          <w:tcPr>
            <w:tcW w:w="1134" w:type="dxa"/>
            <w:vAlign w:val="center"/>
          </w:tcPr>
          <w:p w14:paraId="5E405516">
            <w:pPr>
              <w:jc w:val="center"/>
              <w:rPr>
                <w:highlight w:val="none"/>
              </w:rPr>
            </w:pPr>
          </w:p>
        </w:tc>
        <w:tc>
          <w:tcPr>
            <w:tcW w:w="1843" w:type="dxa"/>
            <w:vAlign w:val="center"/>
          </w:tcPr>
          <w:p w14:paraId="18F39567">
            <w:pPr>
              <w:jc w:val="center"/>
              <w:rPr>
                <w:highlight w:val="none"/>
              </w:rPr>
            </w:pPr>
          </w:p>
        </w:tc>
        <w:tc>
          <w:tcPr>
            <w:tcW w:w="1701" w:type="dxa"/>
            <w:vAlign w:val="center"/>
          </w:tcPr>
          <w:p w14:paraId="239E8F15">
            <w:pPr>
              <w:jc w:val="center"/>
              <w:rPr>
                <w:highlight w:val="none"/>
              </w:rPr>
            </w:pPr>
          </w:p>
        </w:tc>
      </w:tr>
      <w:tr w14:paraId="1A0E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0A15A9B7">
            <w:pPr>
              <w:jc w:val="center"/>
              <w:rPr>
                <w:highlight w:val="none"/>
              </w:rPr>
            </w:pPr>
          </w:p>
        </w:tc>
        <w:tc>
          <w:tcPr>
            <w:tcW w:w="1117" w:type="dxa"/>
            <w:vAlign w:val="center"/>
          </w:tcPr>
          <w:p w14:paraId="4BA1275F">
            <w:pPr>
              <w:jc w:val="center"/>
              <w:rPr>
                <w:highlight w:val="none"/>
              </w:rPr>
            </w:pPr>
          </w:p>
        </w:tc>
        <w:tc>
          <w:tcPr>
            <w:tcW w:w="992" w:type="dxa"/>
            <w:vAlign w:val="center"/>
          </w:tcPr>
          <w:p w14:paraId="06AF00AA">
            <w:pPr>
              <w:jc w:val="center"/>
              <w:rPr>
                <w:highlight w:val="none"/>
              </w:rPr>
            </w:pPr>
          </w:p>
        </w:tc>
        <w:tc>
          <w:tcPr>
            <w:tcW w:w="709" w:type="dxa"/>
            <w:vAlign w:val="center"/>
          </w:tcPr>
          <w:p w14:paraId="4CAFD9C9">
            <w:pPr>
              <w:jc w:val="center"/>
              <w:rPr>
                <w:highlight w:val="none"/>
              </w:rPr>
            </w:pPr>
          </w:p>
        </w:tc>
        <w:tc>
          <w:tcPr>
            <w:tcW w:w="1134" w:type="dxa"/>
            <w:vAlign w:val="center"/>
          </w:tcPr>
          <w:p w14:paraId="6737C8D2">
            <w:pPr>
              <w:jc w:val="center"/>
              <w:rPr>
                <w:highlight w:val="none"/>
              </w:rPr>
            </w:pPr>
          </w:p>
        </w:tc>
        <w:tc>
          <w:tcPr>
            <w:tcW w:w="1134" w:type="dxa"/>
            <w:vAlign w:val="center"/>
          </w:tcPr>
          <w:p w14:paraId="3C6D7758">
            <w:pPr>
              <w:jc w:val="center"/>
              <w:rPr>
                <w:highlight w:val="none"/>
              </w:rPr>
            </w:pPr>
          </w:p>
        </w:tc>
        <w:tc>
          <w:tcPr>
            <w:tcW w:w="1843" w:type="dxa"/>
            <w:vAlign w:val="center"/>
          </w:tcPr>
          <w:p w14:paraId="6ECF0F4F">
            <w:pPr>
              <w:jc w:val="center"/>
              <w:rPr>
                <w:highlight w:val="none"/>
              </w:rPr>
            </w:pPr>
          </w:p>
        </w:tc>
        <w:tc>
          <w:tcPr>
            <w:tcW w:w="1701" w:type="dxa"/>
            <w:vAlign w:val="center"/>
          </w:tcPr>
          <w:p w14:paraId="585BF605">
            <w:pPr>
              <w:jc w:val="center"/>
              <w:rPr>
                <w:highlight w:val="none"/>
              </w:rPr>
            </w:pPr>
          </w:p>
        </w:tc>
      </w:tr>
      <w:tr w14:paraId="48E2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23E3A996">
            <w:pPr>
              <w:jc w:val="center"/>
              <w:rPr>
                <w:highlight w:val="none"/>
              </w:rPr>
            </w:pPr>
          </w:p>
        </w:tc>
        <w:tc>
          <w:tcPr>
            <w:tcW w:w="1117" w:type="dxa"/>
            <w:vAlign w:val="center"/>
          </w:tcPr>
          <w:p w14:paraId="3D873647">
            <w:pPr>
              <w:jc w:val="center"/>
              <w:rPr>
                <w:highlight w:val="none"/>
              </w:rPr>
            </w:pPr>
          </w:p>
        </w:tc>
        <w:tc>
          <w:tcPr>
            <w:tcW w:w="992" w:type="dxa"/>
            <w:vAlign w:val="center"/>
          </w:tcPr>
          <w:p w14:paraId="43469BA7">
            <w:pPr>
              <w:jc w:val="center"/>
              <w:rPr>
                <w:highlight w:val="none"/>
              </w:rPr>
            </w:pPr>
          </w:p>
        </w:tc>
        <w:tc>
          <w:tcPr>
            <w:tcW w:w="709" w:type="dxa"/>
            <w:vAlign w:val="center"/>
          </w:tcPr>
          <w:p w14:paraId="10474E23">
            <w:pPr>
              <w:jc w:val="center"/>
              <w:rPr>
                <w:highlight w:val="none"/>
              </w:rPr>
            </w:pPr>
          </w:p>
        </w:tc>
        <w:tc>
          <w:tcPr>
            <w:tcW w:w="1134" w:type="dxa"/>
            <w:vAlign w:val="center"/>
          </w:tcPr>
          <w:p w14:paraId="32D7620B">
            <w:pPr>
              <w:jc w:val="center"/>
              <w:rPr>
                <w:highlight w:val="none"/>
              </w:rPr>
            </w:pPr>
          </w:p>
        </w:tc>
        <w:tc>
          <w:tcPr>
            <w:tcW w:w="1134" w:type="dxa"/>
            <w:vAlign w:val="center"/>
          </w:tcPr>
          <w:p w14:paraId="31CB44C8">
            <w:pPr>
              <w:jc w:val="center"/>
              <w:rPr>
                <w:highlight w:val="none"/>
              </w:rPr>
            </w:pPr>
          </w:p>
        </w:tc>
        <w:tc>
          <w:tcPr>
            <w:tcW w:w="1843" w:type="dxa"/>
            <w:vAlign w:val="center"/>
          </w:tcPr>
          <w:p w14:paraId="1A184AE1">
            <w:pPr>
              <w:jc w:val="center"/>
              <w:rPr>
                <w:highlight w:val="none"/>
              </w:rPr>
            </w:pPr>
          </w:p>
        </w:tc>
        <w:tc>
          <w:tcPr>
            <w:tcW w:w="1701" w:type="dxa"/>
            <w:vAlign w:val="center"/>
          </w:tcPr>
          <w:p w14:paraId="67403112">
            <w:pPr>
              <w:jc w:val="center"/>
              <w:rPr>
                <w:highlight w:val="none"/>
              </w:rPr>
            </w:pPr>
          </w:p>
        </w:tc>
      </w:tr>
      <w:tr w14:paraId="78F1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1EA89B9B">
            <w:pPr>
              <w:jc w:val="center"/>
              <w:rPr>
                <w:highlight w:val="none"/>
              </w:rPr>
            </w:pPr>
          </w:p>
        </w:tc>
        <w:tc>
          <w:tcPr>
            <w:tcW w:w="1117" w:type="dxa"/>
            <w:vAlign w:val="center"/>
          </w:tcPr>
          <w:p w14:paraId="530EC5FA">
            <w:pPr>
              <w:jc w:val="center"/>
              <w:rPr>
                <w:highlight w:val="none"/>
              </w:rPr>
            </w:pPr>
          </w:p>
        </w:tc>
        <w:tc>
          <w:tcPr>
            <w:tcW w:w="992" w:type="dxa"/>
            <w:vAlign w:val="center"/>
          </w:tcPr>
          <w:p w14:paraId="7DD8BB63">
            <w:pPr>
              <w:jc w:val="center"/>
              <w:rPr>
                <w:highlight w:val="none"/>
              </w:rPr>
            </w:pPr>
          </w:p>
        </w:tc>
        <w:tc>
          <w:tcPr>
            <w:tcW w:w="709" w:type="dxa"/>
            <w:vAlign w:val="center"/>
          </w:tcPr>
          <w:p w14:paraId="0D82254D">
            <w:pPr>
              <w:jc w:val="center"/>
              <w:rPr>
                <w:highlight w:val="none"/>
              </w:rPr>
            </w:pPr>
          </w:p>
        </w:tc>
        <w:tc>
          <w:tcPr>
            <w:tcW w:w="1134" w:type="dxa"/>
            <w:vAlign w:val="center"/>
          </w:tcPr>
          <w:p w14:paraId="3FB3E193">
            <w:pPr>
              <w:jc w:val="center"/>
              <w:rPr>
                <w:highlight w:val="none"/>
              </w:rPr>
            </w:pPr>
          </w:p>
        </w:tc>
        <w:tc>
          <w:tcPr>
            <w:tcW w:w="1134" w:type="dxa"/>
            <w:vAlign w:val="center"/>
          </w:tcPr>
          <w:p w14:paraId="5E3A5928">
            <w:pPr>
              <w:jc w:val="center"/>
              <w:rPr>
                <w:highlight w:val="none"/>
              </w:rPr>
            </w:pPr>
          </w:p>
        </w:tc>
        <w:tc>
          <w:tcPr>
            <w:tcW w:w="1843" w:type="dxa"/>
            <w:vAlign w:val="center"/>
          </w:tcPr>
          <w:p w14:paraId="46BD7A07">
            <w:pPr>
              <w:jc w:val="center"/>
              <w:rPr>
                <w:highlight w:val="none"/>
              </w:rPr>
            </w:pPr>
          </w:p>
        </w:tc>
        <w:tc>
          <w:tcPr>
            <w:tcW w:w="1701" w:type="dxa"/>
            <w:vAlign w:val="center"/>
          </w:tcPr>
          <w:p w14:paraId="4A8AEECE">
            <w:pPr>
              <w:jc w:val="center"/>
              <w:rPr>
                <w:highlight w:val="none"/>
              </w:rPr>
            </w:pPr>
          </w:p>
        </w:tc>
      </w:tr>
      <w:tr w14:paraId="6A1F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65E8E4A0">
            <w:pPr>
              <w:jc w:val="center"/>
              <w:rPr>
                <w:highlight w:val="none"/>
              </w:rPr>
            </w:pPr>
          </w:p>
        </w:tc>
        <w:tc>
          <w:tcPr>
            <w:tcW w:w="1117" w:type="dxa"/>
            <w:vAlign w:val="center"/>
          </w:tcPr>
          <w:p w14:paraId="76BAEE9D">
            <w:pPr>
              <w:jc w:val="center"/>
              <w:rPr>
                <w:highlight w:val="none"/>
              </w:rPr>
            </w:pPr>
          </w:p>
        </w:tc>
        <w:tc>
          <w:tcPr>
            <w:tcW w:w="992" w:type="dxa"/>
            <w:vAlign w:val="center"/>
          </w:tcPr>
          <w:p w14:paraId="6E6E44D1">
            <w:pPr>
              <w:jc w:val="center"/>
              <w:rPr>
                <w:highlight w:val="none"/>
              </w:rPr>
            </w:pPr>
          </w:p>
        </w:tc>
        <w:tc>
          <w:tcPr>
            <w:tcW w:w="709" w:type="dxa"/>
            <w:vAlign w:val="center"/>
          </w:tcPr>
          <w:p w14:paraId="3215B258">
            <w:pPr>
              <w:jc w:val="center"/>
              <w:rPr>
                <w:highlight w:val="none"/>
              </w:rPr>
            </w:pPr>
          </w:p>
        </w:tc>
        <w:tc>
          <w:tcPr>
            <w:tcW w:w="1134" w:type="dxa"/>
            <w:vAlign w:val="center"/>
          </w:tcPr>
          <w:p w14:paraId="7692B4CF">
            <w:pPr>
              <w:jc w:val="center"/>
              <w:rPr>
                <w:highlight w:val="none"/>
              </w:rPr>
            </w:pPr>
          </w:p>
        </w:tc>
        <w:tc>
          <w:tcPr>
            <w:tcW w:w="1134" w:type="dxa"/>
            <w:vAlign w:val="center"/>
          </w:tcPr>
          <w:p w14:paraId="0FDA1FC9">
            <w:pPr>
              <w:jc w:val="center"/>
              <w:rPr>
                <w:highlight w:val="none"/>
              </w:rPr>
            </w:pPr>
          </w:p>
        </w:tc>
        <w:tc>
          <w:tcPr>
            <w:tcW w:w="1843" w:type="dxa"/>
            <w:vAlign w:val="center"/>
          </w:tcPr>
          <w:p w14:paraId="7529A7BF">
            <w:pPr>
              <w:jc w:val="center"/>
              <w:rPr>
                <w:highlight w:val="none"/>
              </w:rPr>
            </w:pPr>
          </w:p>
        </w:tc>
        <w:tc>
          <w:tcPr>
            <w:tcW w:w="1701" w:type="dxa"/>
            <w:vAlign w:val="center"/>
          </w:tcPr>
          <w:p w14:paraId="05057E28">
            <w:pPr>
              <w:jc w:val="center"/>
              <w:rPr>
                <w:highlight w:val="none"/>
              </w:rPr>
            </w:pPr>
          </w:p>
        </w:tc>
      </w:tr>
      <w:tr w14:paraId="114D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488283A3">
            <w:pPr>
              <w:jc w:val="center"/>
              <w:rPr>
                <w:highlight w:val="none"/>
              </w:rPr>
            </w:pPr>
          </w:p>
        </w:tc>
        <w:tc>
          <w:tcPr>
            <w:tcW w:w="1117" w:type="dxa"/>
            <w:vAlign w:val="center"/>
          </w:tcPr>
          <w:p w14:paraId="41FDD313">
            <w:pPr>
              <w:jc w:val="center"/>
              <w:rPr>
                <w:highlight w:val="none"/>
              </w:rPr>
            </w:pPr>
          </w:p>
        </w:tc>
        <w:tc>
          <w:tcPr>
            <w:tcW w:w="992" w:type="dxa"/>
            <w:vAlign w:val="center"/>
          </w:tcPr>
          <w:p w14:paraId="3B74A0C1">
            <w:pPr>
              <w:jc w:val="center"/>
              <w:rPr>
                <w:highlight w:val="none"/>
              </w:rPr>
            </w:pPr>
          </w:p>
        </w:tc>
        <w:tc>
          <w:tcPr>
            <w:tcW w:w="709" w:type="dxa"/>
            <w:vAlign w:val="center"/>
          </w:tcPr>
          <w:p w14:paraId="6EA9ECCB">
            <w:pPr>
              <w:jc w:val="center"/>
              <w:rPr>
                <w:highlight w:val="none"/>
              </w:rPr>
            </w:pPr>
          </w:p>
        </w:tc>
        <w:tc>
          <w:tcPr>
            <w:tcW w:w="1134" w:type="dxa"/>
            <w:vAlign w:val="center"/>
          </w:tcPr>
          <w:p w14:paraId="39E76FD1">
            <w:pPr>
              <w:jc w:val="center"/>
              <w:rPr>
                <w:highlight w:val="none"/>
              </w:rPr>
            </w:pPr>
          </w:p>
        </w:tc>
        <w:tc>
          <w:tcPr>
            <w:tcW w:w="1134" w:type="dxa"/>
            <w:vAlign w:val="center"/>
          </w:tcPr>
          <w:p w14:paraId="11CB8E6F">
            <w:pPr>
              <w:jc w:val="center"/>
              <w:rPr>
                <w:highlight w:val="none"/>
              </w:rPr>
            </w:pPr>
          </w:p>
        </w:tc>
        <w:tc>
          <w:tcPr>
            <w:tcW w:w="1843" w:type="dxa"/>
            <w:vAlign w:val="center"/>
          </w:tcPr>
          <w:p w14:paraId="29BA9A70">
            <w:pPr>
              <w:jc w:val="center"/>
              <w:rPr>
                <w:highlight w:val="none"/>
              </w:rPr>
            </w:pPr>
          </w:p>
        </w:tc>
        <w:tc>
          <w:tcPr>
            <w:tcW w:w="1701" w:type="dxa"/>
            <w:vAlign w:val="center"/>
          </w:tcPr>
          <w:p w14:paraId="13C2849D">
            <w:pPr>
              <w:jc w:val="center"/>
              <w:rPr>
                <w:highlight w:val="none"/>
              </w:rPr>
            </w:pPr>
          </w:p>
        </w:tc>
      </w:tr>
      <w:tr w14:paraId="70A2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58F2340A">
            <w:pPr>
              <w:jc w:val="center"/>
              <w:rPr>
                <w:highlight w:val="none"/>
              </w:rPr>
            </w:pPr>
          </w:p>
        </w:tc>
        <w:tc>
          <w:tcPr>
            <w:tcW w:w="1117" w:type="dxa"/>
            <w:vAlign w:val="center"/>
          </w:tcPr>
          <w:p w14:paraId="78553AAB">
            <w:pPr>
              <w:jc w:val="center"/>
              <w:rPr>
                <w:highlight w:val="none"/>
              </w:rPr>
            </w:pPr>
          </w:p>
        </w:tc>
        <w:tc>
          <w:tcPr>
            <w:tcW w:w="992" w:type="dxa"/>
            <w:vAlign w:val="center"/>
          </w:tcPr>
          <w:p w14:paraId="26C7E1EC">
            <w:pPr>
              <w:jc w:val="center"/>
              <w:rPr>
                <w:highlight w:val="none"/>
              </w:rPr>
            </w:pPr>
          </w:p>
        </w:tc>
        <w:tc>
          <w:tcPr>
            <w:tcW w:w="709" w:type="dxa"/>
            <w:vAlign w:val="center"/>
          </w:tcPr>
          <w:p w14:paraId="42F43C1D">
            <w:pPr>
              <w:jc w:val="center"/>
              <w:rPr>
                <w:highlight w:val="none"/>
              </w:rPr>
            </w:pPr>
          </w:p>
        </w:tc>
        <w:tc>
          <w:tcPr>
            <w:tcW w:w="1134" w:type="dxa"/>
            <w:vAlign w:val="center"/>
          </w:tcPr>
          <w:p w14:paraId="1E0FB6D1">
            <w:pPr>
              <w:jc w:val="center"/>
              <w:rPr>
                <w:highlight w:val="none"/>
              </w:rPr>
            </w:pPr>
          </w:p>
        </w:tc>
        <w:tc>
          <w:tcPr>
            <w:tcW w:w="1134" w:type="dxa"/>
            <w:vAlign w:val="center"/>
          </w:tcPr>
          <w:p w14:paraId="6951CD73">
            <w:pPr>
              <w:jc w:val="center"/>
              <w:rPr>
                <w:highlight w:val="none"/>
              </w:rPr>
            </w:pPr>
          </w:p>
        </w:tc>
        <w:tc>
          <w:tcPr>
            <w:tcW w:w="1843" w:type="dxa"/>
            <w:vAlign w:val="center"/>
          </w:tcPr>
          <w:p w14:paraId="1CCE49F8">
            <w:pPr>
              <w:jc w:val="center"/>
              <w:rPr>
                <w:highlight w:val="none"/>
              </w:rPr>
            </w:pPr>
          </w:p>
        </w:tc>
        <w:tc>
          <w:tcPr>
            <w:tcW w:w="1701" w:type="dxa"/>
            <w:vAlign w:val="center"/>
          </w:tcPr>
          <w:p w14:paraId="66EF2788">
            <w:pPr>
              <w:jc w:val="center"/>
              <w:rPr>
                <w:highlight w:val="none"/>
              </w:rPr>
            </w:pPr>
          </w:p>
        </w:tc>
      </w:tr>
      <w:tr w14:paraId="1962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6" w:type="dxa"/>
            <w:vAlign w:val="center"/>
          </w:tcPr>
          <w:p w14:paraId="54C563AB">
            <w:pPr>
              <w:jc w:val="center"/>
              <w:rPr>
                <w:highlight w:val="none"/>
              </w:rPr>
            </w:pPr>
          </w:p>
        </w:tc>
        <w:tc>
          <w:tcPr>
            <w:tcW w:w="1117" w:type="dxa"/>
            <w:vAlign w:val="center"/>
          </w:tcPr>
          <w:p w14:paraId="0CDF1ACF">
            <w:pPr>
              <w:jc w:val="center"/>
              <w:rPr>
                <w:highlight w:val="none"/>
              </w:rPr>
            </w:pPr>
          </w:p>
        </w:tc>
        <w:tc>
          <w:tcPr>
            <w:tcW w:w="992" w:type="dxa"/>
            <w:vAlign w:val="center"/>
          </w:tcPr>
          <w:p w14:paraId="00FE0D64">
            <w:pPr>
              <w:jc w:val="center"/>
              <w:rPr>
                <w:highlight w:val="none"/>
              </w:rPr>
            </w:pPr>
          </w:p>
        </w:tc>
        <w:tc>
          <w:tcPr>
            <w:tcW w:w="709" w:type="dxa"/>
            <w:vAlign w:val="center"/>
          </w:tcPr>
          <w:p w14:paraId="538D6474">
            <w:pPr>
              <w:jc w:val="center"/>
              <w:rPr>
                <w:highlight w:val="none"/>
              </w:rPr>
            </w:pPr>
          </w:p>
        </w:tc>
        <w:tc>
          <w:tcPr>
            <w:tcW w:w="1134" w:type="dxa"/>
            <w:vAlign w:val="center"/>
          </w:tcPr>
          <w:p w14:paraId="0C1CF0B9">
            <w:pPr>
              <w:jc w:val="center"/>
              <w:rPr>
                <w:highlight w:val="none"/>
              </w:rPr>
            </w:pPr>
          </w:p>
        </w:tc>
        <w:tc>
          <w:tcPr>
            <w:tcW w:w="1134" w:type="dxa"/>
            <w:vAlign w:val="center"/>
          </w:tcPr>
          <w:p w14:paraId="2418972F">
            <w:pPr>
              <w:jc w:val="center"/>
              <w:rPr>
                <w:highlight w:val="none"/>
              </w:rPr>
            </w:pPr>
          </w:p>
        </w:tc>
        <w:tc>
          <w:tcPr>
            <w:tcW w:w="1843" w:type="dxa"/>
            <w:vAlign w:val="center"/>
          </w:tcPr>
          <w:p w14:paraId="3A41EFD2">
            <w:pPr>
              <w:jc w:val="center"/>
              <w:rPr>
                <w:highlight w:val="none"/>
              </w:rPr>
            </w:pPr>
          </w:p>
        </w:tc>
        <w:tc>
          <w:tcPr>
            <w:tcW w:w="1701" w:type="dxa"/>
            <w:vAlign w:val="center"/>
          </w:tcPr>
          <w:p w14:paraId="3FCB8783">
            <w:pPr>
              <w:jc w:val="center"/>
              <w:rPr>
                <w:highlight w:val="none"/>
              </w:rPr>
            </w:pPr>
          </w:p>
        </w:tc>
      </w:tr>
    </w:tbl>
    <w:p w14:paraId="7BE7B0EC">
      <w:pPr>
        <w:spacing w:line="420" w:lineRule="exact"/>
        <w:rPr>
          <w:highlight w:val="none"/>
        </w:rPr>
      </w:pPr>
    </w:p>
    <w:p w14:paraId="7DB47A42">
      <w:pPr>
        <w:spacing w:before="120" w:beforeLines="50" w:after="240" w:afterLines="100" w:line="420" w:lineRule="exact"/>
        <w:rPr>
          <w:b/>
          <w:bCs/>
          <w:highlight w:val="none"/>
        </w:rPr>
      </w:pPr>
      <w:r>
        <w:rPr>
          <w:rFonts w:hint="eastAsia"/>
          <w:highlight w:val="none"/>
        </w:rPr>
        <w:br w:type="page"/>
      </w:r>
      <w:r>
        <w:rPr>
          <w:rFonts w:hint="eastAsia"/>
          <w:b/>
          <w:bCs/>
          <w:highlight w:val="none"/>
        </w:rPr>
        <w:t>附表二：拟配备本工程的试验和检测仪器设备表</w:t>
      </w:r>
    </w:p>
    <w:tbl>
      <w:tblPr>
        <w:tblStyle w:val="41"/>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221"/>
        <w:gridCol w:w="1362"/>
        <w:gridCol w:w="1001"/>
        <w:gridCol w:w="1180"/>
        <w:gridCol w:w="1402"/>
        <w:gridCol w:w="1279"/>
      </w:tblGrid>
      <w:tr w14:paraId="2037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57" w:type="dxa"/>
            <w:vAlign w:val="center"/>
          </w:tcPr>
          <w:p w14:paraId="4B932606">
            <w:pPr>
              <w:jc w:val="center"/>
              <w:rPr>
                <w:highlight w:val="none"/>
              </w:rPr>
            </w:pPr>
            <w:r>
              <w:rPr>
                <w:rFonts w:hint="eastAsia"/>
                <w:highlight w:val="none"/>
              </w:rPr>
              <w:t>序号</w:t>
            </w:r>
          </w:p>
        </w:tc>
        <w:tc>
          <w:tcPr>
            <w:tcW w:w="2221" w:type="dxa"/>
            <w:vAlign w:val="center"/>
          </w:tcPr>
          <w:p w14:paraId="22A4CD0A">
            <w:pPr>
              <w:jc w:val="center"/>
              <w:rPr>
                <w:highlight w:val="none"/>
              </w:rPr>
            </w:pPr>
            <w:r>
              <w:rPr>
                <w:rFonts w:hint="eastAsia"/>
                <w:highlight w:val="none"/>
              </w:rPr>
              <w:t>仪器设备名称</w:t>
            </w:r>
          </w:p>
        </w:tc>
        <w:tc>
          <w:tcPr>
            <w:tcW w:w="1362" w:type="dxa"/>
            <w:vAlign w:val="center"/>
          </w:tcPr>
          <w:p w14:paraId="7673EBA8">
            <w:pPr>
              <w:jc w:val="center"/>
              <w:rPr>
                <w:highlight w:val="none"/>
              </w:rPr>
            </w:pPr>
            <w:r>
              <w:rPr>
                <w:rFonts w:hint="eastAsia"/>
                <w:highlight w:val="none"/>
              </w:rPr>
              <w:t>型号</w:t>
            </w:r>
          </w:p>
          <w:p w14:paraId="399E8EFE">
            <w:pPr>
              <w:jc w:val="center"/>
              <w:rPr>
                <w:highlight w:val="none"/>
              </w:rPr>
            </w:pPr>
            <w:r>
              <w:rPr>
                <w:rFonts w:hint="eastAsia"/>
                <w:highlight w:val="none"/>
              </w:rPr>
              <w:t>规格</w:t>
            </w:r>
          </w:p>
        </w:tc>
        <w:tc>
          <w:tcPr>
            <w:tcW w:w="1001" w:type="dxa"/>
            <w:vAlign w:val="center"/>
          </w:tcPr>
          <w:p w14:paraId="7EE7F8B7">
            <w:pPr>
              <w:jc w:val="center"/>
              <w:rPr>
                <w:highlight w:val="none"/>
              </w:rPr>
            </w:pPr>
            <w:r>
              <w:rPr>
                <w:rFonts w:hint="eastAsia"/>
                <w:highlight w:val="none"/>
              </w:rPr>
              <w:t>数量</w:t>
            </w:r>
          </w:p>
        </w:tc>
        <w:tc>
          <w:tcPr>
            <w:tcW w:w="1180" w:type="dxa"/>
            <w:vAlign w:val="center"/>
          </w:tcPr>
          <w:p w14:paraId="6AE8BA3E">
            <w:pPr>
              <w:jc w:val="center"/>
              <w:rPr>
                <w:highlight w:val="none"/>
              </w:rPr>
            </w:pPr>
            <w:r>
              <w:rPr>
                <w:rFonts w:hint="eastAsia"/>
                <w:highlight w:val="none"/>
              </w:rPr>
              <w:t>国别</w:t>
            </w:r>
          </w:p>
          <w:p w14:paraId="1AF4E310">
            <w:pPr>
              <w:jc w:val="center"/>
              <w:rPr>
                <w:highlight w:val="none"/>
              </w:rPr>
            </w:pPr>
            <w:r>
              <w:rPr>
                <w:rFonts w:hint="eastAsia"/>
                <w:highlight w:val="none"/>
              </w:rPr>
              <w:t>产地</w:t>
            </w:r>
          </w:p>
        </w:tc>
        <w:tc>
          <w:tcPr>
            <w:tcW w:w="1402" w:type="dxa"/>
            <w:vAlign w:val="center"/>
          </w:tcPr>
          <w:p w14:paraId="6DDA9C9A">
            <w:pPr>
              <w:jc w:val="center"/>
              <w:rPr>
                <w:highlight w:val="none"/>
              </w:rPr>
            </w:pPr>
            <w:r>
              <w:rPr>
                <w:rFonts w:hint="eastAsia"/>
                <w:highlight w:val="none"/>
              </w:rPr>
              <w:t>用途</w:t>
            </w:r>
          </w:p>
        </w:tc>
        <w:tc>
          <w:tcPr>
            <w:tcW w:w="1279" w:type="dxa"/>
            <w:vAlign w:val="center"/>
          </w:tcPr>
          <w:p w14:paraId="72A711C1">
            <w:pPr>
              <w:jc w:val="center"/>
              <w:rPr>
                <w:highlight w:val="none"/>
              </w:rPr>
            </w:pPr>
            <w:r>
              <w:rPr>
                <w:rFonts w:hint="eastAsia"/>
                <w:highlight w:val="none"/>
              </w:rPr>
              <w:t>备注</w:t>
            </w:r>
          </w:p>
        </w:tc>
      </w:tr>
      <w:tr w14:paraId="762F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14:paraId="457AB722">
            <w:pPr>
              <w:jc w:val="center"/>
              <w:rPr>
                <w:highlight w:val="none"/>
              </w:rPr>
            </w:pPr>
          </w:p>
        </w:tc>
        <w:tc>
          <w:tcPr>
            <w:tcW w:w="2221" w:type="dxa"/>
            <w:vAlign w:val="center"/>
          </w:tcPr>
          <w:p w14:paraId="0DFFDAE0">
            <w:pPr>
              <w:jc w:val="center"/>
              <w:rPr>
                <w:highlight w:val="none"/>
              </w:rPr>
            </w:pPr>
          </w:p>
        </w:tc>
        <w:tc>
          <w:tcPr>
            <w:tcW w:w="1362" w:type="dxa"/>
            <w:vAlign w:val="center"/>
          </w:tcPr>
          <w:p w14:paraId="45ED1739">
            <w:pPr>
              <w:jc w:val="center"/>
              <w:rPr>
                <w:highlight w:val="none"/>
              </w:rPr>
            </w:pPr>
          </w:p>
        </w:tc>
        <w:tc>
          <w:tcPr>
            <w:tcW w:w="1001" w:type="dxa"/>
            <w:vAlign w:val="center"/>
          </w:tcPr>
          <w:p w14:paraId="1666FE48">
            <w:pPr>
              <w:jc w:val="center"/>
              <w:rPr>
                <w:highlight w:val="none"/>
              </w:rPr>
            </w:pPr>
          </w:p>
        </w:tc>
        <w:tc>
          <w:tcPr>
            <w:tcW w:w="1180" w:type="dxa"/>
            <w:vAlign w:val="center"/>
          </w:tcPr>
          <w:p w14:paraId="41980226">
            <w:pPr>
              <w:jc w:val="center"/>
              <w:rPr>
                <w:highlight w:val="none"/>
              </w:rPr>
            </w:pPr>
          </w:p>
        </w:tc>
        <w:tc>
          <w:tcPr>
            <w:tcW w:w="1402" w:type="dxa"/>
            <w:vAlign w:val="center"/>
          </w:tcPr>
          <w:p w14:paraId="049FF556">
            <w:pPr>
              <w:jc w:val="center"/>
              <w:rPr>
                <w:highlight w:val="none"/>
              </w:rPr>
            </w:pPr>
          </w:p>
        </w:tc>
        <w:tc>
          <w:tcPr>
            <w:tcW w:w="1279" w:type="dxa"/>
            <w:vAlign w:val="center"/>
          </w:tcPr>
          <w:p w14:paraId="29D29B55">
            <w:pPr>
              <w:jc w:val="center"/>
              <w:rPr>
                <w:highlight w:val="none"/>
              </w:rPr>
            </w:pPr>
          </w:p>
        </w:tc>
      </w:tr>
      <w:tr w14:paraId="6231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14:paraId="1904233A">
            <w:pPr>
              <w:jc w:val="center"/>
              <w:rPr>
                <w:highlight w:val="none"/>
              </w:rPr>
            </w:pPr>
          </w:p>
        </w:tc>
        <w:tc>
          <w:tcPr>
            <w:tcW w:w="2221" w:type="dxa"/>
            <w:vAlign w:val="center"/>
          </w:tcPr>
          <w:p w14:paraId="6643151F">
            <w:pPr>
              <w:jc w:val="center"/>
              <w:rPr>
                <w:highlight w:val="none"/>
              </w:rPr>
            </w:pPr>
          </w:p>
        </w:tc>
        <w:tc>
          <w:tcPr>
            <w:tcW w:w="1362" w:type="dxa"/>
            <w:vAlign w:val="center"/>
          </w:tcPr>
          <w:p w14:paraId="40AB8801">
            <w:pPr>
              <w:jc w:val="center"/>
              <w:rPr>
                <w:highlight w:val="none"/>
              </w:rPr>
            </w:pPr>
          </w:p>
        </w:tc>
        <w:tc>
          <w:tcPr>
            <w:tcW w:w="1001" w:type="dxa"/>
            <w:vAlign w:val="center"/>
          </w:tcPr>
          <w:p w14:paraId="13136B9F">
            <w:pPr>
              <w:jc w:val="center"/>
              <w:rPr>
                <w:highlight w:val="none"/>
              </w:rPr>
            </w:pPr>
          </w:p>
        </w:tc>
        <w:tc>
          <w:tcPr>
            <w:tcW w:w="1180" w:type="dxa"/>
            <w:vAlign w:val="center"/>
          </w:tcPr>
          <w:p w14:paraId="6B94B0EA">
            <w:pPr>
              <w:jc w:val="center"/>
              <w:rPr>
                <w:highlight w:val="none"/>
              </w:rPr>
            </w:pPr>
          </w:p>
        </w:tc>
        <w:tc>
          <w:tcPr>
            <w:tcW w:w="1402" w:type="dxa"/>
            <w:vAlign w:val="center"/>
          </w:tcPr>
          <w:p w14:paraId="421C6D63">
            <w:pPr>
              <w:jc w:val="center"/>
              <w:rPr>
                <w:highlight w:val="none"/>
              </w:rPr>
            </w:pPr>
          </w:p>
        </w:tc>
        <w:tc>
          <w:tcPr>
            <w:tcW w:w="1279" w:type="dxa"/>
            <w:vAlign w:val="center"/>
          </w:tcPr>
          <w:p w14:paraId="71221E99">
            <w:pPr>
              <w:jc w:val="center"/>
              <w:rPr>
                <w:highlight w:val="none"/>
              </w:rPr>
            </w:pPr>
          </w:p>
        </w:tc>
      </w:tr>
      <w:tr w14:paraId="1ED9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14:paraId="7CBE3C01">
            <w:pPr>
              <w:jc w:val="center"/>
              <w:rPr>
                <w:highlight w:val="none"/>
              </w:rPr>
            </w:pPr>
          </w:p>
        </w:tc>
        <w:tc>
          <w:tcPr>
            <w:tcW w:w="2221" w:type="dxa"/>
            <w:vAlign w:val="center"/>
          </w:tcPr>
          <w:p w14:paraId="0A8FFBAD">
            <w:pPr>
              <w:jc w:val="center"/>
              <w:rPr>
                <w:highlight w:val="none"/>
              </w:rPr>
            </w:pPr>
          </w:p>
        </w:tc>
        <w:tc>
          <w:tcPr>
            <w:tcW w:w="1362" w:type="dxa"/>
            <w:vAlign w:val="center"/>
          </w:tcPr>
          <w:p w14:paraId="7C6FE2E6">
            <w:pPr>
              <w:jc w:val="center"/>
              <w:rPr>
                <w:highlight w:val="none"/>
              </w:rPr>
            </w:pPr>
          </w:p>
        </w:tc>
        <w:tc>
          <w:tcPr>
            <w:tcW w:w="1001" w:type="dxa"/>
            <w:vAlign w:val="center"/>
          </w:tcPr>
          <w:p w14:paraId="463172BD">
            <w:pPr>
              <w:jc w:val="center"/>
              <w:rPr>
                <w:highlight w:val="none"/>
              </w:rPr>
            </w:pPr>
          </w:p>
        </w:tc>
        <w:tc>
          <w:tcPr>
            <w:tcW w:w="1180" w:type="dxa"/>
            <w:vAlign w:val="center"/>
          </w:tcPr>
          <w:p w14:paraId="7AF18205">
            <w:pPr>
              <w:jc w:val="center"/>
              <w:rPr>
                <w:highlight w:val="none"/>
              </w:rPr>
            </w:pPr>
          </w:p>
        </w:tc>
        <w:tc>
          <w:tcPr>
            <w:tcW w:w="1402" w:type="dxa"/>
            <w:vAlign w:val="center"/>
          </w:tcPr>
          <w:p w14:paraId="18E3C699">
            <w:pPr>
              <w:jc w:val="center"/>
              <w:rPr>
                <w:highlight w:val="none"/>
              </w:rPr>
            </w:pPr>
          </w:p>
        </w:tc>
        <w:tc>
          <w:tcPr>
            <w:tcW w:w="1279" w:type="dxa"/>
            <w:vAlign w:val="center"/>
          </w:tcPr>
          <w:p w14:paraId="0A1D9594">
            <w:pPr>
              <w:jc w:val="center"/>
              <w:rPr>
                <w:highlight w:val="none"/>
              </w:rPr>
            </w:pPr>
          </w:p>
        </w:tc>
      </w:tr>
      <w:tr w14:paraId="3469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14:paraId="1AFB0C06">
            <w:pPr>
              <w:jc w:val="center"/>
              <w:rPr>
                <w:highlight w:val="none"/>
              </w:rPr>
            </w:pPr>
          </w:p>
        </w:tc>
        <w:tc>
          <w:tcPr>
            <w:tcW w:w="2221" w:type="dxa"/>
            <w:vAlign w:val="center"/>
          </w:tcPr>
          <w:p w14:paraId="021EF58D">
            <w:pPr>
              <w:jc w:val="center"/>
              <w:rPr>
                <w:highlight w:val="none"/>
              </w:rPr>
            </w:pPr>
          </w:p>
        </w:tc>
        <w:tc>
          <w:tcPr>
            <w:tcW w:w="1362" w:type="dxa"/>
            <w:vAlign w:val="center"/>
          </w:tcPr>
          <w:p w14:paraId="531F7ADD">
            <w:pPr>
              <w:jc w:val="center"/>
              <w:rPr>
                <w:highlight w:val="none"/>
              </w:rPr>
            </w:pPr>
          </w:p>
        </w:tc>
        <w:tc>
          <w:tcPr>
            <w:tcW w:w="1001" w:type="dxa"/>
            <w:vAlign w:val="center"/>
          </w:tcPr>
          <w:p w14:paraId="4F92476E">
            <w:pPr>
              <w:jc w:val="center"/>
              <w:rPr>
                <w:highlight w:val="none"/>
              </w:rPr>
            </w:pPr>
          </w:p>
        </w:tc>
        <w:tc>
          <w:tcPr>
            <w:tcW w:w="1180" w:type="dxa"/>
            <w:vAlign w:val="center"/>
          </w:tcPr>
          <w:p w14:paraId="4B4FDA11">
            <w:pPr>
              <w:jc w:val="center"/>
              <w:rPr>
                <w:highlight w:val="none"/>
              </w:rPr>
            </w:pPr>
          </w:p>
        </w:tc>
        <w:tc>
          <w:tcPr>
            <w:tcW w:w="1402" w:type="dxa"/>
            <w:vAlign w:val="center"/>
          </w:tcPr>
          <w:p w14:paraId="50DB3665">
            <w:pPr>
              <w:jc w:val="center"/>
              <w:rPr>
                <w:highlight w:val="none"/>
              </w:rPr>
            </w:pPr>
          </w:p>
        </w:tc>
        <w:tc>
          <w:tcPr>
            <w:tcW w:w="1279" w:type="dxa"/>
            <w:vAlign w:val="center"/>
          </w:tcPr>
          <w:p w14:paraId="6D8B8D23">
            <w:pPr>
              <w:jc w:val="center"/>
              <w:rPr>
                <w:highlight w:val="none"/>
              </w:rPr>
            </w:pPr>
          </w:p>
        </w:tc>
      </w:tr>
      <w:tr w14:paraId="0C5C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14:paraId="23C55A5B">
            <w:pPr>
              <w:jc w:val="center"/>
              <w:rPr>
                <w:highlight w:val="none"/>
              </w:rPr>
            </w:pPr>
          </w:p>
        </w:tc>
        <w:tc>
          <w:tcPr>
            <w:tcW w:w="2221" w:type="dxa"/>
            <w:vAlign w:val="center"/>
          </w:tcPr>
          <w:p w14:paraId="65477D54">
            <w:pPr>
              <w:jc w:val="center"/>
              <w:rPr>
                <w:highlight w:val="none"/>
              </w:rPr>
            </w:pPr>
          </w:p>
        </w:tc>
        <w:tc>
          <w:tcPr>
            <w:tcW w:w="1362" w:type="dxa"/>
            <w:vAlign w:val="center"/>
          </w:tcPr>
          <w:p w14:paraId="32A85A2E">
            <w:pPr>
              <w:jc w:val="center"/>
              <w:rPr>
                <w:highlight w:val="none"/>
              </w:rPr>
            </w:pPr>
          </w:p>
        </w:tc>
        <w:tc>
          <w:tcPr>
            <w:tcW w:w="1001" w:type="dxa"/>
            <w:vAlign w:val="center"/>
          </w:tcPr>
          <w:p w14:paraId="1838EE03">
            <w:pPr>
              <w:jc w:val="center"/>
              <w:rPr>
                <w:highlight w:val="none"/>
              </w:rPr>
            </w:pPr>
          </w:p>
        </w:tc>
        <w:tc>
          <w:tcPr>
            <w:tcW w:w="1180" w:type="dxa"/>
            <w:vAlign w:val="center"/>
          </w:tcPr>
          <w:p w14:paraId="26B4D98E">
            <w:pPr>
              <w:jc w:val="center"/>
              <w:rPr>
                <w:highlight w:val="none"/>
              </w:rPr>
            </w:pPr>
          </w:p>
        </w:tc>
        <w:tc>
          <w:tcPr>
            <w:tcW w:w="1402" w:type="dxa"/>
            <w:vAlign w:val="center"/>
          </w:tcPr>
          <w:p w14:paraId="2299B99F">
            <w:pPr>
              <w:jc w:val="center"/>
              <w:rPr>
                <w:highlight w:val="none"/>
              </w:rPr>
            </w:pPr>
          </w:p>
        </w:tc>
        <w:tc>
          <w:tcPr>
            <w:tcW w:w="1279" w:type="dxa"/>
            <w:vAlign w:val="center"/>
          </w:tcPr>
          <w:p w14:paraId="099E7806">
            <w:pPr>
              <w:jc w:val="center"/>
              <w:rPr>
                <w:highlight w:val="none"/>
              </w:rPr>
            </w:pPr>
          </w:p>
        </w:tc>
      </w:tr>
      <w:tr w14:paraId="683E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14:paraId="088B99D1">
            <w:pPr>
              <w:jc w:val="center"/>
              <w:rPr>
                <w:highlight w:val="none"/>
              </w:rPr>
            </w:pPr>
          </w:p>
        </w:tc>
        <w:tc>
          <w:tcPr>
            <w:tcW w:w="2221" w:type="dxa"/>
            <w:vAlign w:val="center"/>
          </w:tcPr>
          <w:p w14:paraId="4A73C9A4">
            <w:pPr>
              <w:jc w:val="center"/>
              <w:rPr>
                <w:highlight w:val="none"/>
              </w:rPr>
            </w:pPr>
          </w:p>
        </w:tc>
        <w:tc>
          <w:tcPr>
            <w:tcW w:w="1362" w:type="dxa"/>
            <w:vAlign w:val="center"/>
          </w:tcPr>
          <w:p w14:paraId="2A5FCA51">
            <w:pPr>
              <w:jc w:val="center"/>
              <w:rPr>
                <w:highlight w:val="none"/>
              </w:rPr>
            </w:pPr>
          </w:p>
        </w:tc>
        <w:tc>
          <w:tcPr>
            <w:tcW w:w="1001" w:type="dxa"/>
            <w:vAlign w:val="center"/>
          </w:tcPr>
          <w:p w14:paraId="66D8AFF2">
            <w:pPr>
              <w:jc w:val="center"/>
              <w:rPr>
                <w:highlight w:val="none"/>
              </w:rPr>
            </w:pPr>
          </w:p>
        </w:tc>
        <w:tc>
          <w:tcPr>
            <w:tcW w:w="1180" w:type="dxa"/>
            <w:vAlign w:val="center"/>
          </w:tcPr>
          <w:p w14:paraId="27FCF198">
            <w:pPr>
              <w:jc w:val="center"/>
              <w:rPr>
                <w:highlight w:val="none"/>
              </w:rPr>
            </w:pPr>
          </w:p>
        </w:tc>
        <w:tc>
          <w:tcPr>
            <w:tcW w:w="1402" w:type="dxa"/>
            <w:vAlign w:val="center"/>
          </w:tcPr>
          <w:p w14:paraId="467EF134">
            <w:pPr>
              <w:jc w:val="center"/>
              <w:rPr>
                <w:highlight w:val="none"/>
              </w:rPr>
            </w:pPr>
          </w:p>
        </w:tc>
        <w:tc>
          <w:tcPr>
            <w:tcW w:w="1279" w:type="dxa"/>
            <w:vAlign w:val="center"/>
          </w:tcPr>
          <w:p w14:paraId="3D9AE9CA">
            <w:pPr>
              <w:jc w:val="center"/>
              <w:rPr>
                <w:highlight w:val="none"/>
              </w:rPr>
            </w:pPr>
          </w:p>
        </w:tc>
      </w:tr>
      <w:tr w14:paraId="00CC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14:paraId="0FD9E1FB">
            <w:pPr>
              <w:jc w:val="center"/>
              <w:rPr>
                <w:highlight w:val="none"/>
              </w:rPr>
            </w:pPr>
          </w:p>
        </w:tc>
        <w:tc>
          <w:tcPr>
            <w:tcW w:w="2221" w:type="dxa"/>
            <w:vAlign w:val="center"/>
          </w:tcPr>
          <w:p w14:paraId="5034F289">
            <w:pPr>
              <w:jc w:val="center"/>
              <w:rPr>
                <w:highlight w:val="none"/>
              </w:rPr>
            </w:pPr>
          </w:p>
        </w:tc>
        <w:tc>
          <w:tcPr>
            <w:tcW w:w="1362" w:type="dxa"/>
            <w:vAlign w:val="center"/>
          </w:tcPr>
          <w:p w14:paraId="28E0B3E5">
            <w:pPr>
              <w:jc w:val="center"/>
              <w:rPr>
                <w:highlight w:val="none"/>
              </w:rPr>
            </w:pPr>
          </w:p>
        </w:tc>
        <w:tc>
          <w:tcPr>
            <w:tcW w:w="1001" w:type="dxa"/>
            <w:vAlign w:val="center"/>
          </w:tcPr>
          <w:p w14:paraId="5941A4C7">
            <w:pPr>
              <w:jc w:val="center"/>
              <w:rPr>
                <w:highlight w:val="none"/>
              </w:rPr>
            </w:pPr>
          </w:p>
        </w:tc>
        <w:tc>
          <w:tcPr>
            <w:tcW w:w="1180" w:type="dxa"/>
            <w:vAlign w:val="center"/>
          </w:tcPr>
          <w:p w14:paraId="6D5B5C2D">
            <w:pPr>
              <w:jc w:val="center"/>
              <w:rPr>
                <w:highlight w:val="none"/>
              </w:rPr>
            </w:pPr>
          </w:p>
        </w:tc>
        <w:tc>
          <w:tcPr>
            <w:tcW w:w="1402" w:type="dxa"/>
            <w:vAlign w:val="center"/>
          </w:tcPr>
          <w:p w14:paraId="57D97EB8">
            <w:pPr>
              <w:jc w:val="center"/>
              <w:rPr>
                <w:highlight w:val="none"/>
              </w:rPr>
            </w:pPr>
          </w:p>
        </w:tc>
        <w:tc>
          <w:tcPr>
            <w:tcW w:w="1279" w:type="dxa"/>
            <w:vAlign w:val="center"/>
          </w:tcPr>
          <w:p w14:paraId="64D3318C">
            <w:pPr>
              <w:jc w:val="center"/>
              <w:rPr>
                <w:highlight w:val="none"/>
              </w:rPr>
            </w:pPr>
          </w:p>
        </w:tc>
      </w:tr>
      <w:tr w14:paraId="4CE5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14:paraId="46952C82">
            <w:pPr>
              <w:jc w:val="center"/>
              <w:rPr>
                <w:highlight w:val="none"/>
              </w:rPr>
            </w:pPr>
          </w:p>
        </w:tc>
        <w:tc>
          <w:tcPr>
            <w:tcW w:w="2221" w:type="dxa"/>
            <w:vAlign w:val="center"/>
          </w:tcPr>
          <w:p w14:paraId="4F0EE7CE">
            <w:pPr>
              <w:jc w:val="center"/>
              <w:rPr>
                <w:highlight w:val="none"/>
              </w:rPr>
            </w:pPr>
          </w:p>
        </w:tc>
        <w:tc>
          <w:tcPr>
            <w:tcW w:w="1362" w:type="dxa"/>
            <w:vAlign w:val="center"/>
          </w:tcPr>
          <w:p w14:paraId="706BFF81">
            <w:pPr>
              <w:jc w:val="center"/>
              <w:rPr>
                <w:highlight w:val="none"/>
              </w:rPr>
            </w:pPr>
          </w:p>
        </w:tc>
        <w:tc>
          <w:tcPr>
            <w:tcW w:w="1001" w:type="dxa"/>
            <w:vAlign w:val="center"/>
          </w:tcPr>
          <w:p w14:paraId="2FA9357C">
            <w:pPr>
              <w:jc w:val="center"/>
              <w:rPr>
                <w:highlight w:val="none"/>
              </w:rPr>
            </w:pPr>
          </w:p>
        </w:tc>
        <w:tc>
          <w:tcPr>
            <w:tcW w:w="1180" w:type="dxa"/>
            <w:vAlign w:val="center"/>
          </w:tcPr>
          <w:p w14:paraId="25BA16BC">
            <w:pPr>
              <w:jc w:val="center"/>
              <w:rPr>
                <w:highlight w:val="none"/>
              </w:rPr>
            </w:pPr>
          </w:p>
        </w:tc>
        <w:tc>
          <w:tcPr>
            <w:tcW w:w="1402" w:type="dxa"/>
            <w:vAlign w:val="center"/>
          </w:tcPr>
          <w:p w14:paraId="335083F2">
            <w:pPr>
              <w:jc w:val="center"/>
              <w:rPr>
                <w:highlight w:val="none"/>
              </w:rPr>
            </w:pPr>
          </w:p>
        </w:tc>
        <w:tc>
          <w:tcPr>
            <w:tcW w:w="1279" w:type="dxa"/>
            <w:vAlign w:val="center"/>
          </w:tcPr>
          <w:p w14:paraId="6EFD4047">
            <w:pPr>
              <w:jc w:val="center"/>
              <w:rPr>
                <w:highlight w:val="none"/>
              </w:rPr>
            </w:pPr>
          </w:p>
        </w:tc>
      </w:tr>
      <w:tr w14:paraId="0878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14:paraId="5CF50DA1">
            <w:pPr>
              <w:jc w:val="center"/>
              <w:rPr>
                <w:highlight w:val="none"/>
              </w:rPr>
            </w:pPr>
          </w:p>
        </w:tc>
        <w:tc>
          <w:tcPr>
            <w:tcW w:w="2221" w:type="dxa"/>
            <w:vAlign w:val="center"/>
          </w:tcPr>
          <w:p w14:paraId="01A4AB0D">
            <w:pPr>
              <w:jc w:val="center"/>
              <w:rPr>
                <w:highlight w:val="none"/>
              </w:rPr>
            </w:pPr>
          </w:p>
        </w:tc>
        <w:tc>
          <w:tcPr>
            <w:tcW w:w="1362" w:type="dxa"/>
            <w:vAlign w:val="center"/>
          </w:tcPr>
          <w:p w14:paraId="04801577">
            <w:pPr>
              <w:jc w:val="center"/>
              <w:rPr>
                <w:highlight w:val="none"/>
              </w:rPr>
            </w:pPr>
          </w:p>
        </w:tc>
        <w:tc>
          <w:tcPr>
            <w:tcW w:w="1001" w:type="dxa"/>
            <w:vAlign w:val="center"/>
          </w:tcPr>
          <w:p w14:paraId="3A47AE9C">
            <w:pPr>
              <w:jc w:val="center"/>
              <w:rPr>
                <w:highlight w:val="none"/>
              </w:rPr>
            </w:pPr>
          </w:p>
        </w:tc>
        <w:tc>
          <w:tcPr>
            <w:tcW w:w="1180" w:type="dxa"/>
            <w:vAlign w:val="center"/>
          </w:tcPr>
          <w:p w14:paraId="2C98183D">
            <w:pPr>
              <w:jc w:val="center"/>
              <w:rPr>
                <w:highlight w:val="none"/>
              </w:rPr>
            </w:pPr>
          </w:p>
        </w:tc>
        <w:tc>
          <w:tcPr>
            <w:tcW w:w="1402" w:type="dxa"/>
            <w:vAlign w:val="center"/>
          </w:tcPr>
          <w:p w14:paraId="2731F282">
            <w:pPr>
              <w:jc w:val="center"/>
              <w:rPr>
                <w:highlight w:val="none"/>
              </w:rPr>
            </w:pPr>
          </w:p>
        </w:tc>
        <w:tc>
          <w:tcPr>
            <w:tcW w:w="1279" w:type="dxa"/>
            <w:vAlign w:val="center"/>
          </w:tcPr>
          <w:p w14:paraId="772B7FDF">
            <w:pPr>
              <w:jc w:val="center"/>
              <w:rPr>
                <w:highlight w:val="none"/>
              </w:rPr>
            </w:pPr>
          </w:p>
        </w:tc>
      </w:tr>
      <w:tr w14:paraId="10F7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14:paraId="2557A483">
            <w:pPr>
              <w:jc w:val="center"/>
              <w:rPr>
                <w:highlight w:val="none"/>
              </w:rPr>
            </w:pPr>
          </w:p>
        </w:tc>
        <w:tc>
          <w:tcPr>
            <w:tcW w:w="2221" w:type="dxa"/>
            <w:vAlign w:val="center"/>
          </w:tcPr>
          <w:p w14:paraId="0C63F1AE">
            <w:pPr>
              <w:jc w:val="center"/>
              <w:rPr>
                <w:highlight w:val="none"/>
              </w:rPr>
            </w:pPr>
          </w:p>
        </w:tc>
        <w:tc>
          <w:tcPr>
            <w:tcW w:w="1362" w:type="dxa"/>
            <w:vAlign w:val="center"/>
          </w:tcPr>
          <w:p w14:paraId="64E0B9B9">
            <w:pPr>
              <w:jc w:val="center"/>
              <w:rPr>
                <w:highlight w:val="none"/>
              </w:rPr>
            </w:pPr>
          </w:p>
        </w:tc>
        <w:tc>
          <w:tcPr>
            <w:tcW w:w="1001" w:type="dxa"/>
            <w:vAlign w:val="center"/>
          </w:tcPr>
          <w:p w14:paraId="48147E3A">
            <w:pPr>
              <w:jc w:val="center"/>
              <w:rPr>
                <w:highlight w:val="none"/>
              </w:rPr>
            </w:pPr>
          </w:p>
        </w:tc>
        <w:tc>
          <w:tcPr>
            <w:tcW w:w="1180" w:type="dxa"/>
            <w:vAlign w:val="center"/>
          </w:tcPr>
          <w:p w14:paraId="41955B28">
            <w:pPr>
              <w:jc w:val="center"/>
              <w:rPr>
                <w:highlight w:val="none"/>
              </w:rPr>
            </w:pPr>
          </w:p>
        </w:tc>
        <w:tc>
          <w:tcPr>
            <w:tcW w:w="1402" w:type="dxa"/>
            <w:vAlign w:val="center"/>
          </w:tcPr>
          <w:p w14:paraId="7E2E9610">
            <w:pPr>
              <w:jc w:val="center"/>
              <w:rPr>
                <w:highlight w:val="none"/>
              </w:rPr>
            </w:pPr>
          </w:p>
        </w:tc>
        <w:tc>
          <w:tcPr>
            <w:tcW w:w="1279" w:type="dxa"/>
            <w:vAlign w:val="center"/>
          </w:tcPr>
          <w:p w14:paraId="7C5C85F2">
            <w:pPr>
              <w:jc w:val="center"/>
              <w:rPr>
                <w:highlight w:val="none"/>
              </w:rPr>
            </w:pPr>
          </w:p>
        </w:tc>
      </w:tr>
      <w:tr w14:paraId="5B88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14:paraId="0E461E82">
            <w:pPr>
              <w:jc w:val="center"/>
              <w:rPr>
                <w:highlight w:val="none"/>
              </w:rPr>
            </w:pPr>
          </w:p>
        </w:tc>
        <w:tc>
          <w:tcPr>
            <w:tcW w:w="2221" w:type="dxa"/>
            <w:vAlign w:val="center"/>
          </w:tcPr>
          <w:p w14:paraId="31F67DA3">
            <w:pPr>
              <w:jc w:val="center"/>
              <w:rPr>
                <w:highlight w:val="none"/>
              </w:rPr>
            </w:pPr>
          </w:p>
        </w:tc>
        <w:tc>
          <w:tcPr>
            <w:tcW w:w="1362" w:type="dxa"/>
            <w:vAlign w:val="center"/>
          </w:tcPr>
          <w:p w14:paraId="79FEF9B7">
            <w:pPr>
              <w:jc w:val="center"/>
              <w:rPr>
                <w:highlight w:val="none"/>
              </w:rPr>
            </w:pPr>
          </w:p>
        </w:tc>
        <w:tc>
          <w:tcPr>
            <w:tcW w:w="1001" w:type="dxa"/>
            <w:vAlign w:val="center"/>
          </w:tcPr>
          <w:p w14:paraId="1CE06CC9">
            <w:pPr>
              <w:jc w:val="center"/>
              <w:rPr>
                <w:highlight w:val="none"/>
              </w:rPr>
            </w:pPr>
          </w:p>
        </w:tc>
        <w:tc>
          <w:tcPr>
            <w:tcW w:w="1180" w:type="dxa"/>
            <w:vAlign w:val="center"/>
          </w:tcPr>
          <w:p w14:paraId="7ACF9FF4">
            <w:pPr>
              <w:jc w:val="center"/>
              <w:rPr>
                <w:highlight w:val="none"/>
              </w:rPr>
            </w:pPr>
          </w:p>
        </w:tc>
        <w:tc>
          <w:tcPr>
            <w:tcW w:w="1402" w:type="dxa"/>
            <w:vAlign w:val="center"/>
          </w:tcPr>
          <w:p w14:paraId="794DAF50">
            <w:pPr>
              <w:jc w:val="center"/>
              <w:rPr>
                <w:highlight w:val="none"/>
              </w:rPr>
            </w:pPr>
          </w:p>
        </w:tc>
        <w:tc>
          <w:tcPr>
            <w:tcW w:w="1279" w:type="dxa"/>
            <w:vAlign w:val="center"/>
          </w:tcPr>
          <w:p w14:paraId="0600C615">
            <w:pPr>
              <w:jc w:val="center"/>
              <w:rPr>
                <w:highlight w:val="none"/>
              </w:rPr>
            </w:pPr>
          </w:p>
        </w:tc>
      </w:tr>
      <w:tr w14:paraId="7D9D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14:paraId="7DAE2FF5">
            <w:pPr>
              <w:jc w:val="center"/>
              <w:rPr>
                <w:highlight w:val="none"/>
              </w:rPr>
            </w:pPr>
          </w:p>
        </w:tc>
        <w:tc>
          <w:tcPr>
            <w:tcW w:w="2221" w:type="dxa"/>
            <w:vAlign w:val="center"/>
          </w:tcPr>
          <w:p w14:paraId="519E802D">
            <w:pPr>
              <w:jc w:val="center"/>
              <w:rPr>
                <w:highlight w:val="none"/>
              </w:rPr>
            </w:pPr>
          </w:p>
        </w:tc>
        <w:tc>
          <w:tcPr>
            <w:tcW w:w="1362" w:type="dxa"/>
            <w:vAlign w:val="center"/>
          </w:tcPr>
          <w:p w14:paraId="73A4F73A">
            <w:pPr>
              <w:jc w:val="center"/>
              <w:rPr>
                <w:highlight w:val="none"/>
              </w:rPr>
            </w:pPr>
          </w:p>
        </w:tc>
        <w:tc>
          <w:tcPr>
            <w:tcW w:w="1001" w:type="dxa"/>
            <w:vAlign w:val="center"/>
          </w:tcPr>
          <w:p w14:paraId="0F5670F6">
            <w:pPr>
              <w:jc w:val="center"/>
              <w:rPr>
                <w:highlight w:val="none"/>
              </w:rPr>
            </w:pPr>
          </w:p>
        </w:tc>
        <w:tc>
          <w:tcPr>
            <w:tcW w:w="1180" w:type="dxa"/>
            <w:vAlign w:val="center"/>
          </w:tcPr>
          <w:p w14:paraId="2B1DB5E7">
            <w:pPr>
              <w:jc w:val="center"/>
              <w:rPr>
                <w:highlight w:val="none"/>
              </w:rPr>
            </w:pPr>
          </w:p>
        </w:tc>
        <w:tc>
          <w:tcPr>
            <w:tcW w:w="1402" w:type="dxa"/>
            <w:vAlign w:val="center"/>
          </w:tcPr>
          <w:p w14:paraId="0A9AC8CA">
            <w:pPr>
              <w:jc w:val="center"/>
              <w:rPr>
                <w:highlight w:val="none"/>
              </w:rPr>
            </w:pPr>
          </w:p>
        </w:tc>
        <w:tc>
          <w:tcPr>
            <w:tcW w:w="1279" w:type="dxa"/>
            <w:vAlign w:val="center"/>
          </w:tcPr>
          <w:p w14:paraId="633080A8">
            <w:pPr>
              <w:jc w:val="center"/>
              <w:rPr>
                <w:highlight w:val="none"/>
              </w:rPr>
            </w:pPr>
          </w:p>
        </w:tc>
      </w:tr>
      <w:tr w14:paraId="1D0C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14:paraId="598AC963">
            <w:pPr>
              <w:jc w:val="center"/>
              <w:rPr>
                <w:highlight w:val="none"/>
              </w:rPr>
            </w:pPr>
          </w:p>
        </w:tc>
        <w:tc>
          <w:tcPr>
            <w:tcW w:w="2221" w:type="dxa"/>
            <w:vAlign w:val="center"/>
          </w:tcPr>
          <w:p w14:paraId="3BCA6ED3">
            <w:pPr>
              <w:jc w:val="center"/>
              <w:rPr>
                <w:highlight w:val="none"/>
              </w:rPr>
            </w:pPr>
          </w:p>
        </w:tc>
        <w:tc>
          <w:tcPr>
            <w:tcW w:w="1362" w:type="dxa"/>
            <w:vAlign w:val="center"/>
          </w:tcPr>
          <w:p w14:paraId="33B56E0F">
            <w:pPr>
              <w:jc w:val="center"/>
              <w:rPr>
                <w:highlight w:val="none"/>
              </w:rPr>
            </w:pPr>
          </w:p>
        </w:tc>
        <w:tc>
          <w:tcPr>
            <w:tcW w:w="1001" w:type="dxa"/>
            <w:vAlign w:val="center"/>
          </w:tcPr>
          <w:p w14:paraId="31B5AD94">
            <w:pPr>
              <w:jc w:val="center"/>
              <w:rPr>
                <w:highlight w:val="none"/>
              </w:rPr>
            </w:pPr>
          </w:p>
        </w:tc>
        <w:tc>
          <w:tcPr>
            <w:tcW w:w="1180" w:type="dxa"/>
            <w:vAlign w:val="center"/>
          </w:tcPr>
          <w:p w14:paraId="117ADE76">
            <w:pPr>
              <w:jc w:val="center"/>
              <w:rPr>
                <w:highlight w:val="none"/>
              </w:rPr>
            </w:pPr>
          </w:p>
        </w:tc>
        <w:tc>
          <w:tcPr>
            <w:tcW w:w="1402" w:type="dxa"/>
            <w:vAlign w:val="center"/>
          </w:tcPr>
          <w:p w14:paraId="645E925F">
            <w:pPr>
              <w:jc w:val="center"/>
              <w:rPr>
                <w:highlight w:val="none"/>
              </w:rPr>
            </w:pPr>
          </w:p>
        </w:tc>
        <w:tc>
          <w:tcPr>
            <w:tcW w:w="1279" w:type="dxa"/>
            <w:vAlign w:val="center"/>
          </w:tcPr>
          <w:p w14:paraId="0310B235">
            <w:pPr>
              <w:jc w:val="center"/>
              <w:rPr>
                <w:highlight w:val="none"/>
              </w:rPr>
            </w:pPr>
          </w:p>
        </w:tc>
      </w:tr>
      <w:tr w14:paraId="100C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14:paraId="105A3EE2">
            <w:pPr>
              <w:jc w:val="center"/>
              <w:rPr>
                <w:highlight w:val="none"/>
              </w:rPr>
            </w:pPr>
          </w:p>
        </w:tc>
        <w:tc>
          <w:tcPr>
            <w:tcW w:w="2221" w:type="dxa"/>
            <w:vAlign w:val="center"/>
          </w:tcPr>
          <w:p w14:paraId="15C1E237">
            <w:pPr>
              <w:jc w:val="center"/>
              <w:rPr>
                <w:highlight w:val="none"/>
              </w:rPr>
            </w:pPr>
          </w:p>
        </w:tc>
        <w:tc>
          <w:tcPr>
            <w:tcW w:w="1362" w:type="dxa"/>
            <w:vAlign w:val="center"/>
          </w:tcPr>
          <w:p w14:paraId="2C18DBEA">
            <w:pPr>
              <w:jc w:val="center"/>
              <w:rPr>
                <w:highlight w:val="none"/>
              </w:rPr>
            </w:pPr>
          </w:p>
        </w:tc>
        <w:tc>
          <w:tcPr>
            <w:tcW w:w="1001" w:type="dxa"/>
            <w:vAlign w:val="center"/>
          </w:tcPr>
          <w:p w14:paraId="7B74DC8E">
            <w:pPr>
              <w:jc w:val="center"/>
              <w:rPr>
                <w:highlight w:val="none"/>
              </w:rPr>
            </w:pPr>
          </w:p>
        </w:tc>
        <w:tc>
          <w:tcPr>
            <w:tcW w:w="1180" w:type="dxa"/>
            <w:vAlign w:val="center"/>
          </w:tcPr>
          <w:p w14:paraId="7CB89ACB">
            <w:pPr>
              <w:jc w:val="center"/>
              <w:rPr>
                <w:highlight w:val="none"/>
              </w:rPr>
            </w:pPr>
          </w:p>
        </w:tc>
        <w:tc>
          <w:tcPr>
            <w:tcW w:w="1402" w:type="dxa"/>
            <w:vAlign w:val="center"/>
          </w:tcPr>
          <w:p w14:paraId="677EA65D">
            <w:pPr>
              <w:jc w:val="center"/>
              <w:rPr>
                <w:highlight w:val="none"/>
              </w:rPr>
            </w:pPr>
          </w:p>
        </w:tc>
        <w:tc>
          <w:tcPr>
            <w:tcW w:w="1279" w:type="dxa"/>
            <w:vAlign w:val="center"/>
          </w:tcPr>
          <w:p w14:paraId="45D05ED0">
            <w:pPr>
              <w:jc w:val="center"/>
              <w:rPr>
                <w:highlight w:val="none"/>
              </w:rPr>
            </w:pPr>
          </w:p>
        </w:tc>
      </w:tr>
      <w:tr w14:paraId="1C67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14:paraId="0B16FC3B">
            <w:pPr>
              <w:jc w:val="center"/>
              <w:rPr>
                <w:highlight w:val="none"/>
              </w:rPr>
            </w:pPr>
          </w:p>
        </w:tc>
        <w:tc>
          <w:tcPr>
            <w:tcW w:w="2221" w:type="dxa"/>
            <w:vAlign w:val="center"/>
          </w:tcPr>
          <w:p w14:paraId="074B1942">
            <w:pPr>
              <w:jc w:val="center"/>
              <w:rPr>
                <w:highlight w:val="none"/>
              </w:rPr>
            </w:pPr>
          </w:p>
        </w:tc>
        <w:tc>
          <w:tcPr>
            <w:tcW w:w="1362" w:type="dxa"/>
            <w:vAlign w:val="center"/>
          </w:tcPr>
          <w:p w14:paraId="01CEEC72">
            <w:pPr>
              <w:jc w:val="center"/>
              <w:rPr>
                <w:highlight w:val="none"/>
              </w:rPr>
            </w:pPr>
          </w:p>
        </w:tc>
        <w:tc>
          <w:tcPr>
            <w:tcW w:w="1001" w:type="dxa"/>
            <w:vAlign w:val="center"/>
          </w:tcPr>
          <w:p w14:paraId="3B7B4EBD">
            <w:pPr>
              <w:jc w:val="center"/>
              <w:rPr>
                <w:highlight w:val="none"/>
              </w:rPr>
            </w:pPr>
          </w:p>
        </w:tc>
        <w:tc>
          <w:tcPr>
            <w:tcW w:w="1180" w:type="dxa"/>
            <w:vAlign w:val="center"/>
          </w:tcPr>
          <w:p w14:paraId="765737F9">
            <w:pPr>
              <w:jc w:val="center"/>
              <w:rPr>
                <w:highlight w:val="none"/>
              </w:rPr>
            </w:pPr>
          </w:p>
        </w:tc>
        <w:tc>
          <w:tcPr>
            <w:tcW w:w="1402" w:type="dxa"/>
            <w:vAlign w:val="center"/>
          </w:tcPr>
          <w:p w14:paraId="69809E15">
            <w:pPr>
              <w:jc w:val="center"/>
              <w:rPr>
                <w:highlight w:val="none"/>
              </w:rPr>
            </w:pPr>
          </w:p>
        </w:tc>
        <w:tc>
          <w:tcPr>
            <w:tcW w:w="1279" w:type="dxa"/>
            <w:vAlign w:val="center"/>
          </w:tcPr>
          <w:p w14:paraId="7772DC9F">
            <w:pPr>
              <w:jc w:val="center"/>
              <w:rPr>
                <w:highlight w:val="none"/>
              </w:rPr>
            </w:pPr>
          </w:p>
        </w:tc>
      </w:tr>
      <w:tr w14:paraId="70EF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14:paraId="4600BD7C">
            <w:pPr>
              <w:jc w:val="center"/>
              <w:rPr>
                <w:highlight w:val="none"/>
              </w:rPr>
            </w:pPr>
          </w:p>
        </w:tc>
        <w:tc>
          <w:tcPr>
            <w:tcW w:w="2221" w:type="dxa"/>
            <w:vAlign w:val="center"/>
          </w:tcPr>
          <w:p w14:paraId="7113D271">
            <w:pPr>
              <w:jc w:val="center"/>
              <w:rPr>
                <w:highlight w:val="none"/>
              </w:rPr>
            </w:pPr>
          </w:p>
        </w:tc>
        <w:tc>
          <w:tcPr>
            <w:tcW w:w="1362" w:type="dxa"/>
            <w:vAlign w:val="center"/>
          </w:tcPr>
          <w:p w14:paraId="260330F5">
            <w:pPr>
              <w:jc w:val="center"/>
              <w:rPr>
                <w:highlight w:val="none"/>
              </w:rPr>
            </w:pPr>
          </w:p>
        </w:tc>
        <w:tc>
          <w:tcPr>
            <w:tcW w:w="1001" w:type="dxa"/>
            <w:vAlign w:val="center"/>
          </w:tcPr>
          <w:p w14:paraId="5F2F193A">
            <w:pPr>
              <w:jc w:val="center"/>
              <w:rPr>
                <w:highlight w:val="none"/>
              </w:rPr>
            </w:pPr>
          </w:p>
        </w:tc>
        <w:tc>
          <w:tcPr>
            <w:tcW w:w="1180" w:type="dxa"/>
            <w:vAlign w:val="center"/>
          </w:tcPr>
          <w:p w14:paraId="78087D6B">
            <w:pPr>
              <w:jc w:val="center"/>
              <w:rPr>
                <w:highlight w:val="none"/>
              </w:rPr>
            </w:pPr>
          </w:p>
        </w:tc>
        <w:tc>
          <w:tcPr>
            <w:tcW w:w="1402" w:type="dxa"/>
            <w:vAlign w:val="center"/>
          </w:tcPr>
          <w:p w14:paraId="4F8DC350">
            <w:pPr>
              <w:jc w:val="center"/>
              <w:rPr>
                <w:highlight w:val="none"/>
              </w:rPr>
            </w:pPr>
          </w:p>
        </w:tc>
        <w:tc>
          <w:tcPr>
            <w:tcW w:w="1279" w:type="dxa"/>
            <w:vAlign w:val="center"/>
          </w:tcPr>
          <w:p w14:paraId="48FAB4FA">
            <w:pPr>
              <w:jc w:val="center"/>
              <w:rPr>
                <w:highlight w:val="none"/>
              </w:rPr>
            </w:pPr>
          </w:p>
        </w:tc>
      </w:tr>
      <w:tr w14:paraId="07DF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14:paraId="69C59DE4">
            <w:pPr>
              <w:jc w:val="center"/>
              <w:rPr>
                <w:highlight w:val="none"/>
              </w:rPr>
            </w:pPr>
          </w:p>
        </w:tc>
        <w:tc>
          <w:tcPr>
            <w:tcW w:w="2221" w:type="dxa"/>
            <w:vAlign w:val="center"/>
          </w:tcPr>
          <w:p w14:paraId="45FDCA75">
            <w:pPr>
              <w:jc w:val="center"/>
              <w:rPr>
                <w:highlight w:val="none"/>
              </w:rPr>
            </w:pPr>
          </w:p>
        </w:tc>
        <w:tc>
          <w:tcPr>
            <w:tcW w:w="1362" w:type="dxa"/>
            <w:vAlign w:val="center"/>
          </w:tcPr>
          <w:p w14:paraId="6EA313A2">
            <w:pPr>
              <w:jc w:val="center"/>
              <w:rPr>
                <w:highlight w:val="none"/>
              </w:rPr>
            </w:pPr>
          </w:p>
        </w:tc>
        <w:tc>
          <w:tcPr>
            <w:tcW w:w="1001" w:type="dxa"/>
            <w:vAlign w:val="center"/>
          </w:tcPr>
          <w:p w14:paraId="5D23A8AC">
            <w:pPr>
              <w:jc w:val="center"/>
              <w:rPr>
                <w:highlight w:val="none"/>
              </w:rPr>
            </w:pPr>
          </w:p>
        </w:tc>
        <w:tc>
          <w:tcPr>
            <w:tcW w:w="1180" w:type="dxa"/>
            <w:vAlign w:val="center"/>
          </w:tcPr>
          <w:p w14:paraId="6963FF0D">
            <w:pPr>
              <w:jc w:val="center"/>
              <w:rPr>
                <w:highlight w:val="none"/>
              </w:rPr>
            </w:pPr>
          </w:p>
        </w:tc>
        <w:tc>
          <w:tcPr>
            <w:tcW w:w="1402" w:type="dxa"/>
            <w:vAlign w:val="center"/>
          </w:tcPr>
          <w:p w14:paraId="77EDD75C">
            <w:pPr>
              <w:jc w:val="center"/>
              <w:rPr>
                <w:highlight w:val="none"/>
              </w:rPr>
            </w:pPr>
          </w:p>
        </w:tc>
        <w:tc>
          <w:tcPr>
            <w:tcW w:w="1279" w:type="dxa"/>
            <w:vAlign w:val="center"/>
          </w:tcPr>
          <w:p w14:paraId="7774BDF1">
            <w:pPr>
              <w:jc w:val="center"/>
              <w:rPr>
                <w:highlight w:val="none"/>
              </w:rPr>
            </w:pPr>
          </w:p>
        </w:tc>
      </w:tr>
      <w:tr w14:paraId="68D6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14:paraId="0F28D4E9">
            <w:pPr>
              <w:jc w:val="center"/>
              <w:rPr>
                <w:highlight w:val="none"/>
              </w:rPr>
            </w:pPr>
          </w:p>
        </w:tc>
        <w:tc>
          <w:tcPr>
            <w:tcW w:w="2221" w:type="dxa"/>
            <w:vAlign w:val="center"/>
          </w:tcPr>
          <w:p w14:paraId="72D28BF1">
            <w:pPr>
              <w:jc w:val="center"/>
              <w:rPr>
                <w:highlight w:val="none"/>
              </w:rPr>
            </w:pPr>
          </w:p>
        </w:tc>
        <w:tc>
          <w:tcPr>
            <w:tcW w:w="1362" w:type="dxa"/>
            <w:vAlign w:val="center"/>
          </w:tcPr>
          <w:p w14:paraId="7F8DF4F3">
            <w:pPr>
              <w:jc w:val="center"/>
              <w:rPr>
                <w:highlight w:val="none"/>
              </w:rPr>
            </w:pPr>
          </w:p>
        </w:tc>
        <w:tc>
          <w:tcPr>
            <w:tcW w:w="1001" w:type="dxa"/>
            <w:vAlign w:val="center"/>
          </w:tcPr>
          <w:p w14:paraId="487EF86E">
            <w:pPr>
              <w:jc w:val="center"/>
              <w:rPr>
                <w:highlight w:val="none"/>
              </w:rPr>
            </w:pPr>
          </w:p>
        </w:tc>
        <w:tc>
          <w:tcPr>
            <w:tcW w:w="1180" w:type="dxa"/>
            <w:vAlign w:val="center"/>
          </w:tcPr>
          <w:p w14:paraId="427DB5BC">
            <w:pPr>
              <w:jc w:val="center"/>
              <w:rPr>
                <w:highlight w:val="none"/>
              </w:rPr>
            </w:pPr>
          </w:p>
        </w:tc>
        <w:tc>
          <w:tcPr>
            <w:tcW w:w="1402" w:type="dxa"/>
            <w:vAlign w:val="center"/>
          </w:tcPr>
          <w:p w14:paraId="4C15836D">
            <w:pPr>
              <w:jc w:val="center"/>
              <w:rPr>
                <w:highlight w:val="none"/>
              </w:rPr>
            </w:pPr>
          </w:p>
        </w:tc>
        <w:tc>
          <w:tcPr>
            <w:tcW w:w="1279" w:type="dxa"/>
            <w:vAlign w:val="center"/>
          </w:tcPr>
          <w:p w14:paraId="073C22D5">
            <w:pPr>
              <w:jc w:val="center"/>
              <w:rPr>
                <w:highlight w:val="none"/>
              </w:rPr>
            </w:pPr>
          </w:p>
        </w:tc>
      </w:tr>
    </w:tbl>
    <w:p w14:paraId="72F46107">
      <w:pPr>
        <w:spacing w:before="120" w:beforeLines="50" w:after="120" w:afterLines="50" w:line="360" w:lineRule="auto"/>
        <w:rPr>
          <w:b/>
          <w:bCs/>
          <w:highlight w:val="none"/>
        </w:rPr>
      </w:pPr>
      <w:r>
        <w:rPr>
          <w:rFonts w:hint="eastAsia"/>
          <w:b/>
          <w:bCs/>
          <w:highlight w:val="none"/>
        </w:rPr>
        <w:br w:type="page"/>
      </w:r>
      <w:r>
        <w:rPr>
          <w:rFonts w:hint="eastAsia"/>
          <w:b/>
          <w:bCs/>
          <w:highlight w:val="none"/>
        </w:rPr>
        <w:t>附表三：劳动力计划表</w:t>
      </w:r>
    </w:p>
    <w:p w14:paraId="3F75536A">
      <w:pPr>
        <w:spacing w:before="120" w:beforeLines="50" w:after="120" w:afterLines="50" w:line="480" w:lineRule="auto"/>
        <w:rPr>
          <w:b/>
          <w:bCs/>
          <w:highlight w:val="none"/>
        </w:rPr>
      </w:pPr>
      <w:r>
        <w:rPr>
          <w:rFonts w:hint="eastAsia"/>
          <w:highlight w:val="none"/>
        </w:rPr>
        <w:t>单位：人</w:t>
      </w:r>
    </w:p>
    <w:tbl>
      <w:tblPr>
        <w:tblStyle w:val="41"/>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47"/>
        <w:gridCol w:w="1063"/>
        <w:gridCol w:w="1063"/>
        <w:gridCol w:w="1063"/>
        <w:gridCol w:w="1063"/>
        <w:gridCol w:w="1063"/>
        <w:gridCol w:w="1063"/>
      </w:tblGrid>
      <w:tr w14:paraId="745C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9" w:type="dxa"/>
            <w:vAlign w:val="center"/>
          </w:tcPr>
          <w:p w14:paraId="4362774A">
            <w:pPr>
              <w:jc w:val="center"/>
              <w:rPr>
                <w:highlight w:val="none"/>
              </w:rPr>
            </w:pPr>
            <w:r>
              <w:rPr>
                <w:rFonts w:hint="eastAsia"/>
                <w:highlight w:val="none"/>
              </w:rPr>
              <w:t>工种</w:t>
            </w:r>
          </w:p>
        </w:tc>
        <w:tc>
          <w:tcPr>
            <w:tcW w:w="7425" w:type="dxa"/>
            <w:gridSpan w:val="7"/>
            <w:vAlign w:val="center"/>
          </w:tcPr>
          <w:p w14:paraId="388F7535">
            <w:pPr>
              <w:jc w:val="center"/>
              <w:rPr>
                <w:highlight w:val="none"/>
              </w:rPr>
            </w:pPr>
            <w:r>
              <w:rPr>
                <w:rFonts w:hint="eastAsia"/>
                <w:highlight w:val="none"/>
              </w:rPr>
              <w:t>按工程施工阶段投入劳动力情况</w:t>
            </w:r>
          </w:p>
        </w:tc>
      </w:tr>
      <w:tr w14:paraId="0FAC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49B68680">
            <w:pPr>
              <w:spacing w:line="360" w:lineRule="auto"/>
              <w:jc w:val="center"/>
              <w:rPr>
                <w:highlight w:val="none"/>
              </w:rPr>
            </w:pPr>
          </w:p>
        </w:tc>
        <w:tc>
          <w:tcPr>
            <w:tcW w:w="1047" w:type="dxa"/>
            <w:vAlign w:val="center"/>
          </w:tcPr>
          <w:p w14:paraId="41DA1541">
            <w:pPr>
              <w:spacing w:line="360" w:lineRule="auto"/>
              <w:jc w:val="center"/>
              <w:rPr>
                <w:highlight w:val="none"/>
              </w:rPr>
            </w:pPr>
          </w:p>
        </w:tc>
        <w:tc>
          <w:tcPr>
            <w:tcW w:w="1063" w:type="dxa"/>
            <w:vAlign w:val="center"/>
          </w:tcPr>
          <w:p w14:paraId="6837D6A2">
            <w:pPr>
              <w:spacing w:line="360" w:lineRule="auto"/>
              <w:jc w:val="center"/>
              <w:rPr>
                <w:highlight w:val="none"/>
              </w:rPr>
            </w:pPr>
          </w:p>
        </w:tc>
        <w:tc>
          <w:tcPr>
            <w:tcW w:w="1063" w:type="dxa"/>
            <w:vAlign w:val="center"/>
          </w:tcPr>
          <w:p w14:paraId="73770A4F">
            <w:pPr>
              <w:spacing w:line="360" w:lineRule="auto"/>
              <w:jc w:val="center"/>
              <w:rPr>
                <w:highlight w:val="none"/>
              </w:rPr>
            </w:pPr>
          </w:p>
        </w:tc>
        <w:tc>
          <w:tcPr>
            <w:tcW w:w="1063" w:type="dxa"/>
            <w:vAlign w:val="center"/>
          </w:tcPr>
          <w:p w14:paraId="19F3C272">
            <w:pPr>
              <w:spacing w:line="360" w:lineRule="auto"/>
              <w:jc w:val="center"/>
              <w:rPr>
                <w:highlight w:val="none"/>
              </w:rPr>
            </w:pPr>
          </w:p>
        </w:tc>
        <w:tc>
          <w:tcPr>
            <w:tcW w:w="1063" w:type="dxa"/>
            <w:vAlign w:val="center"/>
          </w:tcPr>
          <w:p w14:paraId="7B67EDFD">
            <w:pPr>
              <w:spacing w:line="360" w:lineRule="auto"/>
              <w:jc w:val="center"/>
              <w:rPr>
                <w:highlight w:val="none"/>
              </w:rPr>
            </w:pPr>
          </w:p>
        </w:tc>
        <w:tc>
          <w:tcPr>
            <w:tcW w:w="1063" w:type="dxa"/>
            <w:vAlign w:val="center"/>
          </w:tcPr>
          <w:p w14:paraId="7E111080">
            <w:pPr>
              <w:spacing w:line="360" w:lineRule="auto"/>
              <w:jc w:val="center"/>
              <w:rPr>
                <w:highlight w:val="none"/>
              </w:rPr>
            </w:pPr>
          </w:p>
        </w:tc>
        <w:tc>
          <w:tcPr>
            <w:tcW w:w="1063" w:type="dxa"/>
            <w:vAlign w:val="center"/>
          </w:tcPr>
          <w:p w14:paraId="41A8C746">
            <w:pPr>
              <w:spacing w:line="360" w:lineRule="auto"/>
              <w:jc w:val="center"/>
              <w:rPr>
                <w:highlight w:val="none"/>
              </w:rPr>
            </w:pPr>
          </w:p>
        </w:tc>
      </w:tr>
      <w:tr w14:paraId="4BE0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7773E7AA">
            <w:pPr>
              <w:spacing w:line="360" w:lineRule="auto"/>
              <w:jc w:val="center"/>
              <w:rPr>
                <w:highlight w:val="none"/>
              </w:rPr>
            </w:pPr>
          </w:p>
        </w:tc>
        <w:tc>
          <w:tcPr>
            <w:tcW w:w="1047" w:type="dxa"/>
            <w:vAlign w:val="center"/>
          </w:tcPr>
          <w:p w14:paraId="5A96229D">
            <w:pPr>
              <w:spacing w:line="360" w:lineRule="auto"/>
              <w:jc w:val="center"/>
              <w:rPr>
                <w:highlight w:val="none"/>
              </w:rPr>
            </w:pPr>
          </w:p>
        </w:tc>
        <w:tc>
          <w:tcPr>
            <w:tcW w:w="1063" w:type="dxa"/>
            <w:vAlign w:val="center"/>
          </w:tcPr>
          <w:p w14:paraId="0CDA046B">
            <w:pPr>
              <w:spacing w:line="360" w:lineRule="auto"/>
              <w:jc w:val="center"/>
              <w:rPr>
                <w:highlight w:val="none"/>
              </w:rPr>
            </w:pPr>
          </w:p>
        </w:tc>
        <w:tc>
          <w:tcPr>
            <w:tcW w:w="1063" w:type="dxa"/>
            <w:vAlign w:val="center"/>
          </w:tcPr>
          <w:p w14:paraId="76AD6804">
            <w:pPr>
              <w:spacing w:line="360" w:lineRule="auto"/>
              <w:jc w:val="center"/>
              <w:rPr>
                <w:highlight w:val="none"/>
              </w:rPr>
            </w:pPr>
          </w:p>
        </w:tc>
        <w:tc>
          <w:tcPr>
            <w:tcW w:w="1063" w:type="dxa"/>
            <w:vAlign w:val="center"/>
          </w:tcPr>
          <w:p w14:paraId="0A6B80EF">
            <w:pPr>
              <w:spacing w:line="360" w:lineRule="auto"/>
              <w:jc w:val="center"/>
              <w:rPr>
                <w:highlight w:val="none"/>
              </w:rPr>
            </w:pPr>
          </w:p>
        </w:tc>
        <w:tc>
          <w:tcPr>
            <w:tcW w:w="1063" w:type="dxa"/>
            <w:vAlign w:val="center"/>
          </w:tcPr>
          <w:p w14:paraId="349A6A79">
            <w:pPr>
              <w:spacing w:line="360" w:lineRule="auto"/>
              <w:jc w:val="center"/>
              <w:rPr>
                <w:highlight w:val="none"/>
              </w:rPr>
            </w:pPr>
          </w:p>
        </w:tc>
        <w:tc>
          <w:tcPr>
            <w:tcW w:w="1063" w:type="dxa"/>
            <w:vAlign w:val="center"/>
          </w:tcPr>
          <w:p w14:paraId="44EB3888">
            <w:pPr>
              <w:spacing w:line="360" w:lineRule="auto"/>
              <w:jc w:val="center"/>
              <w:rPr>
                <w:highlight w:val="none"/>
              </w:rPr>
            </w:pPr>
          </w:p>
        </w:tc>
        <w:tc>
          <w:tcPr>
            <w:tcW w:w="1063" w:type="dxa"/>
            <w:vAlign w:val="center"/>
          </w:tcPr>
          <w:p w14:paraId="04C3557A">
            <w:pPr>
              <w:spacing w:line="360" w:lineRule="auto"/>
              <w:jc w:val="center"/>
              <w:rPr>
                <w:highlight w:val="none"/>
              </w:rPr>
            </w:pPr>
          </w:p>
        </w:tc>
      </w:tr>
      <w:tr w14:paraId="5796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5A5D2B3C">
            <w:pPr>
              <w:spacing w:line="360" w:lineRule="auto"/>
              <w:jc w:val="center"/>
              <w:rPr>
                <w:highlight w:val="none"/>
              </w:rPr>
            </w:pPr>
          </w:p>
        </w:tc>
        <w:tc>
          <w:tcPr>
            <w:tcW w:w="1047" w:type="dxa"/>
            <w:vAlign w:val="center"/>
          </w:tcPr>
          <w:p w14:paraId="24C254B2">
            <w:pPr>
              <w:spacing w:line="360" w:lineRule="auto"/>
              <w:jc w:val="center"/>
              <w:rPr>
                <w:highlight w:val="none"/>
              </w:rPr>
            </w:pPr>
          </w:p>
        </w:tc>
        <w:tc>
          <w:tcPr>
            <w:tcW w:w="1063" w:type="dxa"/>
            <w:vAlign w:val="center"/>
          </w:tcPr>
          <w:p w14:paraId="02A83819">
            <w:pPr>
              <w:spacing w:line="360" w:lineRule="auto"/>
              <w:jc w:val="center"/>
              <w:rPr>
                <w:highlight w:val="none"/>
              </w:rPr>
            </w:pPr>
          </w:p>
        </w:tc>
        <w:tc>
          <w:tcPr>
            <w:tcW w:w="1063" w:type="dxa"/>
            <w:vAlign w:val="center"/>
          </w:tcPr>
          <w:p w14:paraId="6D61CAEB">
            <w:pPr>
              <w:spacing w:line="360" w:lineRule="auto"/>
              <w:jc w:val="center"/>
              <w:rPr>
                <w:highlight w:val="none"/>
              </w:rPr>
            </w:pPr>
          </w:p>
        </w:tc>
        <w:tc>
          <w:tcPr>
            <w:tcW w:w="1063" w:type="dxa"/>
            <w:vAlign w:val="center"/>
          </w:tcPr>
          <w:p w14:paraId="52E2387F">
            <w:pPr>
              <w:spacing w:line="360" w:lineRule="auto"/>
              <w:jc w:val="center"/>
              <w:rPr>
                <w:highlight w:val="none"/>
              </w:rPr>
            </w:pPr>
          </w:p>
        </w:tc>
        <w:tc>
          <w:tcPr>
            <w:tcW w:w="1063" w:type="dxa"/>
            <w:vAlign w:val="center"/>
          </w:tcPr>
          <w:p w14:paraId="6AAFC39C">
            <w:pPr>
              <w:spacing w:line="360" w:lineRule="auto"/>
              <w:jc w:val="center"/>
              <w:rPr>
                <w:highlight w:val="none"/>
              </w:rPr>
            </w:pPr>
          </w:p>
        </w:tc>
        <w:tc>
          <w:tcPr>
            <w:tcW w:w="1063" w:type="dxa"/>
            <w:vAlign w:val="center"/>
          </w:tcPr>
          <w:p w14:paraId="0CD3DD4D">
            <w:pPr>
              <w:spacing w:line="360" w:lineRule="auto"/>
              <w:jc w:val="center"/>
              <w:rPr>
                <w:highlight w:val="none"/>
              </w:rPr>
            </w:pPr>
          </w:p>
        </w:tc>
        <w:tc>
          <w:tcPr>
            <w:tcW w:w="1063" w:type="dxa"/>
            <w:vAlign w:val="center"/>
          </w:tcPr>
          <w:p w14:paraId="1FF14911">
            <w:pPr>
              <w:spacing w:line="360" w:lineRule="auto"/>
              <w:jc w:val="center"/>
              <w:rPr>
                <w:highlight w:val="none"/>
              </w:rPr>
            </w:pPr>
          </w:p>
        </w:tc>
      </w:tr>
      <w:tr w14:paraId="6327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1FBEF44D">
            <w:pPr>
              <w:spacing w:line="360" w:lineRule="auto"/>
              <w:jc w:val="center"/>
              <w:rPr>
                <w:highlight w:val="none"/>
              </w:rPr>
            </w:pPr>
          </w:p>
        </w:tc>
        <w:tc>
          <w:tcPr>
            <w:tcW w:w="1047" w:type="dxa"/>
            <w:vAlign w:val="center"/>
          </w:tcPr>
          <w:p w14:paraId="74624C05">
            <w:pPr>
              <w:spacing w:line="360" w:lineRule="auto"/>
              <w:jc w:val="center"/>
              <w:rPr>
                <w:highlight w:val="none"/>
              </w:rPr>
            </w:pPr>
          </w:p>
        </w:tc>
        <w:tc>
          <w:tcPr>
            <w:tcW w:w="1063" w:type="dxa"/>
            <w:vAlign w:val="center"/>
          </w:tcPr>
          <w:p w14:paraId="17DC1702">
            <w:pPr>
              <w:spacing w:line="360" w:lineRule="auto"/>
              <w:jc w:val="center"/>
              <w:rPr>
                <w:highlight w:val="none"/>
              </w:rPr>
            </w:pPr>
          </w:p>
        </w:tc>
        <w:tc>
          <w:tcPr>
            <w:tcW w:w="1063" w:type="dxa"/>
            <w:vAlign w:val="center"/>
          </w:tcPr>
          <w:p w14:paraId="7776F1DF">
            <w:pPr>
              <w:spacing w:line="360" w:lineRule="auto"/>
              <w:jc w:val="center"/>
              <w:rPr>
                <w:highlight w:val="none"/>
              </w:rPr>
            </w:pPr>
          </w:p>
        </w:tc>
        <w:tc>
          <w:tcPr>
            <w:tcW w:w="1063" w:type="dxa"/>
            <w:vAlign w:val="center"/>
          </w:tcPr>
          <w:p w14:paraId="221D731C">
            <w:pPr>
              <w:spacing w:line="360" w:lineRule="auto"/>
              <w:jc w:val="center"/>
              <w:rPr>
                <w:highlight w:val="none"/>
              </w:rPr>
            </w:pPr>
          </w:p>
        </w:tc>
        <w:tc>
          <w:tcPr>
            <w:tcW w:w="1063" w:type="dxa"/>
            <w:vAlign w:val="center"/>
          </w:tcPr>
          <w:p w14:paraId="682550DC">
            <w:pPr>
              <w:spacing w:line="360" w:lineRule="auto"/>
              <w:jc w:val="center"/>
              <w:rPr>
                <w:highlight w:val="none"/>
              </w:rPr>
            </w:pPr>
          </w:p>
        </w:tc>
        <w:tc>
          <w:tcPr>
            <w:tcW w:w="1063" w:type="dxa"/>
            <w:vAlign w:val="center"/>
          </w:tcPr>
          <w:p w14:paraId="5B69A961">
            <w:pPr>
              <w:spacing w:line="360" w:lineRule="auto"/>
              <w:jc w:val="center"/>
              <w:rPr>
                <w:highlight w:val="none"/>
              </w:rPr>
            </w:pPr>
          </w:p>
        </w:tc>
        <w:tc>
          <w:tcPr>
            <w:tcW w:w="1063" w:type="dxa"/>
            <w:vAlign w:val="center"/>
          </w:tcPr>
          <w:p w14:paraId="3C18729C">
            <w:pPr>
              <w:spacing w:line="360" w:lineRule="auto"/>
              <w:jc w:val="center"/>
              <w:rPr>
                <w:highlight w:val="none"/>
              </w:rPr>
            </w:pPr>
          </w:p>
        </w:tc>
      </w:tr>
      <w:tr w14:paraId="6EFD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13A3EECC">
            <w:pPr>
              <w:spacing w:line="360" w:lineRule="auto"/>
              <w:jc w:val="center"/>
              <w:rPr>
                <w:highlight w:val="none"/>
              </w:rPr>
            </w:pPr>
          </w:p>
        </w:tc>
        <w:tc>
          <w:tcPr>
            <w:tcW w:w="1047" w:type="dxa"/>
            <w:vAlign w:val="center"/>
          </w:tcPr>
          <w:p w14:paraId="0E12BC82">
            <w:pPr>
              <w:spacing w:line="360" w:lineRule="auto"/>
              <w:jc w:val="center"/>
              <w:rPr>
                <w:highlight w:val="none"/>
              </w:rPr>
            </w:pPr>
          </w:p>
        </w:tc>
        <w:tc>
          <w:tcPr>
            <w:tcW w:w="1063" w:type="dxa"/>
            <w:vAlign w:val="center"/>
          </w:tcPr>
          <w:p w14:paraId="07672EC0">
            <w:pPr>
              <w:spacing w:line="360" w:lineRule="auto"/>
              <w:jc w:val="center"/>
              <w:rPr>
                <w:highlight w:val="none"/>
              </w:rPr>
            </w:pPr>
          </w:p>
        </w:tc>
        <w:tc>
          <w:tcPr>
            <w:tcW w:w="1063" w:type="dxa"/>
            <w:vAlign w:val="center"/>
          </w:tcPr>
          <w:p w14:paraId="6DB9E248">
            <w:pPr>
              <w:spacing w:line="360" w:lineRule="auto"/>
              <w:jc w:val="center"/>
              <w:rPr>
                <w:highlight w:val="none"/>
              </w:rPr>
            </w:pPr>
          </w:p>
        </w:tc>
        <w:tc>
          <w:tcPr>
            <w:tcW w:w="1063" w:type="dxa"/>
            <w:vAlign w:val="center"/>
          </w:tcPr>
          <w:p w14:paraId="26215E45">
            <w:pPr>
              <w:spacing w:line="360" w:lineRule="auto"/>
              <w:jc w:val="center"/>
              <w:rPr>
                <w:highlight w:val="none"/>
              </w:rPr>
            </w:pPr>
          </w:p>
        </w:tc>
        <w:tc>
          <w:tcPr>
            <w:tcW w:w="1063" w:type="dxa"/>
            <w:vAlign w:val="center"/>
          </w:tcPr>
          <w:p w14:paraId="2E22C046">
            <w:pPr>
              <w:spacing w:line="360" w:lineRule="auto"/>
              <w:jc w:val="center"/>
              <w:rPr>
                <w:highlight w:val="none"/>
              </w:rPr>
            </w:pPr>
          </w:p>
        </w:tc>
        <w:tc>
          <w:tcPr>
            <w:tcW w:w="1063" w:type="dxa"/>
            <w:vAlign w:val="center"/>
          </w:tcPr>
          <w:p w14:paraId="2CDA00AC">
            <w:pPr>
              <w:spacing w:line="360" w:lineRule="auto"/>
              <w:jc w:val="center"/>
              <w:rPr>
                <w:highlight w:val="none"/>
              </w:rPr>
            </w:pPr>
          </w:p>
        </w:tc>
        <w:tc>
          <w:tcPr>
            <w:tcW w:w="1063" w:type="dxa"/>
            <w:vAlign w:val="center"/>
          </w:tcPr>
          <w:p w14:paraId="16AA9062">
            <w:pPr>
              <w:spacing w:line="360" w:lineRule="auto"/>
              <w:jc w:val="center"/>
              <w:rPr>
                <w:highlight w:val="none"/>
              </w:rPr>
            </w:pPr>
          </w:p>
        </w:tc>
      </w:tr>
      <w:tr w14:paraId="1F22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56175D9B">
            <w:pPr>
              <w:spacing w:line="360" w:lineRule="auto"/>
              <w:jc w:val="center"/>
              <w:rPr>
                <w:highlight w:val="none"/>
              </w:rPr>
            </w:pPr>
          </w:p>
        </w:tc>
        <w:tc>
          <w:tcPr>
            <w:tcW w:w="1047" w:type="dxa"/>
            <w:vAlign w:val="center"/>
          </w:tcPr>
          <w:p w14:paraId="0396BCED">
            <w:pPr>
              <w:spacing w:line="360" w:lineRule="auto"/>
              <w:jc w:val="center"/>
              <w:rPr>
                <w:highlight w:val="none"/>
              </w:rPr>
            </w:pPr>
          </w:p>
        </w:tc>
        <w:tc>
          <w:tcPr>
            <w:tcW w:w="1063" w:type="dxa"/>
            <w:vAlign w:val="center"/>
          </w:tcPr>
          <w:p w14:paraId="771088BF">
            <w:pPr>
              <w:spacing w:line="360" w:lineRule="auto"/>
              <w:jc w:val="center"/>
              <w:rPr>
                <w:highlight w:val="none"/>
              </w:rPr>
            </w:pPr>
          </w:p>
        </w:tc>
        <w:tc>
          <w:tcPr>
            <w:tcW w:w="1063" w:type="dxa"/>
            <w:vAlign w:val="center"/>
          </w:tcPr>
          <w:p w14:paraId="11BA33FF">
            <w:pPr>
              <w:spacing w:line="360" w:lineRule="auto"/>
              <w:jc w:val="center"/>
              <w:rPr>
                <w:highlight w:val="none"/>
              </w:rPr>
            </w:pPr>
          </w:p>
        </w:tc>
        <w:tc>
          <w:tcPr>
            <w:tcW w:w="1063" w:type="dxa"/>
            <w:vAlign w:val="center"/>
          </w:tcPr>
          <w:p w14:paraId="6BEDC2A2">
            <w:pPr>
              <w:spacing w:line="360" w:lineRule="auto"/>
              <w:jc w:val="center"/>
              <w:rPr>
                <w:highlight w:val="none"/>
              </w:rPr>
            </w:pPr>
          </w:p>
        </w:tc>
        <w:tc>
          <w:tcPr>
            <w:tcW w:w="1063" w:type="dxa"/>
            <w:vAlign w:val="center"/>
          </w:tcPr>
          <w:p w14:paraId="446CDA60">
            <w:pPr>
              <w:spacing w:line="360" w:lineRule="auto"/>
              <w:jc w:val="center"/>
              <w:rPr>
                <w:highlight w:val="none"/>
              </w:rPr>
            </w:pPr>
          </w:p>
        </w:tc>
        <w:tc>
          <w:tcPr>
            <w:tcW w:w="1063" w:type="dxa"/>
            <w:vAlign w:val="center"/>
          </w:tcPr>
          <w:p w14:paraId="403B2CA5">
            <w:pPr>
              <w:spacing w:line="360" w:lineRule="auto"/>
              <w:jc w:val="center"/>
              <w:rPr>
                <w:highlight w:val="none"/>
              </w:rPr>
            </w:pPr>
          </w:p>
        </w:tc>
        <w:tc>
          <w:tcPr>
            <w:tcW w:w="1063" w:type="dxa"/>
            <w:vAlign w:val="center"/>
          </w:tcPr>
          <w:p w14:paraId="1CE7D24E">
            <w:pPr>
              <w:spacing w:line="360" w:lineRule="auto"/>
              <w:jc w:val="center"/>
              <w:rPr>
                <w:highlight w:val="none"/>
              </w:rPr>
            </w:pPr>
          </w:p>
        </w:tc>
      </w:tr>
      <w:tr w14:paraId="7E0B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28D91C56">
            <w:pPr>
              <w:spacing w:line="360" w:lineRule="auto"/>
              <w:jc w:val="center"/>
              <w:rPr>
                <w:highlight w:val="none"/>
              </w:rPr>
            </w:pPr>
          </w:p>
        </w:tc>
        <w:tc>
          <w:tcPr>
            <w:tcW w:w="1047" w:type="dxa"/>
            <w:vAlign w:val="center"/>
          </w:tcPr>
          <w:p w14:paraId="1F5D8FFF">
            <w:pPr>
              <w:spacing w:line="360" w:lineRule="auto"/>
              <w:jc w:val="center"/>
              <w:rPr>
                <w:highlight w:val="none"/>
              </w:rPr>
            </w:pPr>
          </w:p>
        </w:tc>
        <w:tc>
          <w:tcPr>
            <w:tcW w:w="1063" w:type="dxa"/>
            <w:vAlign w:val="center"/>
          </w:tcPr>
          <w:p w14:paraId="15163E1E">
            <w:pPr>
              <w:spacing w:line="360" w:lineRule="auto"/>
              <w:jc w:val="center"/>
              <w:rPr>
                <w:highlight w:val="none"/>
              </w:rPr>
            </w:pPr>
          </w:p>
        </w:tc>
        <w:tc>
          <w:tcPr>
            <w:tcW w:w="1063" w:type="dxa"/>
            <w:vAlign w:val="center"/>
          </w:tcPr>
          <w:p w14:paraId="353119E7">
            <w:pPr>
              <w:spacing w:line="360" w:lineRule="auto"/>
              <w:jc w:val="center"/>
              <w:rPr>
                <w:highlight w:val="none"/>
              </w:rPr>
            </w:pPr>
          </w:p>
        </w:tc>
        <w:tc>
          <w:tcPr>
            <w:tcW w:w="1063" w:type="dxa"/>
            <w:vAlign w:val="center"/>
          </w:tcPr>
          <w:p w14:paraId="1BFD49C2">
            <w:pPr>
              <w:spacing w:line="360" w:lineRule="auto"/>
              <w:jc w:val="center"/>
              <w:rPr>
                <w:highlight w:val="none"/>
              </w:rPr>
            </w:pPr>
          </w:p>
        </w:tc>
        <w:tc>
          <w:tcPr>
            <w:tcW w:w="1063" w:type="dxa"/>
            <w:vAlign w:val="center"/>
          </w:tcPr>
          <w:p w14:paraId="5847E268">
            <w:pPr>
              <w:spacing w:line="360" w:lineRule="auto"/>
              <w:jc w:val="center"/>
              <w:rPr>
                <w:highlight w:val="none"/>
              </w:rPr>
            </w:pPr>
          </w:p>
        </w:tc>
        <w:tc>
          <w:tcPr>
            <w:tcW w:w="1063" w:type="dxa"/>
            <w:vAlign w:val="center"/>
          </w:tcPr>
          <w:p w14:paraId="05DCAD81">
            <w:pPr>
              <w:spacing w:line="360" w:lineRule="auto"/>
              <w:jc w:val="center"/>
              <w:rPr>
                <w:highlight w:val="none"/>
              </w:rPr>
            </w:pPr>
          </w:p>
        </w:tc>
        <w:tc>
          <w:tcPr>
            <w:tcW w:w="1063" w:type="dxa"/>
            <w:vAlign w:val="center"/>
          </w:tcPr>
          <w:p w14:paraId="1591A1B8">
            <w:pPr>
              <w:spacing w:line="360" w:lineRule="auto"/>
              <w:jc w:val="center"/>
              <w:rPr>
                <w:highlight w:val="none"/>
              </w:rPr>
            </w:pPr>
          </w:p>
        </w:tc>
      </w:tr>
      <w:tr w14:paraId="1F13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4343CB15">
            <w:pPr>
              <w:spacing w:line="360" w:lineRule="auto"/>
              <w:jc w:val="center"/>
              <w:rPr>
                <w:highlight w:val="none"/>
              </w:rPr>
            </w:pPr>
          </w:p>
        </w:tc>
        <w:tc>
          <w:tcPr>
            <w:tcW w:w="1047" w:type="dxa"/>
            <w:vAlign w:val="center"/>
          </w:tcPr>
          <w:p w14:paraId="5AACDDA2">
            <w:pPr>
              <w:spacing w:line="360" w:lineRule="auto"/>
              <w:jc w:val="center"/>
              <w:rPr>
                <w:highlight w:val="none"/>
              </w:rPr>
            </w:pPr>
          </w:p>
        </w:tc>
        <w:tc>
          <w:tcPr>
            <w:tcW w:w="1063" w:type="dxa"/>
            <w:vAlign w:val="center"/>
          </w:tcPr>
          <w:p w14:paraId="1A96FC3B">
            <w:pPr>
              <w:spacing w:line="360" w:lineRule="auto"/>
              <w:jc w:val="center"/>
              <w:rPr>
                <w:highlight w:val="none"/>
              </w:rPr>
            </w:pPr>
          </w:p>
        </w:tc>
        <w:tc>
          <w:tcPr>
            <w:tcW w:w="1063" w:type="dxa"/>
            <w:vAlign w:val="center"/>
          </w:tcPr>
          <w:p w14:paraId="4C05A351">
            <w:pPr>
              <w:spacing w:line="360" w:lineRule="auto"/>
              <w:jc w:val="center"/>
              <w:rPr>
                <w:highlight w:val="none"/>
              </w:rPr>
            </w:pPr>
          </w:p>
        </w:tc>
        <w:tc>
          <w:tcPr>
            <w:tcW w:w="1063" w:type="dxa"/>
            <w:vAlign w:val="center"/>
          </w:tcPr>
          <w:p w14:paraId="5A4E498D">
            <w:pPr>
              <w:spacing w:line="360" w:lineRule="auto"/>
              <w:jc w:val="center"/>
              <w:rPr>
                <w:highlight w:val="none"/>
              </w:rPr>
            </w:pPr>
          </w:p>
        </w:tc>
        <w:tc>
          <w:tcPr>
            <w:tcW w:w="1063" w:type="dxa"/>
            <w:vAlign w:val="center"/>
          </w:tcPr>
          <w:p w14:paraId="7E8B53A4">
            <w:pPr>
              <w:spacing w:line="360" w:lineRule="auto"/>
              <w:jc w:val="center"/>
              <w:rPr>
                <w:highlight w:val="none"/>
              </w:rPr>
            </w:pPr>
          </w:p>
        </w:tc>
        <w:tc>
          <w:tcPr>
            <w:tcW w:w="1063" w:type="dxa"/>
            <w:vAlign w:val="center"/>
          </w:tcPr>
          <w:p w14:paraId="370FE726">
            <w:pPr>
              <w:spacing w:line="360" w:lineRule="auto"/>
              <w:jc w:val="center"/>
              <w:rPr>
                <w:highlight w:val="none"/>
              </w:rPr>
            </w:pPr>
          </w:p>
        </w:tc>
        <w:tc>
          <w:tcPr>
            <w:tcW w:w="1063" w:type="dxa"/>
            <w:vAlign w:val="center"/>
          </w:tcPr>
          <w:p w14:paraId="1DC07811">
            <w:pPr>
              <w:spacing w:line="360" w:lineRule="auto"/>
              <w:jc w:val="center"/>
              <w:rPr>
                <w:highlight w:val="none"/>
              </w:rPr>
            </w:pPr>
          </w:p>
        </w:tc>
      </w:tr>
      <w:tr w14:paraId="30E5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367036E1">
            <w:pPr>
              <w:spacing w:line="360" w:lineRule="auto"/>
              <w:jc w:val="center"/>
              <w:rPr>
                <w:highlight w:val="none"/>
              </w:rPr>
            </w:pPr>
          </w:p>
        </w:tc>
        <w:tc>
          <w:tcPr>
            <w:tcW w:w="1047" w:type="dxa"/>
            <w:vAlign w:val="center"/>
          </w:tcPr>
          <w:p w14:paraId="76DB21F4">
            <w:pPr>
              <w:spacing w:line="360" w:lineRule="auto"/>
              <w:jc w:val="center"/>
              <w:rPr>
                <w:highlight w:val="none"/>
              </w:rPr>
            </w:pPr>
          </w:p>
        </w:tc>
        <w:tc>
          <w:tcPr>
            <w:tcW w:w="1063" w:type="dxa"/>
            <w:vAlign w:val="center"/>
          </w:tcPr>
          <w:p w14:paraId="6015A32B">
            <w:pPr>
              <w:spacing w:line="360" w:lineRule="auto"/>
              <w:jc w:val="center"/>
              <w:rPr>
                <w:highlight w:val="none"/>
              </w:rPr>
            </w:pPr>
          </w:p>
        </w:tc>
        <w:tc>
          <w:tcPr>
            <w:tcW w:w="1063" w:type="dxa"/>
            <w:vAlign w:val="center"/>
          </w:tcPr>
          <w:p w14:paraId="2939B6F5">
            <w:pPr>
              <w:spacing w:line="360" w:lineRule="auto"/>
              <w:jc w:val="center"/>
              <w:rPr>
                <w:highlight w:val="none"/>
              </w:rPr>
            </w:pPr>
          </w:p>
        </w:tc>
        <w:tc>
          <w:tcPr>
            <w:tcW w:w="1063" w:type="dxa"/>
            <w:vAlign w:val="center"/>
          </w:tcPr>
          <w:p w14:paraId="405DCDF3">
            <w:pPr>
              <w:spacing w:line="360" w:lineRule="auto"/>
              <w:jc w:val="center"/>
              <w:rPr>
                <w:highlight w:val="none"/>
              </w:rPr>
            </w:pPr>
          </w:p>
        </w:tc>
        <w:tc>
          <w:tcPr>
            <w:tcW w:w="1063" w:type="dxa"/>
            <w:vAlign w:val="center"/>
          </w:tcPr>
          <w:p w14:paraId="13466549">
            <w:pPr>
              <w:spacing w:line="360" w:lineRule="auto"/>
              <w:jc w:val="center"/>
              <w:rPr>
                <w:highlight w:val="none"/>
              </w:rPr>
            </w:pPr>
          </w:p>
        </w:tc>
        <w:tc>
          <w:tcPr>
            <w:tcW w:w="1063" w:type="dxa"/>
            <w:vAlign w:val="center"/>
          </w:tcPr>
          <w:p w14:paraId="27E2E31B">
            <w:pPr>
              <w:spacing w:line="360" w:lineRule="auto"/>
              <w:jc w:val="center"/>
              <w:rPr>
                <w:highlight w:val="none"/>
              </w:rPr>
            </w:pPr>
          </w:p>
        </w:tc>
        <w:tc>
          <w:tcPr>
            <w:tcW w:w="1063" w:type="dxa"/>
            <w:vAlign w:val="center"/>
          </w:tcPr>
          <w:p w14:paraId="022358D6">
            <w:pPr>
              <w:spacing w:line="360" w:lineRule="auto"/>
              <w:jc w:val="center"/>
              <w:rPr>
                <w:highlight w:val="none"/>
              </w:rPr>
            </w:pPr>
          </w:p>
        </w:tc>
      </w:tr>
      <w:tr w14:paraId="4B6A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5CF06B52">
            <w:pPr>
              <w:spacing w:line="360" w:lineRule="auto"/>
              <w:jc w:val="center"/>
              <w:rPr>
                <w:highlight w:val="none"/>
              </w:rPr>
            </w:pPr>
          </w:p>
        </w:tc>
        <w:tc>
          <w:tcPr>
            <w:tcW w:w="1047" w:type="dxa"/>
            <w:vAlign w:val="center"/>
          </w:tcPr>
          <w:p w14:paraId="2CC384C9">
            <w:pPr>
              <w:spacing w:line="360" w:lineRule="auto"/>
              <w:jc w:val="center"/>
              <w:rPr>
                <w:highlight w:val="none"/>
              </w:rPr>
            </w:pPr>
          </w:p>
        </w:tc>
        <w:tc>
          <w:tcPr>
            <w:tcW w:w="1063" w:type="dxa"/>
            <w:vAlign w:val="center"/>
          </w:tcPr>
          <w:p w14:paraId="3A13715F">
            <w:pPr>
              <w:spacing w:line="360" w:lineRule="auto"/>
              <w:jc w:val="center"/>
              <w:rPr>
                <w:highlight w:val="none"/>
              </w:rPr>
            </w:pPr>
          </w:p>
        </w:tc>
        <w:tc>
          <w:tcPr>
            <w:tcW w:w="1063" w:type="dxa"/>
            <w:vAlign w:val="center"/>
          </w:tcPr>
          <w:p w14:paraId="2D6C316A">
            <w:pPr>
              <w:spacing w:line="360" w:lineRule="auto"/>
              <w:jc w:val="center"/>
              <w:rPr>
                <w:highlight w:val="none"/>
              </w:rPr>
            </w:pPr>
          </w:p>
        </w:tc>
        <w:tc>
          <w:tcPr>
            <w:tcW w:w="1063" w:type="dxa"/>
            <w:vAlign w:val="center"/>
          </w:tcPr>
          <w:p w14:paraId="43CEAC27">
            <w:pPr>
              <w:spacing w:line="360" w:lineRule="auto"/>
              <w:jc w:val="center"/>
              <w:rPr>
                <w:highlight w:val="none"/>
              </w:rPr>
            </w:pPr>
          </w:p>
        </w:tc>
        <w:tc>
          <w:tcPr>
            <w:tcW w:w="1063" w:type="dxa"/>
            <w:vAlign w:val="center"/>
          </w:tcPr>
          <w:p w14:paraId="0BE8494C">
            <w:pPr>
              <w:spacing w:line="360" w:lineRule="auto"/>
              <w:jc w:val="center"/>
              <w:rPr>
                <w:highlight w:val="none"/>
              </w:rPr>
            </w:pPr>
          </w:p>
        </w:tc>
        <w:tc>
          <w:tcPr>
            <w:tcW w:w="1063" w:type="dxa"/>
            <w:vAlign w:val="center"/>
          </w:tcPr>
          <w:p w14:paraId="6334450B">
            <w:pPr>
              <w:spacing w:line="360" w:lineRule="auto"/>
              <w:jc w:val="center"/>
              <w:rPr>
                <w:highlight w:val="none"/>
              </w:rPr>
            </w:pPr>
          </w:p>
        </w:tc>
        <w:tc>
          <w:tcPr>
            <w:tcW w:w="1063" w:type="dxa"/>
            <w:vAlign w:val="center"/>
          </w:tcPr>
          <w:p w14:paraId="0CB0D460">
            <w:pPr>
              <w:spacing w:line="360" w:lineRule="auto"/>
              <w:jc w:val="center"/>
              <w:rPr>
                <w:highlight w:val="none"/>
              </w:rPr>
            </w:pPr>
          </w:p>
        </w:tc>
      </w:tr>
      <w:tr w14:paraId="7B70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44FFF48D">
            <w:pPr>
              <w:spacing w:line="360" w:lineRule="auto"/>
              <w:jc w:val="center"/>
              <w:rPr>
                <w:highlight w:val="none"/>
              </w:rPr>
            </w:pPr>
          </w:p>
        </w:tc>
        <w:tc>
          <w:tcPr>
            <w:tcW w:w="1047" w:type="dxa"/>
            <w:vAlign w:val="center"/>
          </w:tcPr>
          <w:p w14:paraId="0177F319">
            <w:pPr>
              <w:spacing w:line="360" w:lineRule="auto"/>
              <w:jc w:val="center"/>
              <w:rPr>
                <w:highlight w:val="none"/>
              </w:rPr>
            </w:pPr>
          </w:p>
        </w:tc>
        <w:tc>
          <w:tcPr>
            <w:tcW w:w="1063" w:type="dxa"/>
            <w:vAlign w:val="center"/>
          </w:tcPr>
          <w:p w14:paraId="2C2FAFC8">
            <w:pPr>
              <w:spacing w:line="360" w:lineRule="auto"/>
              <w:jc w:val="center"/>
              <w:rPr>
                <w:highlight w:val="none"/>
              </w:rPr>
            </w:pPr>
          </w:p>
        </w:tc>
        <w:tc>
          <w:tcPr>
            <w:tcW w:w="1063" w:type="dxa"/>
            <w:vAlign w:val="center"/>
          </w:tcPr>
          <w:p w14:paraId="4D472619">
            <w:pPr>
              <w:spacing w:line="360" w:lineRule="auto"/>
              <w:jc w:val="center"/>
              <w:rPr>
                <w:highlight w:val="none"/>
              </w:rPr>
            </w:pPr>
          </w:p>
        </w:tc>
        <w:tc>
          <w:tcPr>
            <w:tcW w:w="1063" w:type="dxa"/>
            <w:vAlign w:val="center"/>
          </w:tcPr>
          <w:p w14:paraId="3D74DFDA">
            <w:pPr>
              <w:spacing w:line="360" w:lineRule="auto"/>
              <w:jc w:val="center"/>
              <w:rPr>
                <w:highlight w:val="none"/>
              </w:rPr>
            </w:pPr>
          </w:p>
        </w:tc>
        <w:tc>
          <w:tcPr>
            <w:tcW w:w="1063" w:type="dxa"/>
            <w:vAlign w:val="center"/>
          </w:tcPr>
          <w:p w14:paraId="14DC5256">
            <w:pPr>
              <w:spacing w:line="360" w:lineRule="auto"/>
              <w:jc w:val="center"/>
              <w:rPr>
                <w:highlight w:val="none"/>
              </w:rPr>
            </w:pPr>
          </w:p>
        </w:tc>
        <w:tc>
          <w:tcPr>
            <w:tcW w:w="1063" w:type="dxa"/>
            <w:vAlign w:val="center"/>
          </w:tcPr>
          <w:p w14:paraId="650CBE0E">
            <w:pPr>
              <w:spacing w:line="360" w:lineRule="auto"/>
              <w:jc w:val="center"/>
              <w:rPr>
                <w:highlight w:val="none"/>
              </w:rPr>
            </w:pPr>
          </w:p>
        </w:tc>
        <w:tc>
          <w:tcPr>
            <w:tcW w:w="1063" w:type="dxa"/>
            <w:vAlign w:val="center"/>
          </w:tcPr>
          <w:p w14:paraId="78EFB285">
            <w:pPr>
              <w:spacing w:line="360" w:lineRule="auto"/>
              <w:jc w:val="center"/>
              <w:rPr>
                <w:highlight w:val="none"/>
              </w:rPr>
            </w:pPr>
          </w:p>
        </w:tc>
      </w:tr>
      <w:tr w14:paraId="6FB2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1F2EA4CA">
            <w:pPr>
              <w:spacing w:line="360" w:lineRule="auto"/>
              <w:jc w:val="center"/>
              <w:rPr>
                <w:highlight w:val="none"/>
              </w:rPr>
            </w:pPr>
          </w:p>
        </w:tc>
        <w:tc>
          <w:tcPr>
            <w:tcW w:w="1047" w:type="dxa"/>
            <w:vAlign w:val="center"/>
          </w:tcPr>
          <w:p w14:paraId="72D7796C">
            <w:pPr>
              <w:spacing w:line="360" w:lineRule="auto"/>
              <w:jc w:val="center"/>
              <w:rPr>
                <w:highlight w:val="none"/>
              </w:rPr>
            </w:pPr>
          </w:p>
        </w:tc>
        <w:tc>
          <w:tcPr>
            <w:tcW w:w="1063" w:type="dxa"/>
            <w:vAlign w:val="center"/>
          </w:tcPr>
          <w:p w14:paraId="13EA4DB4">
            <w:pPr>
              <w:spacing w:line="360" w:lineRule="auto"/>
              <w:jc w:val="center"/>
              <w:rPr>
                <w:highlight w:val="none"/>
              </w:rPr>
            </w:pPr>
          </w:p>
        </w:tc>
        <w:tc>
          <w:tcPr>
            <w:tcW w:w="1063" w:type="dxa"/>
            <w:vAlign w:val="center"/>
          </w:tcPr>
          <w:p w14:paraId="6AAFFDC5">
            <w:pPr>
              <w:spacing w:line="360" w:lineRule="auto"/>
              <w:jc w:val="center"/>
              <w:rPr>
                <w:highlight w:val="none"/>
              </w:rPr>
            </w:pPr>
          </w:p>
        </w:tc>
        <w:tc>
          <w:tcPr>
            <w:tcW w:w="1063" w:type="dxa"/>
            <w:vAlign w:val="center"/>
          </w:tcPr>
          <w:p w14:paraId="390486B5">
            <w:pPr>
              <w:spacing w:line="360" w:lineRule="auto"/>
              <w:jc w:val="center"/>
              <w:rPr>
                <w:highlight w:val="none"/>
              </w:rPr>
            </w:pPr>
          </w:p>
        </w:tc>
        <w:tc>
          <w:tcPr>
            <w:tcW w:w="1063" w:type="dxa"/>
            <w:vAlign w:val="center"/>
          </w:tcPr>
          <w:p w14:paraId="5430AF8D">
            <w:pPr>
              <w:spacing w:line="360" w:lineRule="auto"/>
              <w:jc w:val="center"/>
              <w:rPr>
                <w:highlight w:val="none"/>
              </w:rPr>
            </w:pPr>
          </w:p>
        </w:tc>
        <w:tc>
          <w:tcPr>
            <w:tcW w:w="1063" w:type="dxa"/>
            <w:vAlign w:val="center"/>
          </w:tcPr>
          <w:p w14:paraId="2C5E09E6">
            <w:pPr>
              <w:spacing w:line="360" w:lineRule="auto"/>
              <w:jc w:val="center"/>
              <w:rPr>
                <w:highlight w:val="none"/>
              </w:rPr>
            </w:pPr>
          </w:p>
        </w:tc>
        <w:tc>
          <w:tcPr>
            <w:tcW w:w="1063" w:type="dxa"/>
            <w:vAlign w:val="center"/>
          </w:tcPr>
          <w:p w14:paraId="7235B8D8">
            <w:pPr>
              <w:spacing w:line="360" w:lineRule="auto"/>
              <w:jc w:val="center"/>
              <w:rPr>
                <w:highlight w:val="none"/>
              </w:rPr>
            </w:pPr>
          </w:p>
        </w:tc>
      </w:tr>
      <w:tr w14:paraId="24B5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749A49DC">
            <w:pPr>
              <w:spacing w:line="360" w:lineRule="auto"/>
              <w:jc w:val="center"/>
              <w:rPr>
                <w:highlight w:val="none"/>
              </w:rPr>
            </w:pPr>
          </w:p>
        </w:tc>
        <w:tc>
          <w:tcPr>
            <w:tcW w:w="1047" w:type="dxa"/>
            <w:vAlign w:val="center"/>
          </w:tcPr>
          <w:p w14:paraId="507D9EBE">
            <w:pPr>
              <w:spacing w:line="360" w:lineRule="auto"/>
              <w:jc w:val="center"/>
              <w:rPr>
                <w:highlight w:val="none"/>
              </w:rPr>
            </w:pPr>
          </w:p>
        </w:tc>
        <w:tc>
          <w:tcPr>
            <w:tcW w:w="1063" w:type="dxa"/>
            <w:vAlign w:val="center"/>
          </w:tcPr>
          <w:p w14:paraId="6E8E1F40">
            <w:pPr>
              <w:spacing w:line="360" w:lineRule="auto"/>
              <w:jc w:val="center"/>
              <w:rPr>
                <w:highlight w:val="none"/>
              </w:rPr>
            </w:pPr>
          </w:p>
        </w:tc>
        <w:tc>
          <w:tcPr>
            <w:tcW w:w="1063" w:type="dxa"/>
            <w:vAlign w:val="center"/>
          </w:tcPr>
          <w:p w14:paraId="778A701D">
            <w:pPr>
              <w:spacing w:line="360" w:lineRule="auto"/>
              <w:jc w:val="center"/>
              <w:rPr>
                <w:highlight w:val="none"/>
              </w:rPr>
            </w:pPr>
          </w:p>
        </w:tc>
        <w:tc>
          <w:tcPr>
            <w:tcW w:w="1063" w:type="dxa"/>
            <w:vAlign w:val="center"/>
          </w:tcPr>
          <w:p w14:paraId="0B373CFC">
            <w:pPr>
              <w:spacing w:line="360" w:lineRule="auto"/>
              <w:jc w:val="center"/>
              <w:rPr>
                <w:highlight w:val="none"/>
              </w:rPr>
            </w:pPr>
          </w:p>
        </w:tc>
        <w:tc>
          <w:tcPr>
            <w:tcW w:w="1063" w:type="dxa"/>
            <w:vAlign w:val="center"/>
          </w:tcPr>
          <w:p w14:paraId="22214A25">
            <w:pPr>
              <w:spacing w:line="360" w:lineRule="auto"/>
              <w:jc w:val="center"/>
              <w:rPr>
                <w:highlight w:val="none"/>
              </w:rPr>
            </w:pPr>
          </w:p>
        </w:tc>
        <w:tc>
          <w:tcPr>
            <w:tcW w:w="1063" w:type="dxa"/>
            <w:vAlign w:val="center"/>
          </w:tcPr>
          <w:p w14:paraId="1C4CF405">
            <w:pPr>
              <w:spacing w:line="360" w:lineRule="auto"/>
              <w:jc w:val="center"/>
              <w:rPr>
                <w:highlight w:val="none"/>
              </w:rPr>
            </w:pPr>
          </w:p>
        </w:tc>
        <w:tc>
          <w:tcPr>
            <w:tcW w:w="1063" w:type="dxa"/>
            <w:vAlign w:val="center"/>
          </w:tcPr>
          <w:p w14:paraId="068C22BD">
            <w:pPr>
              <w:spacing w:line="360" w:lineRule="auto"/>
              <w:jc w:val="center"/>
              <w:rPr>
                <w:highlight w:val="none"/>
              </w:rPr>
            </w:pPr>
          </w:p>
        </w:tc>
      </w:tr>
      <w:tr w14:paraId="1D03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7F64162E">
            <w:pPr>
              <w:spacing w:line="360" w:lineRule="auto"/>
              <w:jc w:val="center"/>
              <w:rPr>
                <w:highlight w:val="none"/>
              </w:rPr>
            </w:pPr>
          </w:p>
        </w:tc>
        <w:tc>
          <w:tcPr>
            <w:tcW w:w="1047" w:type="dxa"/>
            <w:vAlign w:val="center"/>
          </w:tcPr>
          <w:p w14:paraId="447CD198">
            <w:pPr>
              <w:spacing w:line="360" w:lineRule="auto"/>
              <w:jc w:val="center"/>
              <w:rPr>
                <w:highlight w:val="none"/>
              </w:rPr>
            </w:pPr>
          </w:p>
        </w:tc>
        <w:tc>
          <w:tcPr>
            <w:tcW w:w="1063" w:type="dxa"/>
            <w:vAlign w:val="center"/>
          </w:tcPr>
          <w:p w14:paraId="31F69897">
            <w:pPr>
              <w:spacing w:line="360" w:lineRule="auto"/>
              <w:jc w:val="center"/>
              <w:rPr>
                <w:highlight w:val="none"/>
              </w:rPr>
            </w:pPr>
          </w:p>
        </w:tc>
        <w:tc>
          <w:tcPr>
            <w:tcW w:w="1063" w:type="dxa"/>
            <w:vAlign w:val="center"/>
          </w:tcPr>
          <w:p w14:paraId="34073092">
            <w:pPr>
              <w:spacing w:line="360" w:lineRule="auto"/>
              <w:jc w:val="center"/>
              <w:rPr>
                <w:highlight w:val="none"/>
              </w:rPr>
            </w:pPr>
          </w:p>
        </w:tc>
        <w:tc>
          <w:tcPr>
            <w:tcW w:w="1063" w:type="dxa"/>
            <w:vAlign w:val="center"/>
          </w:tcPr>
          <w:p w14:paraId="43D801AB">
            <w:pPr>
              <w:spacing w:line="360" w:lineRule="auto"/>
              <w:jc w:val="center"/>
              <w:rPr>
                <w:highlight w:val="none"/>
              </w:rPr>
            </w:pPr>
          </w:p>
        </w:tc>
        <w:tc>
          <w:tcPr>
            <w:tcW w:w="1063" w:type="dxa"/>
            <w:vAlign w:val="center"/>
          </w:tcPr>
          <w:p w14:paraId="5BD7826F">
            <w:pPr>
              <w:spacing w:line="360" w:lineRule="auto"/>
              <w:jc w:val="center"/>
              <w:rPr>
                <w:highlight w:val="none"/>
              </w:rPr>
            </w:pPr>
          </w:p>
        </w:tc>
        <w:tc>
          <w:tcPr>
            <w:tcW w:w="1063" w:type="dxa"/>
            <w:vAlign w:val="center"/>
          </w:tcPr>
          <w:p w14:paraId="3BC83796">
            <w:pPr>
              <w:spacing w:line="360" w:lineRule="auto"/>
              <w:jc w:val="center"/>
              <w:rPr>
                <w:highlight w:val="none"/>
              </w:rPr>
            </w:pPr>
          </w:p>
        </w:tc>
        <w:tc>
          <w:tcPr>
            <w:tcW w:w="1063" w:type="dxa"/>
            <w:vAlign w:val="center"/>
          </w:tcPr>
          <w:p w14:paraId="0BF0FC0F">
            <w:pPr>
              <w:spacing w:line="360" w:lineRule="auto"/>
              <w:jc w:val="center"/>
              <w:rPr>
                <w:highlight w:val="none"/>
              </w:rPr>
            </w:pPr>
          </w:p>
        </w:tc>
      </w:tr>
      <w:tr w14:paraId="22D6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6AD5C577">
            <w:pPr>
              <w:spacing w:line="360" w:lineRule="auto"/>
              <w:jc w:val="center"/>
              <w:rPr>
                <w:highlight w:val="none"/>
              </w:rPr>
            </w:pPr>
          </w:p>
        </w:tc>
        <w:tc>
          <w:tcPr>
            <w:tcW w:w="1047" w:type="dxa"/>
            <w:vAlign w:val="center"/>
          </w:tcPr>
          <w:p w14:paraId="45D0A055">
            <w:pPr>
              <w:spacing w:line="360" w:lineRule="auto"/>
              <w:jc w:val="center"/>
              <w:rPr>
                <w:highlight w:val="none"/>
              </w:rPr>
            </w:pPr>
          </w:p>
        </w:tc>
        <w:tc>
          <w:tcPr>
            <w:tcW w:w="1063" w:type="dxa"/>
            <w:vAlign w:val="center"/>
          </w:tcPr>
          <w:p w14:paraId="153A54CC">
            <w:pPr>
              <w:spacing w:line="360" w:lineRule="auto"/>
              <w:jc w:val="center"/>
              <w:rPr>
                <w:highlight w:val="none"/>
              </w:rPr>
            </w:pPr>
          </w:p>
        </w:tc>
        <w:tc>
          <w:tcPr>
            <w:tcW w:w="1063" w:type="dxa"/>
            <w:vAlign w:val="center"/>
          </w:tcPr>
          <w:p w14:paraId="1253B363">
            <w:pPr>
              <w:spacing w:line="360" w:lineRule="auto"/>
              <w:jc w:val="center"/>
              <w:rPr>
                <w:highlight w:val="none"/>
              </w:rPr>
            </w:pPr>
          </w:p>
        </w:tc>
        <w:tc>
          <w:tcPr>
            <w:tcW w:w="1063" w:type="dxa"/>
            <w:vAlign w:val="center"/>
          </w:tcPr>
          <w:p w14:paraId="15362205">
            <w:pPr>
              <w:spacing w:line="360" w:lineRule="auto"/>
              <w:jc w:val="center"/>
              <w:rPr>
                <w:highlight w:val="none"/>
              </w:rPr>
            </w:pPr>
          </w:p>
        </w:tc>
        <w:tc>
          <w:tcPr>
            <w:tcW w:w="1063" w:type="dxa"/>
            <w:vAlign w:val="center"/>
          </w:tcPr>
          <w:p w14:paraId="68DCC0C8">
            <w:pPr>
              <w:spacing w:line="360" w:lineRule="auto"/>
              <w:jc w:val="center"/>
              <w:rPr>
                <w:highlight w:val="none"/>
              </w:rPr>
            </w:pPr>
          </w:p>
        </w:tc>
        <w:tc>
          <w:tcPr>
            <w:tcW w:w="1063" w:type="dxa"/>
            <w:vAlign w:val="center"/>
          </w:tcPr>
          <w:p w14:paraId="4922CF01">
            <w:pPr>
              <w:spacing w:line="360" w:lineRule="auto"/>
              <w:jc w:val="center"/>
              <w:rPr>
                <w:highlight w:val="none"/>
              </w:rPr>
            </w:pPr>
          </w:p>
        </w:tc>
        <w:tc>
          <w:tcPr>
            <w:tcW w:w="1063" w:type="dxa"/>
            <w:vAlign w:val="center"/>
          </w:tcPr>
          <w:p w14:paraId="4624BBF5">
            <w:pPr>
              <w:spacing w:line="360" w:lineRule="auto"/>
              <w:jc w:val="center"/>
              <w:rPr>
                <w:highlight w:val="none"/>
              </w:rPr>
            </w:pPr>
          </w:p>
        </w:tc>
      </w:tr>
      <w:tr w14:paraId="1BAE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7055BDF2">
            <w:pPr>
              <w:spacing w:line="360" w:lineRule="auto"/>
              <w:jc w:val="center"/>
              <w:rPr>
                <w:highlight w:val="none"/>
              </w:rPr>
            </w:pPr>
          </w:p>
        </w:tc>
        <w:tc>
          <w:tcPr>
            <w:tcW w:w="1047" w:type="dxa"/>
            <w:vAlign w:val="center"/>
          </w:tcPr>
          <w:p w14:paraId="2D02C0D8">
            <w:pPr>
              <w:spacing w:line="360" w:lineRule="auto"/>
              <w:jc w:val="center"/>
              <w:rPr>
                <w:highlight w:val="none"/>
              </w:rPr>
            </w:pPr>
          </w:p>
        </w:tc>
        <w:tc>
          <w:tcPr>
            <w:tcW w:w="1063" w:type="dxa"/>
            <w:vAlign w:val="center"/>
          </w:tcPr>
          <w:p w14:paraId="30AF2A81">
            <w:pPr>
              <w:spacing w:line="360" w:lineRule="auto"/>
              <w:jc w:val="center"/>
              <w:rPr>
                <w:highlight w:val="none"/>
              </w:rPr>
            </w:pPr>
          </w:p>
        </w:tc>
        <w:tc>
          <w:tcPr>
            <w:tcW w:w="1063" w:type="dxa"/>
            <w:vAlign w:val="center"/>
          </w:tcPr>
          <w:p w14:paraId="6201333A">
            <w:pPr>
              <w:spacing w:line="360" w:lineRule="auto"/>
              <w:jc w:val="center"/>
              <w:rPr>
                <w:highlight w:val="none"/>
              </w:rPr>
            </w:pPr>
          </w:p>
        </w:tc>
        <w:tc>
          <w:tcPr>
            <w:tcW w:w="1063" w:type="dxa"/>
            <w:vAlign w:val="center"/>
          </w:tcPr>
          <w:p w14:paraId="37E33BC7">
            <w:pPr>
              <w:spacing w:line="360" w:lineRule="auto"/>
              <w:jc w:val="center"/>
              <w:rPr>
                <w:highlight w:val="none"/>
              </w:rPr>
            </w:pPr>
          </w:p>
        </w:tc>
        <w:tc>
          <w:tcPr>
            <w:tcW w:w="1063" w:type="dxa"/>
            <w:vAlign w:val="center"/>
          </w:tcPr>
          <w:p w14:paraId="4AEFD303">
            <w:pPr>
              <w:spacing w:line="360" w:lineRule="auto"/>
              <w:jc w:val="center"/>
              <w:rPr>
                <w:highlight w:val="none"/>
              </w:rPr>
            </w:pPr>
          </w:p>
        </w:tc>
        <w:tc>
          <w:tcPr>
            <w:tcW w:w="1063" w:type="dxa"/>
            <w:vAlign w:val="center"/>
          </w:tcPr>
          <w:p w14:paraId="5CC73582">
            <w:pPr>
              <w:spacing w:line="360" w:lineRule="auto"/>
              <w:jc w:val="center"/>
              <w:rPr>
                <w:highlight w:val="none"/>
              </w:rPr>
            </w:pPr>
          </w:p>
        </w:tc>
        <w:tc>
          <w:tcPr>
            <w:tcW w:w="1063" w:type="dxa"/>
            <w:vAlign w:val="center"/>
          </w:tcPr>
          <w:p w14:paraId="740B9192">
            <w:pPr>
              <w:spacing w:line="360" w:lineRule="auto"/>
              <w:jc w:val="center"/>
              <w:rPr>
                <w:highlight w:val="none"/>
              </w:rPr>
            </w:pPr>
          </w:p>
        </w:tc>
      </w:tr>
      <w:tr w14:paraId="500B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5D166DDA">
            <w:pPr>
              <w:spacing w:line="360" w:lineRule="auto"/>
              <w:jc w:val="center"/>
              <w:rPr>
                <w:highlight w:val="none"/>
              </w:rPr>
            </w:pPr>
          </w:p>
        </w:tc>
        <w:tc>
          <w:tcPr>
            <w:tcW w:w="1047" w:type="dxa"/>
            <w:vAlign w:val="center"/>
          </w:tcPr>
          <w:p w14:paraId="77952098">
            <w:pPr>
              <w:spacing w:line="360" w:lineRule="auto"/>
              <w:jc w:val="center"/>
              <w:rPr>
                <w:highlight w:val="none"/>
              </w:rPr>
            </w:pPr>
          </w:p>
        </w:tc>
        <w:tc>
          <w:tcPr>
            <w:tcW w:w="1063" w:type="dxa"/>
            <w:vAlign w:val="center"/>
          </w:tcPr>
          <w:p w14:paraId="569E24BA">
            <w:pPr>
              <w:spacing w:line="360" w:lineRule="auto"/>
              <w:jc w:val="center"/>
              <w:rPr>
                <w:highlight w:val="none"/>
              </w:rPr>
            </w:pPr>
          </w:p>
        </w:tc>
        <w:tc>
          <w:tcPr>
            <w:tcW w:w="1063" w:type="dxa"/>
            <w:vAlign w:val="center"/>
          </w:tcPr>
          <w:p w14:paraId="7AA5E49B">
            <w:pPr>
              <w:spacing w:line="360" w:lineRule="auto"/>
              <w:jc w:val="center"/>
              <w:rPr>
                <w:highlight w:val="none"/>
              </w:rPr>
            </w:pPr>
          </w:p>
        </w:tc>
        <w:tc>
          <w:tcPr>
            <w:tcW w:w="1063" w:type="dxa"/>
            <w:vAlign w:val="center"/>
          </w:tcPr>
          <w:p w14:paraId="1C0E2673">
            <w:pPr>
              <w:spacing w:line="360" w:lineRule="auto"/>
              <w:jc w:val="center"/>
              <w:rPr>
                <w:highlight w:val="none"/>
              </w:rPr>
            </w:pPr>
          </w:p>
        </w:tc>
        <w:tc>
          <w:tcPr>
            <w:tcW w:w="1063" w:type="dxa"/>
            <w:vAlign w:val="center"/>
          </w:tcPr>
          <w:p w14:paraId="7864BC52">
            <w:pPr>
              <w:spacing w:line="360" w:lineRule="auto"/>
              <w:jc w:val="center"/>
              <w:rPr>
                <w:highlight w:val="none"/>
              </w:rPr>
            </w:pPr>
          </w:p>
        </w:tc>
        <w:tc>
          <w:tcPr>
            <w:tcW w:w="1063" w:type="dxa"/>
            <w:vAlign w:val="center"/>
          </w:tcPr>
          <w:p w14:paraId="1AB1BBD2">
            <w:pPr>
              <w:spacing w:line="360" w:lineRule="auto"/>
              <w:jc w:val="center"/>
              <w:rPr>
                <w:highlight w:val="none"/>
              </w:rPr>
            </w:pPr>
          </w:p>
        </w:tc>
        <w:tc>
          <w:tcPr>
            <w:tcW w:w="1063" w:type="dxa"/>
            <w:vAlign w:val="center"/>
          </w:tcPr>
          <w:p w14:paraId="33000F92">
            <w:pPr>
              <w:spacing w:line="360" w:lineRule="auto"/>
              <w:jc w:val="center"/>
              <w:rPr>
                <w:highlight w:val="none"/>
              </w:rPr>
            </w:pPr>
          </w:p>
        </w:tc>
      </w:tr>
    </w:tbl>
    <w:p w14:paraId="79A7F948">
      <w:pPr>
        <w:keepNext w:val="0"/>
        <w:keepLines w:val="0"/>
        <w:pageBreakBefore/>
        <w:widowControl w:val="0"/>
        <w:kinsoku/>
        <w:wordWrap/>
        <w:overflowPunct/>
        <w:topLinePunct w:val="0"/>
        <w:autoSpaceDE w:val="0"/>
        <w:autoSpaceDN w:val="0"/>
        <w:bidi w:val="0"/>
        <w:adjustRightInd/>
        <w:snapToGrid/>
        <w:spacing w:before="120" w:beforeLines="50" w:after="240" w:afterLines="100" w:line="360" w:lineRule="auto"/>
        <w:textAlignment w:val="auto"/>
        <w:rPr>
          <w:b/>
          <w:bCs/>
          <w:highlight w:val="none"/>
        </w:rPr>
      </w:pPr>
      <w:r>
        <w:rPr>
          <w:rFonts w:hint="eastAsia"/>
          <w:b/>
          <w:bCs/>
          <w:highlight w:val="none"/>
        </w:rPr>
        <w:t>附表四：计划开、竣工日期和施工进度网络图</w:t>
      </w:r>
    </w:p>
    <w:p w14:paraId="60FA29FC">
      <w:pPr>
        <w:spacing w:line="480" w:lineRule="auto"/>
        <w:ind w:firstLine="440" w:firstLineChars="200"/>
        <w:rPr>
          <w:highlight w:val="none"/>
        </w:rPr>
      </w:pPr>
      <w:r>
        <w:rPr>
          <w:rFonts w:hint="eastAsia"/>
          <w:highlight w:val="none"/>
        </w:rPr>
        <w:t>1．投标人应递交施工进度网络图或施工进度表，说明按招标文件要求的计划工期进行施工的各个关键日期。</w:t>
      </w:r>
    </w:p>
    <w:p w14:paraId="66854A46">
      <w:pPr>
        <w:spacing w:line="480" w:lineRule="auto"/>
        <w:ind w:firstLine="440" w:firstLineChars="200"/>
        <w:rPr>
          <w:highlight w:val="none"/>
        </w:rPr>
      </w:pPr>
      <w:r>
        <w:rPr>
          <w:rFonts w:hint="eastAsia"/>
          <w:highlight w:val="none"/>
        </w:rPr>
        <w:t>2．施工进度表可采用网络图或横道图表示。</w:t>
      </w:r>
    </w:p>
    <w:p w14:paraId="013352A5">
      <w:pPr>
        <w:spacing w:before="120" w:beforeLines="50" w:after="240" w:afterLines="100" w:line="480" w:lineRule="auto"/>
        <w:rPr>
          <w:highlight w:val="none"/>
        </w:rPr>
      </w:pPr>
    </w:p>
    <w:p w14:paraId="27083C32">
      <w:pPr>
        <w:spacing w:before="120" w:beforeLines="50" w:after="240" w:afterLines="100" w:line="420" w:lineRule="exact"/>
        <w:rPr>
          <w:b/>
          <w:bCs/>
          <w:highlight w:val="none"/>
        </w:rPr>
      </w:pPr>
      <w:r>
        <w:rPr>
          <w:rFonts w:hint="eastAsia"/>
          <w:highlight w:val="none"/>
        </w:rPr>
        <w:br w:type="page"/>
      </w:r>
      <w:r>
        <w:rPr>
          <w:rFonts w:hint="eastAsia"/>
          <w:b/>
          <w:bCs/>
          <w:highlight w:val="none"/>
        </w:rPr>
        <w:t>附表五：临时用地表</w:t>
      </w:r>
    </w:p>
    <w:tbl>
      <w:tblPr>
        <w:tblStyle w:val="41"/>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082"/>
        <w:gridCol w:w="2082"/>
        <w:gridCol w:w="2082"/>
      </w:tblGrid>
      <w:tr w14:paraId="0F6B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vAlign w:val="center"/>
          </w:tcPr>
          <w:p w14:paraId="21252243">
            <w:pPr>
              <w:jc w:val="center"/>
              <w:rPr>
                <w:highlight w:val="none"/>
              </w:rPr>
            </w:pPr>
            <w:r>
              <w:rPr>
                <w:rFonts w:hint="eastAsia"/>
                <w:highlight w:val="none"/>
              </w:rPr>
              <w:t>用途</w:t>
            </w:r>
          </w:p>
        </w:tc>
        <w:tc>
          <w:tcPr>
            <w:tcW w:w="2082" w:type="dxa"/>
            <w:vAlign w:val="center"/>
          </w:tcPr>
          <w:p w14:paraId="28446BF4">
            <w:pPr>
              <w:jc w:val="center"/>
              <w:rPr>
                <w:highlight w:val="none"/>
              </w:rPr>
            </w:pPr>
            <w:r>
              <w:rPr>
                <w:rFonts w:hint="eastAsia"/>
                <w:highlight w:val="none"/>
              </w:rPr>
              <w:t>面积（平方米）</w:t>
            </w:r>
          </w:p>
        </w:tc>
        <w:tc>
          <w:tcPr>
            <w:tcW w:w="2082" w:type="dxa"/>
            <w:vAlign w:val="center"/>
          </w:tcPr>
          <w:p w14:paraId="27D7B38A">
            <w:pPr>
              <w:jc w:val="center"/>
              <w:rPr>
                <w:highlight w:val="none"/>
              </w:rPr>
            </w:pPr>
            <w:r>
              <w:rPr>
                <w:rFonts w:hint="eastAsia"/>
                <w:highlight w:val="none"/>
              </w:rPr>
              <w:t>位置</w:t>
            </w:r>
          </w:p>
        </w:tc>
        <w:tc>
          <w:tcPr>
            <w:tcW w:w="2082" w:type="dxa"/>
            <w:vAlign w:val="center"/>
          </w:tcPr>
          <w:p w14:paraId="70FB65D4">
            <w:pPr>
              <w:jc w:val="center"/>
              <w:rPr>
                <w:highlight w:val="none"/>
              </w:rPr>
            </w:pPr>
            <w:r>
              <w:rPr>
                <w:rFonts w:hint="eastAsia"/>
                <w:highlight w:val="none"/>
              </w:rPr>
              <w:t>需用时间</w:t>
            </w:r>
          </w:p>
        </w:tc>
      </w:tr>
      <w:tr w14:paraId="57C5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042C90EB">
            <w:pPr>
              <w:rPr>
                <w:highlight w:val="none"/>
              </w:rPr>
            </w:pPr>
          </w:p>
        </w:tc>
        <w:tc>
          <w:tcPr>
            <w:tcW w:w="2082" w:type="dxa"/>
          </w:tcPr>
          <w:p w14:paraId="55B0B095">
            <w:pPr>
              <w:rPr>
                <w:highlight w:val="none"/>
              </w:rPr>
            </w:pPr>
          </w:p>
        </w:tc>
        <w:tc>
          <w:tcPr>
            <w:tcW w:w="2082" w:type="dxa"/>
          </w:tcPr>
          <w:p w14:paraId="4EE0182E">
            <w:pPr>
              <w:rPr>
                <w:highlight w:val="none"/>
              </w:rPr>
            </w:pPr>
          </w:p>
        </w:tc>
        <w:tc>
          <w:tcPr>
            <w:tcW w:w="2082" w:type="dxa"/>
          </w:tcPr>
          <w:p w14:paraId="4A5946F3">
            <w:pPr>
              <w:rPr>
                <w:highlight w:val="none"/>
              </w:rPr>
            </w:pPr>
          </w:p>
        </w:tc>
      </w:tr>
      <w:tr w14:paraId="0A85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6A8D187A">
            <w:pPr>
              <w:rPr>
                <w:highlight w:val="none"/>
              </w:rPr>
            </w:pPr>
          </w:p>
        </w:tc>
        <w:tc>
          <w:tcPr>
            <w:tcW w:w="2082" w:type="dxa"/>
          </w:tcPr>
          <w:p w14:paraId="7B2C468F">
            <w:pPr>
              <w:rPr>
                <w:highlight w:val="none"/>
              </w:rPr>
            </w:pPr>
          </w:p>
        </w:tc>
        <w:tc>
          <w:tcPr>
            <w:tcW w:w="2082" w:type="dxa"/>
          </w:tcPr>
          <w:p w14:paraId="6954D7C6">
            <w:pPr>
              <w:rPr>
                <w:highlight w:val="none"/>
              </w:rPr>
            </w:pPr>
          </w:p>
        </w:tc>
        <w:tc>
          <w:tcPr>
            <w:tcW w:w="2082" w:type="dxa"/>
          </w:tcPr>
          <w:p w14:paraId="51010DFC">
            <w:pPr>
              <w:rPr>
                <w:highlight w:val="none"/>
              </w:rPr>
            </w:pPr>
          </w:p>
        </w:tc>
      </w:tr>
      <w:tr w14:paraId="3DB6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3D5FB130">
            <w:pPr>
              <w:rPr>
                <w:highlight w:val="none"/>
              </w:rPr>
            </w:pPr>
          </w:p>
        </w:tc>
        <w:tc>
          <w:tcPr>
            <w:tcW w:w="2082" w:type="dxa"/>
          </w:tcPr>
          <w:p w14:paraId="789EC278">
            <w:pPr>
              <w:rPr>
                <w:highlight w:val="none"/>
              </w:rPr>
            </w:pPr>
          </w:p>
        </w:tc>
        <w:tc>
          <w:tcPr>
            <w:tcW w:w="2082" w:type="dxa"/>
          </w:tcPr>
          <w:p w14:paraId="1A5F2B5F">
            <w:pPr>
              <w:rPr>
                <w:highlight w:val="none"/>
              </w:rPr>
            </w:pPr>
          </w:p>
        </w:tc>
        <w:tc>
          <w:tcPr>
            <w:tcW w:w="2082" w:type="dxa"/>
          </w:tcPr>
          <w:p w14:paraId="501DB1AA">
            <w:pPr>
              <w:rPr>
                <w:highlight w:val="none"/>
              </w:rPr>
            </w:pPr>
          </w:p>
        </w:tc>
      </w:tr>
      <w:tr w14:paraId="27C8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7A73CF72">
            <w:pPr>
              <w:rPr>
                <w:highlight w:val="none"/>
              </w:rPr>
            </w:pPr>
          </w:p>
        </w:tc>
        <w:tc>
          <w:tcPr>
            <w:tcW w:w="2082" w:type="dxa"/>
          </w:tcPr>
          <w:p w14:paraId="4FC0BCE6">
            <w:pPr>
              <w:rPr>
                <w:highlight w:val="none"/>
              </w:rPr>
            </w:pPr>
          </w:p>
        </w:tc>
        <w:tc>
          <w:tcPr>
            <w:tcW w:w="2082" w:type="dxa"/>
          </w:tcPr>
          <w:p w14:paraId="70A1A5BC">
            <w:pPr>
              <w:rPr>
                <w:highlight w:val="none"/>
              </w:rPr>
            </w:pPr>
          </w:p>
        </w:tc>
        <w:tc>
          <w:tcPr>
            <w:tcW w:w="2082" w:type="dxa"/>
          </w:tcPr>
          <w:p w14:paraId="6469F6D2">
            <w:pPr>
              <w:rPr>
                <w:highlight w:val="none"/>
              </w:rPr>
            </w:pPr>
          </w:p>
        </w:tc>
      </w:tr>
      <w:tr w14:paraId="7DAB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5381957E">
            <w:pPr>
              <w:rPr>
                <w:highlight w:val="none"/>
              </w:rPr>
            </w:pPr>
          </w:p>
        </w:tc>
        <w:tc>
          <w:tcPr>
            <w:tcW w:w="2082" w:type="dxa"/>
          </w:tcPr>
          <w:p w14:paraId="0DC8E86E">
            <w:pPr>
              <w:rPr>
                <w:highlight w:val="none"/>
              </w:rPr>
            </w:pPr>
          </w:p>
        </w:tc>
        <w:tc>
          <w:tcPr>
            <w:tcW w:w="2082" w:type="dxa"/>
          </w:tcPr>
          <w:p w14:paraId="2E50DE89">
            <w:pPr>
              <w:rPr>
                <w:highlight w:val="none"/>
              </w:rPr>
            </w:pPr>
          </w:p>
        </w:tc>
        <w:tc>
          <w:tcPr>
            <w:tcW w:w="2082" w:type="dxa"/>
          </w:tcPr>
          <w:p w14:paraId="0B33FF70">
            <w:pPr>
              <w:rPr>
                <w:highlight w:val="none"/>
              </w:rPr>
            </w:pPr>
          </w:p>
        </w:tc>
      </w:tr>
      <w:tr w14:paraId="5433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56997530">
            <w:pPr>
              <w:rPr>
                <w:highlight w:val="none"/>
              </w:rPr>
            </w:pPr>
          </w:p>
        </w:tc>
        <w:tc>
          <w:tcPr>
            <w:tcW w:w="2082" w:type="dxa"/>
          </w:tcPr>
          <w:p w14:paraId="7D4B98D0">
            <w:pPr>
              <w:rPr>
                <w:highlight w:val="none"/>
              </w:rPr>
            </w:pPr>
          </w:p>
        </w:tc>
        <w:tc>
          <w:tcPr>
            <w:tcW w:w="2082" w:type="dxa"/>
          </w:tcPr>
          <w:p w14:paraId="18FA9BE3">
            <w:pPr>
              <w:rPr>
                <w:highlight w:val="none"/>
              </w:rPr>
            </w:pPr>
          </w:p>
        </w:tc>
        <w:tc>
          <w:tcPr>
            <w:tcW w:w="2082" w:type="dxa"/>
          </w:tcPr>
          <w:p w14:paraId="36376673">
            <w:pPr>
              <w:rPr>
                <w:highlight w:val="none"/>
              </w:rPr>
            </w:pPr>
          </w:p>
        </w:tc>
      </w:tr>
      <w:tr w14:paraId="68B9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51DED1B4">
            <w:pPr>
              <w:rPr>
                <w:highlight w:val="none"/>
              </w:rPr>
            </w:pPr>
          </w:p>
        </w:tc>
        <w:tc>
          <w:tcPr>
            <w:tcW w:w="2082" w:type="dxa"/>
          </w:tcPr>
          <w:p w14:paraId="34A07893">
            <w:pPr>
              <w:rPr>
                <w:highlight w:val="none"/>
              </w:rPr>
            </w:pPr>
          </w:p>
        </w:tc>
        <w:tc>
          <w:tcPr>
            <w:tcW w:w="2082" w:type="dxa"/>
          </w:tcPr>
          <w:p w14:paraId="2F4FABB2">
            <w:pPr>
              <w:rPr>
                <w:highlight w:val="none"/>
              </w:rPr>
            </w:pPr>
          </w:p>
        </w:tc>
        <w:tc>
          <w:tcPr>
            <w:tcW w:w="2082" w:type="dxa"/>
          </w:tcPr>
          <w:p w14:paraId="5605DF07">
            <w:pPr>
              <w:rPr>
                <w:highlight w:val="none"/>
              </w:rPr>
            </w:pPr>
          </w:p>
        </w:tc>
      </w:tr>
      <w:tr w14:paraId="56B1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4DC35866">
            <w:pPr>
              <w:rPr>
                <w:highlight w:val="none"/>
              </w:rPr>
            </w:pPr>
          </w:p>
        </w:tc>
        <w:tc>
          <w:tcPr>
            <w:tcW w:w="2082" w:type="dxa"/>
          </w:tcPr>
          <w:p w14:paraId="0C5FE423">
            <w:pPr>
              <w:rPr>
                <w:highlight w:val="none"/>
              </w:rPr>
            </w:pPr>
          </w:p>
        </w:tc>
        <w:tc>
          <w:tcPr>
            <w:tcW w:w="2082" w:type="dxa"/>
          </w:tcPr>
          <w:p w14:paraId="602508B7">
            <w:pPr>
              <w:rPr>
                <w:highlight w:val="none"/>
              </w:rPr>
            </w:pPr>
          </w:p>
        </w:tc>
        <w:tc>
          <w:tcPr>
            <w:tcW w:w="2082" w:type="dxa"/>
          </w:tcPr>
          <w:p w14:paraId="12E078D3">
            <w:pPr>
              <w:rPr>
                <w:highlight w:val="none"/>
              </w:rPr>
            </w:pPr>
          </w:p>
        </w:tc>
      </w:tr>
      <w:tr w14:paraId="41A5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03E3B04C">
            <w:pPr>
              <w:rPr>
                <w:highlight w:val="none"/>
              </w:rPr>
            </w:pPr>
          </w:p>
        </w:tc>
        <w:tc>
          <w:tcPr>
            <w:tcW w:w="2082" w:type="dxa"/>
          </w:tcPr>
          <w:p w14:paraId="7EA8296A">
            <w:pPr>
              <w:rPr>
                <w:highlight w:val="none"/>
              </w:rPr>
            </w:pPr>
          </w:p>
        </w:tc>
        <w:tc>
          <w:tcPr>
            <w:tcW w:w="2082" w:type="dxa"/>
          </w:tcPr>
          <w:p w14:paraId="74D4AA72">
            <w:pPr>
              <w:rPr>
                <w:highlight w:val="none"/>
              </w:rPr>
            </w:pPr>
          </w:p>
        </w:tc>
        <w:tc>
          <w:tcPr>
            <w:tcW w:w="2082" w:type="dxa"/>
          </w:tcPr>
          <w:p w14:paraId="5C9DF3E3">
            <w:pPr>
              <w:rPr>
                <w:highlight w:val="none"/>
              </w:rPr>
            </w:pPr>
          </w:p>
        </w:tc>
      </w:tr>
      <w:tr w14:paraId="0040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3144D028">
            <w:pPr>
              <w:rPr>
                <w:highlight w:val="none"/>
              </w:rPr>
            </w:pPr>
          </w:p>
        </w:tc>
        <w:tc>
          <w:tcPr>
            <w:tcW w:w="2082" w:type="dxa"/>
          </w:tcPr>
          <w:p w14:paraId="21C72302">
            <w:pPr>
              <w:rPr>
                <w:highlight w:val="none"/>
              </w:rPr>
            </w:pPr>
          </w:p>
        </w:tc>
        <w:tc>
          <w:tcPr>
            <w:tcW w:w="2082" w:type="dxa"/>
          </w:tcPr>
          <w:p w14:paraId="6B949144">
            <w:pPr>
              <w:rPr>
                <w:highlight w:val="none"/>
              </w:rPr>
            </w:pPr>
          </w:p>
        </w:tc>
        <w:tc>
          <w:tcPr>
            <w:tcW w:w="2082" w:type="dxa"/>
          </w:tcPr>
          <w:p w14:paraId="5C3C0101">
            <w:pPr>
              <w:rPr>
                <w:highlight w:val="none"/>
              </w:rPr>
            </w:pPr>
          </w:p>
        </w:tc>
      </w:tr>
      <w:tr w14:paraId="4A6C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40510D2D">
            <w:pPr>
              <w:rPr>
                <w:highlight w:val="none"/>
              </w:rPr>
            </w:pPr>
          </w:p>
        </w:tc>
        <w:tc>
          <w:tcPr>
            <w:tcW w:w="2082" w:type="dxa"/>
          </w:tcPr>
          <w:p w14:paraId="7DBA7AB3">
            <w:pPr>
              <w:rPr>
                <w:highlight w:val="none"/>
              </w:rPr>
            </w:pPr>
          </w:p>
        </w:tc>
        <w:tc>
          <w:tcPr>
            <w:tcW w:w="2082" w:type="dxa"/>
          </w:tcPr>
          <w:p w14:paraId="778A4013">
            <w:pPr>
              <w:rPr>
                <w:highlight w:val="none"/>
              </w:rPr>
            </w:pPr>
          </w:p>
        </w:tc>
        <w:tc>
          <w:tcPr>
            <w:tcW w:w="2082" w:type="dxa"/>
          </w:tcPr>
          <w:p w14:paraId="44A52E85">
            <w:pPr>
              <w:rPr>
                <w:highlight w:val="none"/>
              </w:rPr>
            </w:pPr>
          </w:p>
        </w:tc>
      </w:tr>
      <w:tr w14:paraId="734E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5F239F6A">
            <w:pPr>
              <w:rPr>
                <w:highlight w:val="none"/>
              </w:rPr>
            </w:pPr>
          </w:p>
        </w:tc>
        <w:tc>
          <w:tcPr>
            <w:tcW w:w="2082" w:type="dxa"/>
          </w:tcPr>
          <w:p w14:paraId="518647AA">
            <w:pPr>
              <w:rPr>
                <w:highlight w:val="none"/>
              </w:rPr>
            </w:pPr>
          </w:p>
        </w:tc>
        <w:tc>
          <w:tcPr>
            <w:tcW w:w="2082" w:type="dxa"/>
          </w:tcPr>
          <w:p w14:paraId="79DD91A2">
            <w:pPr>
              <w:rPr>
                <w:highlight w:val="none"/>
              </w:rPr>
            </w:pPr>
          </w:p>
        </w:tc>
        <w:tc>
          <w:tcPr>
            <w:tcW w:w="2082" w:type="dxa"/>
          </w:tcPr>
          <w:p w14:paraId="1E7CDBA8">
            <w:pPr>
              <w:rPr>
                <w:highlight w:val="none"/>
              </w:rPr>
            </w:pPr>
          </w:p>
        </w:tc>
      </w:tr>
      <w:tr w14:paraId="73C3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269F952E">
            <w:pPr>
              <w:rPr>
                <w:highlight w:val="none"/>
              </w:rPr>
            </w:pPr>
          </w:p>
        </w:tc>
        <w:tc>
          <w:tcPr>
            <w:tcW w:w="2082" w:type="dxa"/>
          </w:tcPr>
          <w:p w14:paraId="05035442">
            <w:pPr>
              <w:rPr>
                <w:highlight w:val="none"/>
              </w:rPr>
            </w:pPr>
          </w:p>
        </w:tc>
        <w:tc>
          <w:tcPr>
            <w:tcW w:w="2082" w:type="dxa"/>
          </w:tcPr>
          <w:p w14:paraId="68F3F519">
            <w:pPr>
              <w:rPr>
                <w:highlight w:val="none"/>
              </w:rPr>
            </w:pPr>
          </w:p>
        </w:tc>
        <w:tc>
          <w:tcPr>
            <w:tcW w:w="2082" w:type="dxa"/>
          </w:tcPr>
          <w:p w14:paraId="27E8C94A">
            <w:pPr>
              <w:rPr>
                <w:highlight w:val="none"/>
              </w:rPr>
            </w:pPr>
          </w:p>
        </w:tc>
      </w:tr>
      <w:tr w14:paraId="18DF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1D9DD12C">
            <w:pPr>
              <w:rPr>
                <w:highlight w:val="none"/>
              </w:rPr>
            </w:pPr>
          </w:p>
        </w:tc>
        <w:tc>
          <w:tcPr>
            <w:tcW w:w="2082" w:type="dxa"/>
          </w:tcPr>
          <w:p w14:paraId="3476E072">
            <w:pPr>
              <w:rPr>
                <w:highlight w:val="none"/>
              </w:rPr>
            </w:pPr>
          </w:p>
        </w:tc>
        <w:tc>
          <w:tcPr>
            <w:tcW w:w="2082" w:type="dxa"/>
          </w:tcPr>
          <w:p w14:paraId="6100914B">
            <w:pPr>
              <w:rPr>
                <w:highlight w:val="none"/>
              </w:rPr>
            </w:pPr>
          </w:p>
        </w:tc>
        <w:tc>
          <w:tcPr>
            <w:tcW w:w="2082" w:type="dxa"/>
          </w:tcPr>
          <w:p w14:paraId="7B86A683">
            <w:pPr>
              <w:rPr>
                <w:highlight w:val="none"/>
              </w:rPr>
            </w:pPr>
          </w:p>
        </w:tc>
      </w:tr>
      <w:tr w14:paraId="5693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0A34C139">
            <w:pPr>
              <w:rPr>
                <w:highlight w:val="none"/>
              </w:rPr>
            </w:pPr>
          </w:p>
        </w:tc>
        <w:tc>
          <w:tcPr>
            <w:tcW w:w="2082" w:type="dxa"/>
          </w:tcPr>
          <w:p w14:paraId="1BA100B0">
            <w:pPr>
              <w:rPr>
                <w:highlight w:val="none"/>
              </w:rPr>
            </w:pPr>
          </w:p>
        </w:tc>
        <w:tc>
          <w:tcPr>
            <w:tcW w:w="2082" w:type="dxa"/>
          </w:tcPr>
          <w:p w14:paraId="0B5712E6">
            <w:pPr>
              <w:rPr>
                <w:highlight w:val="none"/>
              </w:rPr>
            </w:pPr>
          </w:p>
        </w:tc>
        <w:tc>
          <w:tcPr>
            <w:tcW w:w="2082" w:type="dxa"/>
          </w:tcPr>
          <w:p w14:paraId="439AE11E">
            <w:pPr>
              <w:rPr>
                <w:highlight w:val="none"/>
              </w:rPr>
            </w:pPr>
          </w:p>
        </w:tc>
      </w:tr>
      <w:tr w14:paraId="0BA8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46D2A72B">
            <w:pPr>
              <w:rPr>
                <w:highlight w:val="none"/>
              </w:rPr>
            </w:pPr>
          </w:p>
        </w:tc>
        <w:tc>
          <w:tcPr>
            <w:tcW w:w="2082" w:type="dxa"/>
          </w:tcPr>
          <w:p w14:paraId="650C985D">
            <w:pPr>
              <w:rPr>
                <w:highlight w:val="none"/>
              </w:rPr>
            </w:pPr>
          </w:p>
        </w:tc>
        <w:tc>
          <w:tcPr>
            <w:tcW w:w="2082" w:type="dxa"/>
          </w:tcPr>
          <w:p w14:paraId="7283328E">
            <w:pPr>
              <w:rPr>
                <w:highlight w:val="none"/>
              </w:rPr>
            </w:pPr>
          </w:p>
        </w:tc>
        <w:tc>
          <w:tcPr>
            <w:tcW w:w="2082" w:type="dxa"/>
          </w:tcPr>
          <w:p w14:paraId="54E20D6B">
            <w:pPr>
              <w:rPr>
                <w:highlight w:val="none"/>
              </w:rPr>
            </w:pPr>
          </w:p>
        </w:tc>
      </w:tr>
      <w:tr w14:paraId="2ABD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7F1C10A4">
            <w:pPr>
              <w:rPr>
                <w:highlight w:val="none"/>
              </w:rPr>
            </w:pPr>
          </w:p>
        </w:tc>
        <w:tc>
          <w:tcPr>
            <w:tcW w:w="2082" w:type="dxa"/>
          </w:tcPr>
          <w:p w14:paraId="5475AD31">
            <w:pPr>
              <w:rPr>
                <w:highlight w:val="none"/>
              </w:rPr>
            </w:pPr>
          </w:p>
        </w:tc>
        <w:tc>
          <w:tcPr>
            <w:tcW w:w="2082" w:type="dxa"/>
          </w:tcPr>
          <w:p w14:paraId="22997066">
            <w:pPr>
              <w:rPr>
                <w:highlight w:val="none"/>
              </w:rPr>
            </w:pPr>
          </w:p>
        </w:tc>
        <w:tc>
          <w:tcPr>
            <w:tcW w:w="2082" w:type="dxa"/>
          </w:tcPr>
          <w:p w14:paraId="285931DC">
            <w:pPr>
              <w:rPr>
                <w:highlight w:val="none"/>
              </w:rPr>
            </w:pPr>
          </w:p>
        </w:tc>
      </w:tr>
      <w:tr w14:paraId="52E5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3C54A5CF">
            <w:pPr>
              <w:rPr>
                <w:highlight w:val="none"/>
              </w:rPr>
            </w:pPr>
          </w:p>
        </w:tc>
        <w:tc>
          <w:tcPr>
            <w:tcW w:w="2082" w:type="dxa"/>
          </w:tcPr>
          <w:p w14:paraId="586615B8">
            <w:pPr>
              <w:rPr>
                <w:highlight w:val="none"/>
              </w:rPr>
            </w:pPr>
          </w:p>
        </w:tc>
        <w:tc>
          <w:tcPr>
            <w:tcW w:w="2082" w:type="dxa"/>
          </w:tcPr>
          <w:p w14:paraId="02D52464">
            <w:pPr>
              <w:rPr>
                <w:highlight w:val="none"/>
              </w:rPr>
            </w:pPr>
          </w:p>
        </w:tc>
        <w:tc>
          <w:tcPr>
            <w:tcW w:w="2082" w:type="dxa"/>
          </w:tcPr>
          <w:p w14:paraId="448A3215">
            <w:pPr>
              <w:rPr>
                <w:highlight w:val="none"/>
              </w:rPr>
            </w:pPr>
          </w:p>
        </w:tc>
      </w:tr>
      <w:tr w14:paraId="5F20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6194EF2D">
            <w:pPr>
              <w:rPr>
                <w:highlight w:val="none"/>
              </w:rPr>
            </w:pPr>
          </w:p>
        </w:tc>
        <w:tc>
          <w:tcPr>
            <w:tcW w:w="2082" w:type="dxa"/>
          </w:tcPr>
          <w:p w14:paraId="5BC53C05">
            <w:pPr>
              <w:rPr>
                <w:highlight w:val="none"/>
              </w:rPr>
            </w:pPr>
          </w:p>
        </w:tc>
        <w:tc>
          <w:tcPr>
            <w:tcW w:w="2082" w:type="dxa"/>
          </w:tcPr>
          <w:p w14:paraId="04F7FABD">
            <w:pPr>
              <w:rPr>
                <w:highlight w:val="none"/>
              </w:rPr>
            </w:pPr>
          </w:p>
        </w:tc>
        <w:tc>
          <w:tcPr>
            <w:tcW w:w="2082" w:type="dxa"/>
          </w:tcPr>
          <w:p w14:paraId="0A1CF6CC">
            <w:pPr>
              <w:rPr>
                <w:highlight w:val="none"/>
              </w:rPr>
            </w:pPr>
          </w:p>
        </w:tc>
      </w:tr>
      <w:tr w14:paraId="6009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2B2B589B">
            <w:pPr>
              <w:rPr>
                <w:highlight w:val="none"/>
              </w:rPr>
            </w:pPr>
          </w:p>
        </w:tc>
        <w:tc>
          <w:tcPr>
            <w:tcW w:w="2082" w:type="dxa"/>
          </w:tcPr>
          <w:p w14:paraId="0B2ECFA0">
            <w:pPr>
              <w:rPr>
                <w:highlight w:val="none"/>
              </w:rPr>
            </w:pPr>
          </w:p>
        </w:tc>
        <w:tc>
          <w:tcPr>
            <w:tcW w:w="2082" w:type="dxa"/>
          </w:tcPr>
          <w:p w14:paraId="052788A3">
            <w:pPr>
              <w:rPr>
                <w:highlight w:val="none"/>
              </w:rPr>
            </w:pPr>
          </w:p>
        </w:tc>
        <w:tc>
          <w:tcPr>
            <w:tcW w:w="2082" w:type="dxa"/>
          </w:tcPr>
          <w:p w14:paraId="656E30BD">
            <w:pPr>
              <w:rPr>
                <w:highlight w:val="none"/>
              </w:rPr>
            </w:pPr>
          </w:p>
        </w:tc>
      </w:tr>
      <w:tr w14:paraId="673E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4F1B63A7">
            <w:pPr>
              <w:rPr>
                <w:highlight w:val="none"/>
              </w:rPr>
            </w:pPr>
          </w:p>
        </w:tc>
        <w:tc>
          <w:tcPr>
            <w:tcW w:w="2082" w:type="dxa"/>
          </w:tcPr>
          <w:p w14:paraId="356F156A">
            <w:pPr>
              <w:rPr>
                <w:highlight w:val="none"/>
              </w:rPr>
            </w:pPr>
          </w:p>
        </w:tc>
        <w:tc>
          <w:tcPr>
            <w:tcW w:w="2082" w:type="dxa"/>
          </w:tcPr>
          <w:p w14:paraId="1DCF70CD">
            <w:pPr>
              <w:rPr>
                <w:highlight w:val="none"/>
              </w:rPr>
            </w:pPr>
          </w:p>
        </w:tc>
        <w:tc>
          <w:tcPr>
            <w:tcW w:w="2082" w:type="dxa"/>
          </w:tcPr>
          <w:p w14:paraId="00A01947">
            <w:pPr>
              <w:rPr>
                <w:highlight w:val="none"/>
              </w:rPr>
            </w:pPr>
          </w:p>
        </w:tc>
      </w:tr>
      <w:tr w14:paraId="229D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2AF99DAB">
            <w:pPr>
              <w:rPr>
                <w:highlight w:val="none"/>
              </w:rPr>
            </w:pPr>
          </w:p>
        </w:tc>
        <w:tc>
          <w:tcPr>
            <w:tcW w:w="2082" w:type="dxa"/>
          </w:tcPr>
          <w:p w14:paraId="54F8B20E">
            <w:pPr>
              <w:rPr>
                <w:highlight w:val="none"/>
              </w:rPr>
            </w:pPr>
          </w:p>
        </w:tc>
        <w:tc>
          <w:tcPr>
            <w:tcW w:w="2082" w:type="dxa"/>
          </w:tcPr>
          <w:p w14:paraId="6DA74206">
            <w:pPr>
              <w:rPr>
                <w:highlight w:val="none"/>
              </w:rPr>
            </w:pPr>
          </w:p>
        </w:tc>
        <w:tc>
          <w:tcPr>
            <w:tcW w:w="2082" w:type="dxa"/>
          </w:tcPr>
          <w:p w14:paraId="66AFBFBA">
            <w:pPr>
              <w:rPr>
                <w:highlight w:val="none"/>
              </w:rPr>
            </w:pPr>
          </w:p>
        </w:tc>
      </w:tr>
      <w:tr w14:paraId="741B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72B664EB">
            <w:pPr>
              <w:rPr>
                <w:highlight w:val="none"/>
              </w:rPr>
            </w:pPr>
          </w:p>
        </w:tc>
        <w:tc>
          <w:tcPr>
            <w:tcW w:w="2082" w:type="dxa"/>
          </w:tcPr>
          <w:p w14:paraId="1D478673">
            <w:pPr>
              <w:rPr>
                <w:highlight w:val="none"/>
              </w:rPr>
            </w:pPr>
          </w:p>
        </w:tc>
        <w:tc>
          <w:tcPr>
            <w:tcW w:w="2082" w:type="dxa"/>
          </w:tcPr>
          <w:p w14:paraId="28984043">
            <w:pPr>
              <w:rPr>
                <w:highlight w:val="none"/>
              </w:rPr>
            </w:pPr>
          </w:p>
        </w:tc>
        <w:tc>
          <w:tcPr>
            <w:tcW w:w="2082" w:type="dxa"/>
          </w:tcPr>
          <w:p w14:paraId="7F53DADF">
            <w:pPr>
              <w:rPr>
                <w:highlight w:val="none"/>
              </w:rPr>
            </w:pPr>
          </w:p>
        </w:tc>
      </w:tr>
      <w:tr w14:paraId="4D66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0FAADED4">
            <w:pPr>
              <w:rPr>
                <w:highlight w:val="none"/>
              </w:rPr>
            </w:pPr>
          </w:p>
        </w:tc>
        <w:tc>
          <w:tcPr>
            <w:tcW w:w="2082" w:type="dxa"/>
          </w:tcPr>
          <w:p w14:paraId="46877DDF">
            <w:pPr>
              <w:rPr>
                <w:highlight w:val="none"/>
              </w:rPr>
            </w:pPr>
          </w:p>
        </w:tc>
        <w:tc>
          <w:tcPr>
            <w:tcW w:w="2082" w:type="dxa"/>
          </w:tcPr>
          <w:p w14:paraId="2B4A74FD">
            <w:pPr>
              <w:rPr>
                <w:highlight w:val="none"/>
              </w:rPr>
            </w:pPr>
          </w:p>
        </w:tc>
        <w:tc>
          <w:tcPr>
            <w:tcW w:w="2082" w:type="dxa"/>
          </w:tcPr>
          <w:p w14:paraId="0E1C0897">
            <w:pPr>
              <w:rPr>
                <w:highlight w:val="none"/>
              </w:rPr>
            </w:pPr>
          </w:p>
        </w:tc>
      </w:tr>
      <w:tr w14:paraId="7161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44307AFE">
            <w:pPr>
              <w:rPr>
                <w:highlight w:val="none"/>
              </w:rPr>
            </w:pPr>
          </w:p>
        </w:tc>
        <w:tc>
          <w:tcPr>
            <w:tcW w:w="2082" w:type="dxa"/>
          </w:tcPr>
          <w:p w14:paraId="1BFFCD26">
            <w:pPr>
              <w:rPr>
                <w:highlight w:val="none"/>
              </w:rPr>
            </w:pPr>
          </w:p>
        </w:tc>
        <w:tc>
          <w:tcPr>
            <w:tcW w:w="2082" w:type="dxa"/>
          </w:tcPr>
          <w:p w14:paraId="503499AA">
            <w:pPr>
              <w:rPr>
                <w:highlight w:val="none"/>
              </w:rPr>
            </w:pPr>
          </w:p>
        </w:tc>
        <w:tc>
          <w:tcPr>
            <w:tcW w:w="2082" w:type="dxa"/>
          </w:tcPr>
          <w:p w14:paraId="62E4093F">
            <w:pPr>
              <w:rPr>
                <w:highlight w:val="none"/>
              </w:rPr>
            </w:pPr>
          </w:p>
        </w:tc>
      </w:tr>
      <w:tr w14:paraId="60FF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05A62649">
            <w:pPr>
              <w:rPr>
                <w:highlight w:val="none"/>
              </w:rPr>
            </w:pPr>
          </w:p>
        </w:tc>
        <w:tc>
          <w:tcPr>
            <w:tcW w:w="2082" w:type="dxa"/>
          </w:tcPr>
          <w:p w14:paraId="246731E0">
            <w:pPr>
              <w:rPr>
                <w:highlight w:val="none"/>
              </w:rPr>
            </w:pPr>
          </w:p>
        </w:tc>
        <w:tc>
          <w:tcPr>
            <w:tcW w:w="2082" w:type="dxa"/>
          </w:tcPr>
          <w:p w14:paraId="1E138539">
            <w:pPr>
              <w:rPr>
                <w:highlight w:val="none"/>
              </w:rPr>
            </w:pPr>
          </w:p>
        </w:tc>
        <w:tc>
          <w:tcPr>
            <w:tcW w:w="2082" w:type="dxa"/>
          </w:tcPr>
          <w:p w14:paraId="40A01083">
            <w:pPr>
              <w:rPr>
                <w:highlight w:val="none"/>
              </w:rPr>
            </w:pPr>
          </w:p>
        </w:tc>
      </w:tr>
    </w:tbl>
    <w:p w14:paraId="1E349462">
      <w:pPr>
        <w:pStyle w:val="75"/>
        <w:ind w:firstLine="0" w:firstLineChars="0"/>
        <w:rPr>
          <w:rFonts w:ascii="宋体" w:hAnsi="宋体" w:cs="宋体"/>
          <w:color w:val="auto"/>
          <w:highlight w:val="none"/>
        </w:rPr>
      </w:pPr>
    </w:p>
    <w:p w14:paraId="043BE5B0">
      <w:pPr>
        <w:pStyle w:val="75"/>
        <w:ind w:firstLine="0" w:firstLineChars="0"/>
        <w:rPr>
          <w:rFonts w:ascii="宋体" w:hAnsi="宋体" w:cs="宋体"/>
          <w:color w:val="auto"/>
          <w:highlight w:val="none"/>
        </w:rPr>
      </w:pPr>
    </w:p>
    <w:p w14:paraId="4D6EE4CD">
      <w:pPr>
        <w:rPr>
          <w:highlight w:val="none"/>
        </w:rPr>
      </w:pPr>
      <w:r>
        <w:rPr>
          <w:rFonts w:hint="eastAsia"/>
          <w:highlight w:val="none"/>
        </w:rPr>
        <w:t>（一）商务要求响</w:t>
      </w:r>
      <w:r>
        <w:rPr>
          <w:rFonts w:hint="eastAsia"/>
          <w:w w:val="1"/>
          <w:highlight w:val="none"/>
        </w:rPr>
        <w:t xml:space="preserve"> </w:t>
      </w:r>
      <w:r>
        <w:rPr>
          <w:rFonts w:hint="eastAsia"/>
          <w:highlight w:val="none"/>
        </w:rPr>
        <w:t>应索引表</w:t>
      </w:r>
    </w:p>
    <w:p w14:paraId="47C76693">
      <w:pPr>
        <w:jc w:val="center"/>
        <w:outlineLvl w:val="1"/>
        <w:rPr>
          <w:b/>
          <w:highlight w:val="none"/>
        </w:rPr>
      </w:pPr>
      <w:r>
        <w:rPr>
          <w:rFonts w:hint="eastAsia"/>
          <w:b/>
          <w:highlight w:val="none"/>
        </w:rPr>
        <w:t>商务偏离表</w:t>
      </w:r>
    </w:p>
    <w:p w14:paraId="181B4349">
      <w:pPr>
        <w:pStyle w:val="36"/>
        <w:widowControl w:val="0"/>
        <w:spacing w:before="120" w:beforeLines="50" w:beforeAutospacing="0" w:after="120" w:afterLines="50" w:afterAutospacing="0"/>
        <w:ind w:firstLine="360" w:firstLineChars="200"/>
        <w:rPr>
          <w:highlight w:val="none"/>
        </w:rPr>
      </w:pPr>
      <w:r>
        <w:rPr>
          <w:rFonts w:hint="eastAsia"/>
          <w:highlight w:val="none"/>
        </w:rPr>
        <w:t>项目编号：</w:t>
      </w:r>
    </w:p>
    <w:p w14:paraId="626ADF25">
      <w:pPr>
        <w:pStyle w:val="36"/>
        <w:widowControl w:val="0"/>
        <w:spacing w:before="120" w:beforeLines="50" w:beforeAutospacing="0" w:after="120" w:afterLines="50" w:afterAutospacing="0"/>
        <w:ind w:firstLine="360" w:firstLineChars="200"/>
        <w:rPr>
          <w:highlight w:val="none"/>
          <w:u w:val="single"/>
        </w:rPr>
      </w:pPr>
      <w:r>
        <w:rPr>
          <w:rFonts w:hint="eastAsia"/>
          <w:highlight w:val="none"/>
        </w:rPr>
        <w:t>项目名称：</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4CE7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jc w:val="center"/>
        </w:trPr>
        <w:tc>
          <w:tcPr>
            <w:tcW w:w="882" w:type="dxa"/>
            <w:tcBorders>
              <w:top w:val="single" w:color="auto" w:sz="4" w:space="0"/>
              <w:left w:val="single" w:color="auto" w:sz="4" w:space="0"/>
              <w:bottom w:val="single" w:color="auto" w:sz="4" w:space="0"/>
              <w:right w:val="single" w:color="auto" w:sz="4" w:space="0"/>
            </w:tcBorders>
            <w:noWrap/>
            <w:vAlign w:val="center"/>
          </w:tcPr>
          <w:p w14:paraId="28A1BC1D">
            <w:pPr>
              <w:pStyle w:val="36"/>
              <w:widowControl w:val="0"/>
              <w:spacing w:before="0" w:beforeAutospacing="0" w:after="0" w:afterAutospacing="0"/>
              <w:jc w:val="center"/>
              <w:rPr>
                <w:highlight w:val="none"/>
              </w:rPr>
            </w:pPr>
            <w:r>
              <w:rPr>
                <w:rFonts w:hint="eastAsia"/>
                <w:highlight w:val="none"/>
              </w:rPr>
              <w:t>序号</w:t>
            </w:r>
          </w:p>
        </w:tc>
        <w:tc>
          <w:tcPr>
            <w:tcW w:w="1935" w:type="dxa"/>
            <w:tcBorders>
              <w:top w:val="single" w:color="auto" w:sz="4" w:space="0"/>
              <w:left w:val="single" w:color="auto" w:sz="4" w:space="0"/>
              <w:bottom w:val="single" w:color="auto" w:sz="4" w:space="0"/>
              <w:right w:val="single" w:color="auto" w:sz="4" w:space="0"/>
            </w:tcBorders>
            <w:noWrap/>
            <w:vAlign w:val="center"/>
          </w:tcPr>
          <w:p w14:paraId="405D8133">
            <w:pPr>
              <w:pStyle w:val="36"/>
              <w:widowControl w:val="0"/>
              <w:spacing w:before="0" w:beforeAutospacing="0" w:after="0" w:afterAutospacing="0"/>
              <w:jc w:val="center"/>
              <w:rPr>
                <w:highlight w:val="none"/>
              </w:rPr>
            </w:pPr>
            <w:r>
              <w:rPr>
                <w:rFonts w:hint="eastAsia"/>
                <w:highlight w:val="none"/>
              </w:rPr>
              <w:t>招标文件条目号</w:t>
            </w:r>
          </w:p>
        </w:tc>
        <w:tc>
          <w:tcPr>
            <w:tcW w:w="1995" w:type="dxa"/>
            <w:tcBorders>
              <w:top w:val="single" w:color="auto" w:sz="4" w:space="0"/>
              <w:left w:val="single" w:color="auto" w:sz="4" w:space="0"/>
              <w:bottom w:val="single" w:color="auto" w:sz="4" w:space="0"/>
              <w:right w:val="single" w:color="auto" w:sz="4" w:space="0"/>
            </w:tcBorders>
            <w:noWrap/>
            <w:vAlign w:val="center"/>
          </w:tcPr>
          <w:p w14:paraId="41298B2A">
            <w:pPr>
              <w:pStyle w:val="36"/>
              <w:widowControl w:val="0"/>
              <w:spacing w:before="0" w:beforeAutospacing="0" w:after="0" w:afterAutospacing="0"/>
              <w:jc w:val="center"/>
              <w:rPr>
                <w:highlight w:val="none"/>
              </w:rPr>
            </w:pPr>
            <w:r>
              <w:rPr>
                <w:rFonts w:hint="eastAsia"/>
                <w:highlight w:val="none"/>
              </w:rPr>
              <w:t>招标文件的条款</w:t>
            </w:r>
          </w:p>
        </w:tc>
        <w:tc>
          <w:tcPr>
            <w:tcW w:w="2085" w:type="dxa"/>
            <w:tcBorders>
              <w:top w:val="single" w:color="auto" w:sz="4" w:space="0"/>
              <w:left w:val="single" w:color="auto" w:sz="4" w:space="0"/>
              <w:bottom w:val="single" w:color="auto" w:sz="4" w:space="0"/>
              <w:right w:val="single" w:color="auto" w:sz="4" w:space="0"/>
            </w:tcBorders>
            <w:noWrap/>
            <w:vAlign w:val="center"/>
          </w:tcPr>
          <w:p w14:paraId="6A540C48">
            <w:pPr>
              <w:pStyle w:val="36"/>
              <w:widowControl w:val="0"/>
              <w:spacing w:before="0" w:beforeAutospacing="0" w:after="0" w:afterAutospacing="0"/>
              <w:jc w:val="center"/>
              <w:rPr>
                <w:highlight w:val="none"/>
              </w:rPr>
            </w:pPr>
            <w:r>
              <w:rPr>
                <w:rFonts w:hint="eastAsia"/>
                <w:highlight w:val="none"/>
              </w:rPr>
              <w:t>投标文件的条款</w:t>
            </w:r>
          </w:p>
        </w:tc>
        <w:tc>
          <w:tcPr>
            <w:tcW w:w="1260" w:type="dxa"/>
            <w:tcBorders>
              <w:top w:val="single" w:color="auto" w:sz="4" w:space="0"/>
              <w:left w:val="single" w:color="auto" w:sz="4" w:space="0"/>
              <w:bottom w:val="single" w:color="auto" w:sz="4" w:space="0"/>
              <w:right w:val="single" w:color="auto" w:sz="4" w:space="0"/>
            </w:tcBorders>
            <w:noWrap/>
            <w:vAlign w:val="center"/>
          </w:tcPr>
          <w:p w14:paraId="7E77B180">
            <w:pPr>
              <w:pStyle w:val="36"/>
              <w:widowControl w:val="0"/>
              <w:spacing w:before="0" w:beforeAutospacing="0" w:after="0" w:afterAutospacing="0"/>
              <w:jc w:val="center"/>
              <w:rPr>
                <w:highlight w:val="none"/>
              </w:rPr>
            </w:pPr>
            <w:r>
              <w:rPr>
                <w:rFonts w:hint="eastAsia"/>
                <w:highlight w:val="none"/>
              </w:rPr>
              <w:t>偏离</w:t>
            </w:r>
          </w:p>
        </w:tc>
        <w:tc>
          <w:tcPr>
            <w:tcW w:w="944" w:type="dxa"/>
            <w:tcBorders>
              <w:top w:val="single" w:color="auto" w:sz="4" w:space="0"/>
              <w:left w:val="single" w:color="auto" w:sz="4" w:space="0"/>
              <w:bottom w:val="single" w:color="auto" w:sz="4" w:space="0"/>
              <w:right w:val="single" w:color="auto" w:sz="4" w:space="0"/>
            </w:tcBorders>
            <w:noWrap/>
            <w:vAlign w:val="center"/>
          </w:tcPr>
          <w:p w14:paraId="6CA6A9EC">
            <w:pPr>
              <w:pStyle w:val="36"/>
              <w:widowControl w:val="0"/>
              <w:spacing w:before="0" w:beforeAutospacing="0" w:after="0" w:afterAutospacing="0"/>
              <w:jc w:val="center"/>
              <w:rPr>
                <w:highlight w:val="none"/>
              </w:rPr>
            </w:pPr>
            <w:r>
              <w:rPr>
                <w:rFonts w:hint="eastAsia"/>
                <w:highlight w:val="none"/>
              </w:rPr>
              <w:t>说明</w:t>
            </w:r>
          </w:p>
        </w:tc>
      </w:tr>
      <w:tr w14:paraId="612E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ign w:val="center"/>
          </w:tcPr>
          <w:p w14:paraId="03D05B1A">
            <w:pPr>
              <w:pStyle w:val="36"/>
              <w:widowControl w:val="0"/>
              <w:spacing w:before="0" w:beforeAutospacing="0" w:after="0" w:afterAutospacing="0"/>
              <w:ind w:firstLine="360" w:firstLineChars="200"/>
              <w:jc w:val="center"/>
              <w:rPr>
                <w:highlight w:val="none"/>
              </w:rPr>
            </w:pPr>
          </w:p>
        </w:tc>
        <w:tc>
          <w:tcPr>
            <w:tcW w:w="1935" w:type="dxa"/>
            <w:tcBorders>
              <w:top w:val="single" w:color="auto" w:sz="4" w:space="0"/>
              <w:left w:val="single" w:color="auto" w:sz="4" w:space="0"/>
              <w:bottom w:val="single" w:color="auto" w:sz="4" w:space="0"/>
              <w:right w:val="single" w:color="auto" w:sz="4" w:space="0"/>
            </w:tcBorders>
            <w:noWrap/>
            <w:vAlign w:val="center"/>
          </w:tcPr>
          <w:p w14:paraId="36EDC9A0">
            <w:pPr>
              <w:pStyle w:val="36"/>
              <w:widowControl w:val="0"/>
              <w:spacing w:before="0" w:beforeAutospacing="0" w:after="0" w:afterAutospacing="0"/>
              <w:ind w:firstLine="360" w:firstLineChars="200"/>
              <w:jc w:val="center"/>
              <w:rPr>
                <w:highlight w:val="none"/>
              </w:rPr>
            </w:pPr>
          </w:p>
        </w:tc>
        <w:tc>
          <w:tcPr>
            <w:tcW w:w="1995" w:type="dxa"/>
            <w:tcBorders>
              <w:top w:val="single" w:color="auto" w:sz="4" w:space="0"/>
              <w:left w:val="single" w:color="auto" w:sz="4" w:space="0"/>
              <w:bottom w:val="single" w:color="auto" w:sz="4" w:space="0"/>
              <w:right w:val="single" w:color="auto" w:sz="4" w:space="0"/>
            </w:tcBorders>
            <w:noWrap/>
            <w:vAlign w:val="center"/>
          </w:tcPr>
          <w:p w14:paraId="60639A5C">
            <w:pPr>
              <w:pStyle w:val="36"/>
              <w:widowControl w:val="0"/>
              <w:spacing w:before="0" w:beforeAutospacing="0" w:after="0" w:afterAutospacing="0"/>
              <w:ind w:firstLine="360" w:firstLineChars="200"/>
              <w:jc w:val="center"/>
              <w:rPr>
                <w:highlight w:val="none"/>
              </w:rPr>
            </w:pPr>
          </w:p>
        </w:tc>
        <w:tc>
          <w:tcPr>
            <w:tcW w:w="2085" w:type="dxa"/>
            <w:tcBorders>
              <w:top w:val="single" w:color="auto" w:sz="4" w:space="0"/>
              <w:left w:val="single" w:color="auto" w:sz="4" w:space="0"/>
              <w:bottom w:val="single" w:color="auto" w:sz="4" w:space="0"/>
              <w:right w:val="single" w:color="auto" w:sz="4" w:space="0"/>
            </w:tcBorders>
            <w:noWrap/>
            <w:vAlign w:val="center"/>
          </w:tcPr>
          <w:p w14:paraId="405A452F">
            <w:pPr>
              <w:pStyle w:val="36"/>
              <w:widowControl w:val="0"/>
              <w:spacing w:before="0" w:beforeAutospacing="0" w:after="0" w:afterAutospacing="0"/>
              <w:ind w:firstLine="360" w:firstLineChars="200"/>
              <w:jc w:val="center"/>
              <w:rPr>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BD8ADCE">
            <w:pPr>
              <w:pStyle w:val="36"/>
              <w:widowControl w:val="0"/>
              <w:spacing w:before="0" w:beforeAutospacing="0" w:after="0" w:afterAutospacing="0"/>
              <w:ind w:firstLine="360" w:firstLineChars="200"/>
              <w:jc w:val="center"/>
              <w:rPr>
                <w:highlight w:val="none"/>
              </w:rPr>
            </w:pPr>
          </w:p>
        </w:tc>
        <w:tc>
          <w:tcPr>
            <w:tcW w:w="944" w:type="dxa"/>
            <w:tcBorders>
              <w:top w:val="single" w:color="auto" w:sz="4" w:space="0"/>
              <w:left w:val="single" w:color="auto" w:sz="4" w:space="0"/>
              <w:bottom w:val="single" w:color="auto" w:sz="4" w:space="0"/>
              <w:right w:val="single" w:color="auto" w:sz="4" w:space="0"/>
            </w:tcBorders>
            <w:noWrap/>
            <w:vAlign w:val="center"/>
          </w:tcPr>
          <w:p w14:paraId="1ACA8CD3">
            <w:pPr>
              <w:pStyle w:val="36"/>
              <w:widowControl w:val="0"/>
              <w:spacing w:before="0" w:beforeAutospacing="0" w:after="0" w:afterAutospacing="0"/>
              <w:ind w:firstLine="360" w:firstLineChars="200"/>
              <w:jc w:val="center"/>
              <w:rPr>
                <w:highlight w:val="none"/>
              </w:rPr>
            </w:pPr>
          </w:p>
        </w:tc>
      </w:tr>
      <w:tr w14:paraId="0C2C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ign w:val="center"/>
          </w:tcPr>
          <w:p w14:paraId="253A50A9">
            <w:pPr>
              <w:pStyle w:val="36"/>
              <w:widowControl w:val="0"/>
              <w:spacing w:before="0" w:beforeAutospacing="0" w:after="0" w:afterAutospacing="0"/>
              <w:ind w:firstLine="360" w:firstLineChars="200"/>
              <w:jc w:val="center"/>
              <w:rPr>
                <w:highlight w:val="none"/>
              </w:rPr>
            </w:pPr>
          </w:p>
        </w:tc>
        <w:tc>
          <w:tcPr>
            <w:tcW w:w="1935" w:type="dxa"/>
            <w:tcBorders>
              <w:top w:val="single" w:color="auto" w:sz="4" w:space="0"/>
              <w:left w:val="single" w:color="auto" w:sz="4" w:space="0"/>
              <w:bottom w:val="single" w:color="auto" w:sz="4" w:space="0"/>
              <w:right w:val="single" w:color="auto" w:sz="4" w:space="0"/>
            </w:tcBorders>
            <w:noWrap/>
            <w:vAlign w:val="center"/>
          </w:tcPr>
          <w:p w14:paraId="083F9358">
            <w:pPr>
              <w:pStyle w:val="36"/>
              <w:widowControl w:val="0"/>
              <w:spacing w:before="0" w:beforeAutospacing="0" w:after="0" w:afterAutospacing="0"/>
              <w:ind w:firstLine="360" w:firstLineChars="200"/>
              <w:jc w:val="center"/>
              <w:rPr>
                <w:highlight w:val="none"/>
              </w:rPr>
            </w:pPr>
          </w:p>
        </w:tc>
        <w:tc>
          <w:tcPr>
            <w:tcW w:w="1995" w:type="dxa"/>
            <w:tcBorders>
              <w:top w:val="single" w:color="auto" w:sz="4" w:space="0"/>
              <w:left w:val="single" w:color="auto" w:sz="4" w:space="0"/>
              <w:bottom w:val="single" w:color="auto" w:sz="4" w:space="0"/>
              <w:right w:val="single" w:color="auto" w:sz="4" w:space="0"/>
            </w:tcBorders>
            <w:noWrap/>
            <w:vAlign w:val="center"/>
          </w:tcPr>
          <w:p w14:paraId="6E6B35FE">
            <w:pPr>
              <w:pStyle w:val="36"/>
              <w:widowControl w:val="0"/>
              <w:spacing w:before="0" w:beforeAutospacing="0" w:after="0" w:afterAutospacing="0"/>
              <w:ind w:firstLine="360" w:firstLineChars="200"/>
              <w:jc w:val="center"/>
              <w:rPr>
                <w:highlight w:val="none"/>
              </w:rPr>
            </w:pPr>
          </w:p>
        </w:tc>
        <w:tc>
          <w:tcPr>
            <w:tcW w:w="2085" w:type="dxa"/>
            <w:tcBorders>
              <w:top w:val="single" w:color="auto" w:sz="4" w:space="0"/>
              <w:left w:val="single" w:color="auto" w:sz="4" w:space="0"/>
              <w:bottom w:val="single" w:color="auto" w:sz="4" w:space="0"/>
              <w:right w:val="single" w:color="auto" w:sz="4" w:space="0"/>
            </w:tcBorders>
            <w:noWrap/>
            <w:vAlign w:val="center"/>
          </w:tcPr>
          <w:p w14:paraId="6FD99316">
            <w:pPr>
              <w:pStyle w:val="36"/>
              <w:widowControl w:val="0"/>
              <w:spacing w:before="0" w:beforeAutospacing="0" w:after="0" w:afterAutospacing="0"/>
              <w:ind w:firstLine="360" w:firstLineChars="200"/>
              <w:jc w:val="center"/>
              <w:rPr>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78B07BE">
            <w:pPr>
              <w:pStyle w:val="36"/>
              <w:widowControl w:val="0"/>
              <w:spacing w:before="0" w:beforeAutospacing="0" w:after="0" w:afterAutospacing="0"/>
              <w:ind w:firstLine="360" w:firstLineChars="200"/>
              <w:jc w:val="center"/>
              <w:rPr>
                <w:highlight w:val="none"/>
              </w:rPr>
            </w:pPr>
          </w:p>
        </w:tc>
        <w:tc>
          <w:tcPr>
            <w:tcW w:w="944" w:type="dxa"/>
            <w:tcBorders>
              <w:top w:val="single" w:color="auto" w:sz="4" w:space="0"/>
              <w:left w:val="single" w:color="auto" w:sz="4" w:space="0"/>
              <w:bottom w:val="single" w:color="auto" w:sz="4" w:space="0"/>
              <w:right w:val="single" w:color="auto" w:sz="4" w:space="0"/>
            </w:tcBorders>
            <w:noWrap/>
            <w:vAlign w:val="center"/>
          </w:tcPr>
          <w:p w14:paraId="7B8F9CDC">
            <w:pPr>
              <w:pStyle w:val="36"/>
              <w:widowControl w:val="0"/>
              <w:spacing w:before="0" w:beforeAutospacing="0" w:after="0" w:afterAutospacing="0"/>
              <w:ind w:firstLine="360" w:firstLineChars="200"/>
              <w:jc w:val="center"/>
              <w:rPr>
                <w:highlight w:val="none"/>
              </w:rPr>
            </w:pPr>
          </w:p>
        </w:tc>
      </w:tr>
      <w:tr w14:paraId="69AA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ign w:val="center"/>
          </w:tcPr>
          <w:p w14:paraId="5D8E01D9">
            <w:pPr>
              <w:pStyle w:val="36"/>
              <w:widowControl w:val="0"/>
              <w:spacing w:before="0" w:beforeAutospacing="0" w:after="0" w:afterAutospacing="0"/>
              <w:ind w:firstLine="360" w:firstLineChars="200"/>
              <w:jc w:val="center"/>
              <w:rPr>
                <w:highlight w:val="none"/>
              </w:rPr>
            </w:pPr>
          </w:p>
        </w:tc>
        <w:tc>
          <w:tcPr>
            <w:tcW w:w="1935" w:type="dxa"/>
            <w:tcBorders>
              <w:top w:val="single" w:color="auto" w:sz="4" w:space="0"/>
              <w:left w:val="single" w:color="auto" w:sz="4" w:space="0"/>
              <w:bottom w:val="single" w:color="auto" w:sz="4" w:space="0"/>
              <w:right w:val="single" w:color="auto" w:sz="4" w:space="0"/>
            </w:tcBorders>
            <w:noWrap/>
            <w:vAlign w:val="center"/>
          </w:tcPr>
          <w:p w14:paraId="370C62B9">
            <w:pPr>
              <w:pStyle w:val="36"/>
              <w:widowControl w:val="0"/>
              <w:spacing w:before="0" w:beforeAutospacing="0" w:after="0" w:afterAutospacing="0"/>
              <w:ind w:firstLine="360" w:firstLineChars="200"/>
              <w:jc w:val="center"/>
              <w:rPr>
                <w:highlight w:val="none"/>
              </w:rPr>
            </w:pPr>
          </w:p>
        </w:tc>
        <w:tc>
          <w:tcPr>
            <w:tcW w:w="1995" w:type="dxa"/>
            <w:tcBorders>
              <w:top w:val="single" w:color="auto" w:sz="4" w:space="0"/>
              <w:left w:val="single" w:color="auto" w:sz="4" w:space="0"/>
              <w:bottom w:val="single" w:color="auto" w:sz="4" w:space="0"/>
              <w:right w:val="single" w:color="auto" w:sz="4" w:space="0"/>
            </w:tcBorders>
            <w:noWrap/>
            <w:vAlign w:val="center"/>
          </w:tcPr>
          <w:p w14:paraId="34FBB537">
            <w:pPr>
              <w:pStyle w:val="36"/>
              <w:widowControl w:val="0"/>
              <w:spacing w:before="0" w:beforeAutospacing="0" w:after="0" w:afterAutospacing="0"/>
              <w:ind w:firstLine="360" w:firstLineChars="200"/>
              <w:jc w:val="center"/>
              <w:rPr>
                <w:highlight w:val="none"/>
              </w:rPr>
            </w:pPr>
          </w:p>
        </w:tc>
        <w:tc>
          <w:tcPr>
            <w:tcW w:w="2085" w:type="dxa"/>
            <w:tcBorders>
              <w:top w:val="single" w:color="auto" w:sz="4" w:space="0"/>
              <w:left w:val="single" w:color="auto" w:sz="4" w:space="0"/>
              <w:bottom w:val="single" w:color="auto" w:sz="4" w:space="0"/>
              <w:right w:val="single" w:color="auto" w:sz="4" w:space="0"/>
            </w:tcBorders>
            <w:noWrap/>
            <w:vAlign w:val="center"/>
          </w:tcPr>
          <w:p w14:paraId="5E60BD46">
            <w:pPr>
              <w:pStyle w:val="36"/>
              <w:widowControl w:val="0"/>
              <w:spacing w:before="0" w:beforeAutospacing="0" w:after="0" w:afterAutospacing="0"/>
              <w:ind w:firstLine="360" w:firstLineChars="200"/>
              <w:jc w:val="center"/>
              <w:rPr>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C89917B">
            <w:pPr>
              <w:pStyle w:val="36"/>
              <w:widowControl w:val="0"/>
              <w:spacing w:before="0" w:beforeAutospacing="0" w:after="0" w:afterAutospacing="0"/>
              <w:ind w:firstLine="360" w:firstLineChars="200"/>
              <w:jc w:val="center"/>
              <w:rPr>
                <w:highlight w:val="none"/>
              </w:rPr>
            </w:pPr>
          </w:p>
        </w:tc>
        <w:tc>
          <w:tcPr>
            <w:tcW w:w="944" w:type="dxa"/>
            <w:tcBorders>
              <w:top w:val="single" w:color="auto" w:sz="4" w:space="0"/>
              <w:left w:val="single" w:color="auto" w:sz="4" w:space="0"/>
              <w:bottom w:val="single" w:color="auto" w:sz="4" w:space="0"/>
              <w:right w:val="single" w:color="auto" w:sz="4" w:space="0"/>
            </w:tcBorders>
            <w:noWrap/>
            <w:vAlign w:val="center"/>
          </w:tcPr>
          <w:p w14:paraId="776BA0D7">
            <w:pPr>
              <w:pStyle w:val="36"/>
              <w:widowControl w:val="0"/>
              <w:spacing w:before="0" w:beforeAutospacing="0" w:after="0" w:afterAutospacing="0"/>
              <w:ind w:firstLine="360" w:firstLineChars="200"/>
              <w:jc w:val="center"/>
              <w:rPr>
                <w:highlight w:val="none"/>
              </w:rPr>
            </w:pPr>
          </w:p>
        </w:tc>
      </w:tr>
      <w:tr w14:paraId="0018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ign w:val="center"/>
          </w:tcPr>
          <w:p w14:paraId="29D32ADE">
            <w:pPr>
              <w:pStyle w:val="36"/>
              <w:widowControl w:val="0"/>
              <w:spacing w:before="0" w:beforeAutospacing="0" w:after="0" w:afterAutospacing="0"/>
              <w:ind w:firstLine="360" w:firstLineChars="200"/>
              <w:jc w:val="center"/>
              <w:rPr>
                <w:highlight w:val="none"/>
              </w:rPr>
            </w:pPr>
          </w:p>
        </w:tc>
        <w:tc>
          <w:tcPr>
            <w:tcW w:w="1935" w:type="dxa"/>
            <w:tcBorders>
              <w:top w:val="single" w:color="auto" w:sz="4" w:space="0"/>
              <w:left w:val="single" w:color="auto" w:sz="4" w:space="0"/>
              <w:bottom w:val="single" w:color="auto" w:sz="4" w:space="0"/>
              <w:right w:val="single" w:color="auto" w:sz="4" w:space="0"/>
            </w:tcBorders>
            <w:noWrap/>
            <w:vAlign w:val="center"/>
          </w:tcPr>
          <w:p w14:paraId="4E69837F">
            <w:pPr>
              <w:pStyle w:val="36"/>
              <w:widowControl w:val="0"/>
              <w:spacing w:before="0" w:beforeAutospacing="0" w:after="0" w:afterAutospacing="0"/>
              <w:ind w:firstLine="360" w:firstLineChars="200"/>
              <w:jc w:val="center"/>
              <w:rPr>
                <w:highlight w:val="none"/>
              </w:rPr>
            </w:pPr>
          </w:p>
        </w:tc>
        <w:tc>
          <w:tcPr>
            <w:tcW w:w="1995" w:type="dxa"/>
            <w:tcBorders>
              <w:top w:val="single" w:color="auto" w:sz="4" w:space="0"/>
              <w:left w:val="single" w:color="auto" w:sz="4" w:space="0"/>
              <w:bottom w:val="single" w:color="auto" w:sz="4" w:space="0"/>
              <w:right w:val="single" w:color="auto" w:sz="4" w:space="0"/>
            </w:tcBorders>
            <w:noWrap/>
            <w:vAlign w:val="center"/>
          </w:tcPr>
          <w:p w14:paraId="44B9AF30">
            <w:pPr>
              <w:pStyle w:val="36"/>
              <w:widowControl w:val="0"/>
              <w:spacing w:before="0" w:beforeAutospacing="0" w:after="0" w:afterAutospacing="0"/>
              <w:ind w:firstLine="360" w:firstLineChars="200"/>
              <w:jc w:val="center"/>
              <w:rPr>
                <w:highlight w:val="none"/>
              </w:rPr>
            </w:pPr>
          </w:p>
        </w:tc>
        <w:tc>
          <w:tcPr>
            <w:tcW w:w="2085" w:type="dxa"/>
            <w:tcBorders>
              <w:top w:val="single" w:color="auto" w:sz="4" w:space="0"/>
              <w:left w:val="single" w:color="auto" w:sz="4" w:space="0"/>
              <w:bottom w:val="single" w:color="auto" w:sz="4" w:space="0"/>
              <w:right w:val="single" w:color="auto" w:sz="4" w:space="0"/>
            </w:tcBorders>
            <w:noWrap/>
            <w:vAlign w:val="center"/>
          </w:tcPr>
          <w:p w14:paraId="3C58437B">
            <w:pPr>
              <w:pStyle w:val="36"/>
              <w:widowControl w:val="0"/>
              <w:spacing w:before="0" w:beforeAutospacing="0" w:after="0" w:afterAutospacing="0"/>
              <w:ind w:firstLine="360" w:firstLineChars="200"/>
              <w:jc w:val="center"/>
              <w:rPr>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580557B">
            <w:pPr>
              <w:pStyle w:val="36"/>
              <w:widowControl w:val="0"/>
              <w:spacing w:before="0" w:beforeAutospacing="0" w:after="0" w:afterAutospacing="0"/>
              <w:ind w:firstLine="360" w:firstLineChars="200"/>
              <w:jc w:val="center"/>
              <w:rPr>
                <w:highlight w:val="none"/>
              </w:rPr>
            </w:pPr>
          </w:p>
        </w:tc>
        <w:tc>
          <w:tcPr>
            <w:tcW w:w="944" w:type="dxa"/>
            <w:tcBorders>
              <w:top w:val="single" w:color="auto" w:sz="4" w:space="0"/>
              <w:left w:val="single" w:color="auto" w:sz="4" w:space="0"/>
              <w:bottom w:val="single" w:color="auto" w:sz="4" w:space="0"/>
              <w:right w:val="single" w:color="auto" w:sz="4" w:space="0"/>
            </w:tcBorders>
            <w:noWrap/>
            <w:vAlign w:val="center"/>
          </w:tcPr>
          <w:p w14:paraId="3BE0956D">
            <w:pPr>
              <w:pStyle w:val="36"/>
              <w:widowControl w:val="0"/>
              <w:spacing w:before="0" w:beforeAutospacing="0" w:after="0" w:afterAutospacing="0"/>
              <w:ind w:firstLine="360" w:firstLineChars="200"/>
              <w:jc w:val="center"/>
              <w:rPr>
                <w:highlight w:val="none"/>
              </w:rPr>
            </w:pPr>
          </w:p>
        </w:tc>
      </w:tr>
      <w:tr w14:paraId="0685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ign w:val="center"/>
          </w:tcPr>
          <w:p w14:paraId="3FFD11C8">
            <w:pPr>
              <w:pStyle w:val="36"/>
              <w:widowControl w:val="0"/>
              <w:spacing w:before="0" w:beforeAutospacing="0" w:after="0" w:afterAutospacing="0"/>
              <w:ind w:firstLine="360" w:firstLineChars="200"/>
              <w:jc w:val="center"/>
              <w:rPr>
                <w:highlight w:val="none"/>
              </w:rPr>
            </w:pPr>
          </w:p>
        </w:tc>
        <w:tc>
          <w:tcPr>
            <w:tcW w:w="1935" w:type="dxa"/>
            <w:tcBorders>
              <w:top w:val="single" w:color="auto" w:sz="4" w:space="0"/>
              <w:left w:val="single" w:color="auto" w:sz="4" w:space="0"/>
              <w:bottom w:val="single" w:color="auto" w:sz="4" w:space="0"/>
              <w:right w:val="single" w:color="auto" w:sz="4" w:space="0"/>
            </w:tcBorders>
            <w:noWrap/>
            <w:vAlign w:val="center"/>
          </w:tcPr>
          <w:p w14:paraId="2C54C777">
            <w:pPr>
              <w:pStyle w:val="36"/>
              <w:widowControl w:val="0"/>
              <w:spacing w:before="0" w:beforeAutospacing="0" w:after="0" w:afterAutospacing="0"/>
              <w:ind w:firstLine="360" w:firstLineChars="200"/>
              <w:jc w:val="center"/>
              <w:rPr>
                <w:highlight w:val="none"/>
              </w:rPr>
            </w:pPr>
          </w:p>
        </w:tc>
        <w:tc>
          <w:tcPr>
            <w:tcW w:w="1995" w:type="dxa"/>
            <w:tcBorders>
              <w:top w:val="single" w:color="auto" w:sz="4" w:space="0"/>
              <w:left w:val="single" w:color="auto" w:sz="4" w:space="0"/>
              <w:bottom w:val="single" w:color="auto" w:sz="4" w:space="0"/>
              <w:right w:val="single" w:color="auto" w:sz="4" w:space="0"/>
            </w:tcBorders>
            <w:noWrap/>
            <w:vAlign w:val="center"/>
          </w:tcPr>
          <w:p w14:paraId="62672C99">
            <w:pPr>
              <w:pStyle w:val="36"/>
              <w:widowControl w:val="0"/>
              <w:spacing w:before="0" w:beforeAutospacing="0" w:after="0" w:afterAutospacing="0"/>
              <w:ind w:firstLine="360" w:firstLineChars="200"/>
              <w:jc w:val="center"/>
              <w:rPr>
                <w:highlight w:val="none"/>
              </w:rPr>
            </w:pPr>
          </w:p>
        </w:tc>
        <w:tc>
          <w:tcPr>
            <w:tcW w:w="2085" w:type="dxa"/>
            <w:tcBorders>
              <w:top w:val="single" w:color="auto" w:sz="4" w:space="0"/>
              <w:left w:val="single" w:color="auto" w:sz="4" w:space="0"/>
              <w:bottom w:val="single" w:color="auto" w:sz="4" w:space="0"/>
              <w:right w:val="single" w:color="auto" w:sz="4" w:space="0"/>
            </w:tcBorders>
            <w:noWrap/>
            <w:vAlign w:val="center"/>
          </w:tcPr>
          <w:p w14:paraId="309AAB61">
            <w:pPr>
              <w:pStyle w:val="36"/>
              <w:widowControl w:val="0"/>
              <w:spacing w:before="0" w:beforeAutospacing="0" w:after="0" w:afterAutospacing="0"/>
              <w:ind w:firstLine="360" w:firstLineChars="200"/>
              <w:jc w:val="center"/>
              <w:rPr>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2F72423E">
            <w:pPr>
              <w:pStyle w:val="36"/>
              <w:widowControl w:val="0"/>
              <w:spacing w:before="0" w:beforeAutospacing="0" w:after="0" w:afterAutospacing="0"/>
              <w:ind w:firstLine="360" w:firstLineChars="200"/>
              <w:jc w:val="center"/>
              <w:rPr>
                <w:highlight w:val="none"/>
              </w:rPr>
            </w:pPr>
          </w:p>
        </w:tc>
        <w:tc>
          <w:tcPr>
            <w:tcW w:w="944" w:type="dxa"/>
            <w:tcBorders>
              <w:top w:val="single" w:color="auto" w:sz="4" w:space="0"/>
              <w:left w:val="single" w:color="auto" w:sz="4" w:space="0"/>
              <w:bottom w:val="single" w:color="auto" w:sz="4" w:space="0"/>
              <w:right w:val="single" w:color="auto" w:sz="4" w:space="0"/>
            </w:tcBorders>
            <w:noWrap/>
            <w:vAlign w:val="center"/>
          </w:tcPr>
          <w:p w14:paraId="6EBDF8C3">
            <w:pPr>
              <w:pStyle w:val="36"/>
              <w:widowControl w:val="0"/>
              <w:spacing w:before="0" w:beforeAutospacing="0" w:after="0" w:afterAutospacing="0"/>
              <w:ind w:firstLine="360" w:firstLineChars="200"/>
              <w:jc w:val="center"/>
              <w:rPr>
                <w:highlight w:val="none"/>
              </w:rPr>
            </w:pPr>
          </w:p>
        </w:tc>
      </w:tr>
      <w:tr w14:paraId="6596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ign w:val="center"/>
          </w:tcPr>
          <w:p w14:paraId="750D49B8">
            <w:pPr>
              <w:pStyle w:val="36"/>
              <w:widowControl w:val="0"/>
              <w:spacing w:before="0" w:beforeAutospacing="0" w:after="0" w:afterAutospacing="0"/>
              <w:ind w:firstLine="360" w:firstLineChars="200"/>
              <w:jc w:val="center"/>
              <w:rPr>
                <w:highlight w:val="none"/>
              </w:rPr>
            </w:pPr>
          </w:p>
        </w:tc>
        <w:tc>
          <w:tcPr>
            <w:tcW w:w="1935" w:type="dxa"/>
            <w:tcBorders>
              <w:top w:val="single" w:color="auto" w:sz="4" w:space="0"/>
              <w:left w:val="single" w:color="auto" w:sz="4" w:space="0"/>
              <w:bottom w:val="single" w:color="auto" w:sz="4" w:space="0"/>
              <w:right w:val="single" w:color="auto" w:sz="4" w:space="0"/>
            </w:tcBorders>
            <w:noWrap/>
            <w:vAlign w:val="center"/>
          </w:tcPr>
          <w:p w14:paraId="66460C2B">
            <w:pPr>
              <w:pStyle w:val="36"/>
              <w:widowControl w:val="0"/>
              <w:spacing w:before="0" w:beforeAutospacing="0" w:after="0" w:afterAutospacing="0"/>
              <w:ind w:firstLine="360" w:firstLineChars="200"/>
              <w:jc w:val="center"/>
              <w:rPr>
                <w:highlight w:val="none"/>
              </w:rPr>
            </w:pPr>
          </w:p>
        </w:tc>
        <w:tc>
          <w:tcPr>
            <w:tcW w:w="1995" w:type="dxa"/>
            <w:tcBorders>
              <w:top w:val="single" w:color="auto" w:sz="4" w:space="0"/>
              <w:left w:val="single" w:color="auto" w:sz="4" w:space="0"/>
              <w:bottom w:val="single" w:color="auto" w:sz="4" w:space="0"/>
              <w:right w:val="single" w:color="auto" w:sz="4" w:space="0"/>
            </w:tcBorders>
            <w:noWrap/>
            <w:vAlign w:val="center"/>
          </w:tcPr>
          <w:p w14:paraId="543E2FEE">
            <w:pPr>
              <w:pStyle w:val="36"/>
              <w:widowControl w:val="0"/>
              <w:spacing w:before="0" w:beforeAutospacing="0" w:after="0" w:afterAutospacing="0"/>
              <w:ind w:firstLine="360" w:firstLineChars="200"/>
              <w:jc w:val="center"/>
              <w:rPr>
                <w:highlight w:val="none"/>
              </w:rPr>
            </w:pPr>
          </w:p>
        </w:tc>
        <w:tc>
          <w:tcPr>
            <w:tcW w:w="2085" w:type="dxa"/>
            <w:tcBorders>
              <w:top w:val="single" w:color="auto" w:sz="4" w:space="0"/>
              <w:left w:val="single" w:color="auto" w:sz="4" w:space="0"/>
              <w:bottom w:val="single" w:color="auto" w:sz="4" w:space="0"/>
              <w:right w:val="single" w:color="auto" w:sz="4" w:space="0"/>
            </w:tcBorders>
            <w:noWrap/>
            <w:vAlign w:val="center"/>
          </w:tcPr>
          <w:p w14:paraId="0E74A01B">
            <w:pPr>
              <w:pStyle w:val="36"/>
              <w:widowControl w:val="0"/>
              <w:spacing w:before="0" w:beforeAutospacing="0" w:after="0" w:afterAutospacing="0"/>
              <w:ind w:firstLine="360" w:firstLineChars="200"/>
              <w:jc w:val="center"/>
              <w:rPr>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443D5762">
            <w:pPr>
              <w:pStyle w:val="36"/>
              <w:widowControl w:val="0"/>
              <w:spacing w:before="0" w:beforeAutospacing="0" w:after="0" w:afterAutospacing="0"/>
              <w:ind w:firstLine="360" w:firstLineChars="200"/>
              <w:jc w:val="center"/>
              <w:rPr>
                <w:highlight w:val="none"/>
              </w:rPr>
            </w:pPr>
          </w:p>
        </w:tc>
        <w:tc>
          <w:tcPr>
            <w:tcW w:w="944" w:type="dxa"/>
            <w:tcBorders>
              <w:top w:val="single" w:color="auto" w:sz="4" w:space="0"/>
              <w:left w:val="single" w:color="auto" w:sz="4" w:space="0"/>
              <w:bottom w:val="single" w:color="auto" w:sz="4" w:space="0"/>
              <w:right w:val="single" w:color="auto" w:sz="4" w:space="0"/>
            </w:tcBorders>
            <w:noWrap/>
            <w:vAlign w:val="center"/>
          </w:tcPr>
          <w:p w14:paraId="27F7F411">
            <w:pPr>
              <w:pStyle w:val="36"/>
              <w:widowControl w:val="0"/>
              <w:spacing w:before="0" w:beforeAutospacing="0" w:after="0" w:afterAutospacing="0"/>
              <w:ind w:firstLine="360" w:firstLineChars="200"/>
              <w:jc w:val="center"/>
              <w:rPr>
                <w:highlight w:val="none"/>
              </w:rPr>
            </w:pPr>
          </w:p>
        </w:tc>
      </w:tr>
      <w:tr w14:paraId="4420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ign w:val="center"/>
          </w:tcPr>
          <w:p w14:paraId="6AD5EE18">
            <w:pPr>
              <w:pStyle w:val="36"/>
              <w:widowControl w:val="0"/>
              <w:spacing w:before="0" w:beforeAutospacing="0" w:after="0" w:afterAutospacing="0"/>
              <w:ind w:firstLine="360" w:firstLineChars="200"/>
              <w:jc w:val="center"/>
              <w:rPr>
                <w:highlight w:val="none"/>
              </w:rPr>
            </w:pPr>
          </w:p>
        </w:tc>
        <w:tc>
          <w:tcPr>
            <w:tcW w:w="1935" w:type="dxa"/>
            <w:tcBorders>
              <w:top w:val="single" w:color="auto" w:sz="4" w:space="0"/>
              <w:left w:val="single" w:color="auto" w:sz="4" w:space="0"/>
              <w:bottom w:val="single" w:color="auto" w:sz="4" w:space="0"/>
              <w:right w:val="single" w:color="auto" w:sz="4" w:space="0"/>
            </w:tcBorders>
            <w:noWrap/>
            <w:vAlign w:val="center"/>
          </w:tcPr>
          <w:p w14:paraId="4AC23BA1">
            <w:pPr>
              <w:pStyle w:val="36"/>
              <w:widowControl w:val="0"/>
              <w:spacing w:before="0" w:beforeAutospacing="0" w:after="0" w:afterAutospacing="0"/>
              <w:ind w:firstLine="360" w:firstLineChars="200"/>
              <w:jc w:val="center"/>
              <w:rPr>
                <w:highlight w:val="none"/>
              </w:rPr>
            </w:pPr>
          </w:p>
        </w:tc>
        <w:tc>
          <w:tcPr>
            <w:tcW w:w="1995" w:type="dxa"/>
            <w:tcBorders>
              <w:top w:val="single" w:color="auto" w:sz="4" w:space="0"/>
              <w:left w:val="single" w:color="auto" w:sz="4" w:space="0"/>
              <w:bottom w:val="single" w:color="auto" w:sz="4" w:space="0"/>
              <w:right w:val="single" w:color="auto" w:sz="4" w:space="0"/>
            </w:tcBorders>
            <w:noWrap/>
            <w:vAlign w:val="center"/>
          </w:tcPr>
          <w:p w14:paraId="3B54EFD2">
            <w:pPr>
              <w:pStyle w:val="36"/>
              <w:widowControl w:val="0"/>
              <w:spacing w:before="0" w:beforeAutospacing="0" w:after="0" w:afterAutospacing="0"/>
              <w:ind w:firstLine="360" w:firstLineChars="200"/>
              <w:jc w:val="center"/>
              <w:rPr>
                <w:highlight w:val="none"/>
              </w:rPr>
            </w:pPr>
          </w:p>
        </w:tc>
        <w:tc>
          <w:tcPr>
            <w:tcW w:w="2085" w:type="dxa"/>
            <w:tcBorders>
              <w:top w:val="single" w:color="auto" w:sz="4" w:space="0"/>
              <w:left w:val="single" w:color="auto" w:sz="4" w:space="0"/>
              <w:bottom w:val="single" w:color="auto" w:sz="4" w:space="0"/>
              <w:right w:val="single" w:color="auto" w:sz="4" w:space="0"/>
            </w:tcBorders>
            <w:noWrap/>
            <w:vAlign w:val="center"/>
          </w:tcPr>
          <w:p w14:paraId="22A064DF">
            <w:pPr>
              <w:pStyle w:val="36"/>
              <w:widowControl w:val="0"/>
              <w:spacing w:before="0" w:beforeAutospacing="0" w:after="0" w:afterAutospacing="0"/>
              <w:ind w:firstLine="360" w:firstLineChars="200"/>
              <w:jc w:val="center"/>
              <w:rPr>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0CA2917">
            <w:pPr>
              <w:pStyle w:val="36"/>
              <w:widowControl w:val="0"/>
              <w:spacing w:before="0" w:beforeAutospacing="0" w:after="0" w:afterAutospacing="0"/>
              <w:ind w:firstLine="360" w:firstLineChars="200"/>
              <w:jc w:val="center"/>
              <w:rPr>
                <w:highlight w:val="none"/>
              </w:rPr>
            </w:pPr>
          </w:p>
        </w:tc>
        <w:tc>
          <w:tcPr>
            <w:tcW w:w="944" w:type="dxa"/>
            <w:tcBorders>
              <w:top w:val="single" w:color="auto" w:sz="4" w:space="0"/>
              <w:left w:val="single" w:color="auto" w:sz="4" w:space="0"/>
              <w:bottom w:val="single" w:color="auto" w:sz="4" w:space="0"/>
              <w:right w:val="single" w:color="auto" w:sz="4" w:space="0"/>
            </w:tcBorders>
            <w:noWrap/>
            <w:vAlign w:val="center"/>
          </w:tcPr>
          <w:p w14:paraId="721C1C28">
            <w:pPr>
              <w:pStyle w:val="36"/>
              <w:widowControl w:val="0"/>
              <w:spacing w:before="0" w:beforeAutospacing="0" w:after="0" w:afterAutospacing="0"/>
              <w:ind w:firstLine="360" w:firstLineChars="200"/>
              <w:jc w:val="center"/>
              <w:rPr>
                <w:highlight w:val="none"/>
              </w:rPr>
            </w:pPr>
          </w:p>
        </w:tc>
      </w:tr>
    </w:tbl>
    <w:p w14:paraId="26713621">
      <w:pPr>
        <w:pStyle w:val="36"/>
        <w:widowControl w:val="0"/>
        <w:spacing w:before="0" w:beforeAutospacing="0" w:after="0" w:afterAutospacing="0"/>
        <w:rPr>
          <w:highlight w:val="none"/>
        </w:rPr>
      </w:pPr>
      <w:r>
        <w:rPr>
          <w:rFonts w:hint="eastAsia"/>
          <w:highlight w:val="none"/>
        </w:rPr>
        <w:t>说明：</w:t>
      </w:r>
    </w:p>
    <w:p w14:paraId="18315C89">
      <w:pPr>
        <w:pStyle w:val="36"/>
        <w:widowControl w:val="0"/>
        <w:spacing w:before="0" w:beforeAutospacing="0" w:after="0" w:afterAutospacing="0"/>
        <w:ind w:firstLine="360" w:firstLineChars="200"/>
        <w:jc w:val="both"/>
        <w:rPr>
          <w:highlight w:val="none"/>
        </w:rPr>
      </w:pPr>
      <w:r>
        <w:rPr>
          <w:rFonts w:hint="eastAsia"/>
          <w:highlight w:val="none"/>
        </w:rPr>
        <w:t>1.本表只填写投标文件中与招标文件有偏离（包括正偏离和负偏离）的内容，投标文件中内容响应与招标文件要求完全一致的，不用在此表中列出，但必须提交空白表加盖公章。</w:t>
      </w:r>
    </w:p>
    <w:p w14:paraId="2D9E857A">
      <w:pPr>
        <w:pStyle w:val="36"/>
        <w:widowControl w:val="0"/>
        <w:spacing w:before="0" w:beforeAutospacing="0" w:after="0" w:afterAutospacing="0"/>
        <w:ind w:firstLine="360" w:firstLineChars="200"/>
        <w:rPr>
          <w:highlight w:val="none"/>
        </w:rPr>
      </w:pPr>
      <w:r>
        <w:rPr>
          <w:rFonts w:hint="eastAsia"/>
          <w:highlight w:val="none"/>
        </w:rPr>
        <w:t>2.投标人必须据实填写，不得虚假响应，否则将取消其投标或中标资格，并按有关规定进处罚。</w:t>
      </w:r>
    </w:p>
    <w:p w14:paraId="37EE297F">
      <w:pPr>
        <w:pStyle w:val="16"/>
        <w:jc w:val="both"/>
        <w:rPr>
          <w:highlight w:val="none"/>
        </w:rPr>
      </w:pPr>
    </w:p>
    <w:p w14:paraId="67AD6DA5">
      <w:pPr>
        <w:wordWrap w:val="0"/>
        <w:spacing w:line="600" w:lineRule="auto"/>
        <w:ind w:firstLine="2860" w:firstLineChars="1300"/>
        <w:jc w:val="both"/>
        <w:rPr>
          <w:highlight w:val="none"/>
        </w:rPr>
      </w:pPr>
      <w:r>
        <w:rPr>
          <w:rFonts w:hint="eastAsia"/>
          <w:highlight w:val="none"/>
        </w:rPr>
        <w:t>投标人：</w:t>
      </w:r>
      <w:r>
        <w:rPr>
          <w:rFonts w:hint="eastAsia"/>
          <w:highlight w:val="none"/>
          <w:u w:val="single"/>
        </w:rPr>
        <w:t xml:space="preserve">                      </w:t>
      </w:r>
      <w:r>
        <w:rPr>
          <w:rFonts w:hint="eastAsia"/>
          <w:highlight w:val="none"/>
        </w:rPr>
        <w:t>（单位公章）</w:t>
      </w:r>
    </w:p>
    <w:p w14:paraId="71439BE2">
      <w:pPr>
        <w:wordWrap w:val="0"/>
        <w:spacing w:line="600" w:lineRule="auto"/>
        <w:ind w:firstLine="2860" w:firstLineChars="1300"/>
        <w:jc w:val="both"/>
        <w:rPr>
          <w:highlight w:val="none"/>
        </w:rPr>
      </w:pPr>
      <w:r>
        <w:rPr>
          <w:rFonts w:hint="eastAsia"/>
          <w:highlight w:val="none"/>
        </w:rPr>
        <w:t>法定代表人或其委托代理人：</w:t>
      </w:r>
      <w:r>
        <w:rPr>
          <w:rFonts w:hint="eastAsia"/>
          <w:highlight w:val="none"/>
          <w:u w:val="single"/>
        </w:rPr>
        <w:t xml:space="preserve">        </w:t>
      </w:r>
      <w:r>
        <w:rPr>
          <w:rFonts w:hint="eastAsia"/>
          <w:highlight w:val="none"/>
        </w:rPr>
        <w:t>（签字或盖章）</w:t>
      </w:r>
    </w:p>
    <w:p w14:paraId="51823BD4">
      <w:pPr>
        <w:rPr>
          <w:highlight w:val="none"/>
        </w:rPr>
      </w:pPr>
      <w:r>
        <w:rPr>
          <w:rFonts w:hint="eastAsia"/>
          <w:highlight w:val="none"/>
        </w:rPr>
        <w:br w:type="page"/>
      </w:r>
    </w:p>
    <w:p w14:paraId="36A00499">
      <w:pPr>
        <w:rPr>
          <w:highlight w:val="none"/>
        </w:rPr>
      </w:pPr>
    </w:p>
    <w:p w14:paraId="34F40CCA">
      <w:pPr>
        <w:pStyle w:val="77"/>
        <w:rPr>
          <w:rFonts w:ascii="宋体" w:hAnsi="宋体" w:eastAsia="宋体"/>
          <w:sz w:val="24"/>
          <w:highlight w:val="none"/>
        </w:rPr>
      </w:pPr>
      <w:r>
        <w:rPr>
          <w:rFonts w:hint="eastAsia" w:ascii="宋体" w:hAnsi="宋体" w:eastAsia="宋体"/>
          <w:sz w:val="24"/>
          <w:highlight w:val="none"/>
        </w:rPr>
        <w:t>（二）合同条款响</w:t>
      </w:r>
      <w:r>
        <w:rPr>
          <w:rFonts w:hint="eastAsia" w:ascii="宋体" w:hAnsi="宋体" w:eastAsia="宋体"/>
          <w:w w:val="1"/>
          <w:sz w:val="24"/>
          <w:highlight w:val="none"/>
        </w:rPr>
        <w:t xml:space="preserve"> </w:t>
      </w:r>
      <w:r>
        <w:rPr>
          <w:rFonts w:hint="eastAsia" w:ascii="宋体" w:hAnsi="宋体" w:eastAsia="宋体"/>
          <w:sz w:val="24"/>
          <w:highlight w:val="none"/>
        </w:rPr>
        <w:t>应</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8"/>
        <w:gridCol w:w="1549"/>
        <w:gridCol w:w="2518"/>
        <w:gridCol w:w="2533"/>
        <w:gridCol w:w="1282"/>
      </w:tblGrid>
      <w:tr w14:paraId="29E8EC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tcBorders>
              <w:top w:val="single" w:color="auto" w:sz="12" w:space="0"/>
              <w:bottom w:val="single" w:color="auto" w:sz="2" w:space="0"/>
            </w:tcBorders>
            <w:shd w:val="clear" w:color="auto" w:fill="F1F1F1" w:themeFill="background1" w:themeFillShade="F2"/>
            <w:vAlign w:val="center"/>
          </w:tcPr>
          <w:p w14:paraId="3D106B9D">
            <w:pPr>
              <w:spacing w:line="320" w:lineRule="exact"/>
              <w:jc w:val="center"/>
              <w:rPr>
                <w:b/>
                <w:highlight w:val="none"/>
              </w:rPr>
            </w:pPr>
            <w:r>
              <w:rPr>
                <w:rFonts w:hint="eastAsia"/>
                <w:b/>
                <w:highlight w:val="none"/>
              </w:rPr>
              <w:t>序号</w:t>
            </w:r>
          </w:p>
        </w:tc>
        <w:tc>
          <w:tcPr>
            <w:tcW w:w="1549" w:type="dxa"/>
            <w:tcBorders>
              <w:top w:val="single" w:color="auto" w:sz="12" w:space="0"/>
              <w:bottom w:val="single" w:color="auto" w:sz="2" w:space="0"/>
            </w:tcBorders>
            <w:shd w:val="clear" w:color="auto" w:fill="F1F1F1" w:themeFill="background1" w:themeFillShade="F2"/>
            <w:vAlign w:val="center"/>
          </w:tcPr>
          <w:p w14:paraId="7E38A1C0">
            <w:pPr>
              <w:spacing w:line="320" w:lineRule="exact"/>
              <w:jc w:val="center"/>
              <w:rPr>
                <w:b/>
                <w:highlight w:val="none"/>
              </w:rPr>
            </w:pPr>
            <w:r>
              <w:rPr>
                <w:rFonts w:hint="eastAsia"/>
                <w:b/>
                <w:highlight w:val="none"/>
              </w:rPr>
              <w:t>条款名称</w:t>
            </w:r>
          </w:p>
        </w:tc>
        <w:tc>
          <w:tcPr>
            <w:tcW w:w="2518" w:type="dxa"/>
            <w:tcBorders>
              <w:top w:val="single" w:color="auto" w:sz="12" w:space="0"/>
              <w:bottom w:val="single" w:color="auto" w:sz="2" w:space="0"/>
            </w:tcBorders>
            <w:shd w:val="clear" w:color="auto" w:fill="F1F1F1" w:themeFill="background1" w:themeFillShade="F2"/>
            <w:vAlign w:val="center"/>
          </w:tcPr>
          <w:p w14:paraId="4EFB89FE">
            <w:pPr>
              <w:spacing w:line="320" w:lineRule="exact"/>
              <w:jc w:val="center"/>
              <w:rPr>
                <w:b/>
                <w:highlight w:val="none"/>
              </w:rPr>
            </w:pPr>
            <w:r>
              <w:rPr>
                <w:rFonts w:hint="eastAsia"/>
                <w:b/>
                <w:highlight w:val="none"/>
              </w:rPr>
              <w:t>招标文件合同条款明细</w:t>
            </w:r>
          </w:p>
        </w:tc>
        <w:tc>
          <w:tcPr>
            <w:tcW w:w="2533" w:type="dxa"/>
            <w:tcBorders>
              <w:top w:val="single" w:color="auto" w:sz="12" w:space="0"/>
              <w:bottom w:val="single" w:color="auto" w:sz="2" w:space="0"/>
            </w:tcBorders>
            <w:shd w:val="clear" w:color="auto" w:fill="F1F1F1" w:themeFill="background1" w:themeFillShade="F2"/>
            <w:vAlign w:val="center"/>
          </w:tcPr>
          <w:p w14:paraId="6FDA6D5E">
            <w:pPr>
              <w:spacing w:line="320" w:lineRule="exact"/>
              <w:jc w:val="center"/>
              <w:rPr>
                <w:b/>
                <w:highlight w:val="none"/>
              </w:rPr>
            </w:pPr>
            <w:r>
              <w:rPr>
                <w:rFonts w:hint="eastAsia"/>
                <w:b/>
                <w:highlight w:val="none"/>
              </w:rPr>
              <w:t>投标文件合同条款响</w:t>
            </w:r>
            <w:r>
              <w:rPr>
                <w:rFonts w:hint="eastAsia"/>
                <w:b/>
                <w:w w:val="1"/>
                <w:highlight w:val="none"/>
              </w:rPr>
              <w:t xml:space="preserve"> </w:t>
            </w:r>
            <w:r>
              <w:rPr>
                <w:rFonts w:hint="eastAsia"/>
                <w:b/>
                <w:highlight w:val="none"/>
              </w:rPr>
              <w:t>应</w:t>
            </w:r>
          </w:p>
        </w:tc>
        <w:tc>
          <w:tcPr>
            <w:tcW w:w="1282" w:type="dxa"/>
            <w:tcBorders>
              <w:top w:val="single" w:color="auto" w:sz="12" w:space="0"/>
              <w:bottom w:val="single" w:color="auto" w:sz="2" w:space="0"/>
            </w:tcBorders>
            <w:shd w:val="clear" w:color="auto" w:fill="F1F1F1" w:themeFill="background1" w:themeFillShade="F2"/>
            <w:vAlign w:val="center"/>
          </w:tcPr>
          <w:p w14:paraId="3A8C71E3">
            <w:pPr>
              <w:spacing w:line="320" w:lineRule="exact"/>
              <w:jc w:val="center"/>
              <w:rPr>
                <w:b/>
                <w:highlight w:val="none"/>
              </w:rPr>
            </w:pPr>
            <w:r>
              <w:rPr>
                <w:rFonts w:hint="eastAsia"/>
                <w:b/>
                <w:highlight w:val="none"/>
              </w:rPr>
              <w:t>响</w:t>
            </w:r>
            <w:r>
              <w:rPr>
                <w:rFonts w:hint="eastAsia"/>
                <w:b/>
                <w:w w:val="1"/>
                <w:highlight w:val="none"/>
              </w:rPr>
              <w:t xml:space="preserve"> </w:t>
            </w:r>
            <w:r>
              <w:rPr>
                <w:rFonts w:hint="eastAsia"/>
                <w:b/>
                <w:highlight w:val="none"/>
              </w:rPr>
              <w:t>应说明</w:t>
            </w:r>
          </w:p>
        </w:tc>
      </w:tr>
      <w:tr w14:paraId="6B69F1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tcBorders>
              <w:top w:val="single" w:color="auto" w:sz="2" w:space="0"/>
            </w:tcBorders>
            <w:vAlign w:val="center"/>
          </w:tcPr>
          <w:p w14:paraId="3CFF7231">
            <w:pPr>
              <w:spacing w:line="320" w:lineRule="exact"/>
              <w:rPr>
                <w:highlight w:val="none"/>
              </w:rPr>
            </w:pPr>
          </w:p>
        </w:tc>
        <w:tc>
          <w:tcPr>
            <w:tcW w:w="1549" w:type="dxa"/>
            <w:tcBorders>
              <w:top w:val="single" w:color="auto" w:sz="2" w:space="0"/>
            </w:tcBorders>
            <w:vAlign w:val="center"/>
          </w:tcPr>
          <w:p w14:paraId="6A3B2B5B">
            <w:pPr>
              <w:spacing w:line="320" w:lineRule="exact"/>
              <w:rPr>
                <w:highlight w:val="none"/>
              </w:rPr>
            </w:pPr>
          </w:p>
        </w:tc>
        <w:tc>
          <w:tcPr>
            <w:tcW w:w="2518" w:type="dxa"/>
            <w:tcBorders>
              <w:top w:val="single" w:color="auto" w:sz="2" w:space="0"/>
            </w:tcBorders>
            <w:vAlign w:val="center"/>
          </w:tcPr>
          <w:p w14:paraId="1BBF61ED">
            <w:pPr>
              <w:spacing w:line="320" w:lineRule="exact"/>
              <w:rPr>
                <w:highlight w:val="none"/>
              </w:rPr>
            </w:pPr>
          </w:p>
        </w:tc>
        <w:tc>
          <w:tcPr>
            <w:tcW w:w="2533" w:type="dxa"/>
            <w:tcBorders>
              <w:top w:val="single" w:color="auto" w:sz="2" w:space="0"/>
            </w:tcBorders>
            <w:vAlign w:val="center"/>
          </w:tcPr>
          <w:p w14:paraId="567F7016">
            <w:pPr>
              <w:spacing w:line="320" w:lineRule="exact"/>
              <w:rPr>
                <w:highlight w:val="none"/>
              </w:rPr>
            </w:pPr>
          </w:p>
        </w:tc>
        <w:tc>
          <w:tcPr>
            <w:tcW w:w="1282" w:type="dxa"/>
            <w:tcBorders>
              <w:top w:val="single" w:color="auto" w:sz="2" w:space="0"/>
            </w:tcBorders>
            <w:vAlign w:val="center"/>
          </w:tcPr>
          <w:p w14:paraId="4E02B62C">
            <w:pPr>
              <w:spacing w:line="320" w:lineRule="exact"/>
              <w:rPr>
                <w:highlight w:val="none"/>
              </w:rPr>
            </w:pPr>
          </w:p>
        </w:tc>
      </w:tr>
      <w:tr w14:paraId="447BB9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55F9448D">
            <w:pPr>
              <w:spacing w:line="320" w:lineRule="exact"/>
              <w:rPr>
                <w:highlight w:val="none"/>
              </w:rPr>
            </w:pPr>
          </w:p>
        </w:tc>
        <w:tc>
          <w:tcPr>
            <w:tcW w:w="1549" w:type="dxa"/>
            <w:vAlign w:val="center"/>
          </w:tcPr>
          <w:p w14:paraId="10E0031A">
            <w:pPr>
              <w:spacing w:line="320" w:lineRule="exact"/>
              <w:rPr>
                <w:highlight w:val="none"/>
              </w:rPr>
            </w:pPr>
          </w:p>
        </w:tc>
        <w:tc>
          <w:tcPr>
            <w:tcW w:w="2518" w:type="dxa"/>
            <w:vAlign w:val="center"/>
          </w:tcPr>
          <w:p w14:paraId="40607CDC">
            <w:pPr>
              <w:spacing w:line="320" w:lineRule="exact"/>
              <w:rPr>
                <w:highlight w:val="none"/>
              </w:rPr>
            </w:pPr>
          </w:p>
        </w:tc>
        <w:tc>
          <w:tcPr>
            <w:tcW w:w="2533" w:type="dxa"/>
            <w:vAlign w:val="center"/>
          </w:tcPr>
          <w:p w14:paraId="48B994DA">
            <w:pPr>
              <w:spacing w:line="320" w:lineRule="exact"/>
              <w:rPr>
                <w:highlight w:val="none"/>
              </w:rPr>
            </w:pPr>
          </w:p>
        </w:tc>
        <w:tc>
          <w:tcPr>
            <w:tcW w:w="1282" w:type="dxa"/>
            <w:vAlign w:val="center"/>
          </w:tcPr>
          <w:p w14:paraId="7F9DD37A">
            <w:pPr>
              <w:spacing w:line="320" w:lineRule="exact"/>
              <w:rPr>
                <w:highlight w:val="none"/>
              </w:rPr>
            </w:pPr>
          </w:p>
        </w:tc>
      </w:tr>
      <w:tr w14:paraId="40E181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142991BF">
            <w:pPr>
              <w:spacing w:line="320" w:lineRule="exact"/>
              <w:rPr>
                <w:highlight w:val="none"/>
              </w:rPr>
            </w:pPr>
          </w:p>
        </w:tc>
        <w:tc>
          <w:tcPr>
            <w:tcW w:w="1549" w:type="dxa"/>
            <w:vAlign w:val="center"/>
          </w:tcPr>
          <w:p w14:paraId="5BE747FA">
            <w:pPr>
              <w:spacing w:line="320" w:lineRule="exact"/>
              <w:rPr>
                <w:highlight w:val="none"/>
              </w:rPr>
            </w:pPr>
          </w:p>
        </w:tc>
        <w:tc>
          <w:tcPr>
            <w:tcW w:w="2518" w:type="dxa"/>
            <w:vAlign w:val="center"/>
          </w:tcPr>
          <w:p w14:paraId="66317DE8">
            <w:pPr>
              <w:spacing w:line="320" w:lineRule="exact"/>
              <w:rPr>
                <w:highlight w:val="none"/>
              </w:rPr>
            </w:pPr>
          </w:p>
        </w:tc>
        <w:tc>
          <w:tcPr>
            <w:tcW w:w="2533" w:type="dxa"/>
            <w:vAlign w:val="center"/>
          </w:tcPr>
          <w:p w14:paraId="5CDE926B">
            <w:pPr>
              <w:spacing w:line="320" w:lineRule="exact"/>
              <w:rPr>
                <w:highlight w:val="none"/>
              </w:rPr>
            </w:pPr>
          </w:p>
        </w:tc>
        <w:tc>
          <w:tcPr>
            <w:tcW w:w="1282" w:type="dxa"/>
            <w:vAlign w:val="center"/>
          </w:tcPr>
          <w:p w14:paraId="668F4ECD">
            <w:pPr>
              <w:spacing w:line="320" w:lineRule="exact"/>
              <w:rPr>
                <w:highlight w:val="none"/>
              </w:rPr>
            </w:pPr>
          </w:p>
        </w:tc>
      </w:tr>
      <w:tr w14:paraId="399FBA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2426FA5C">
            <w:pPr>
              <w:spacing w:line="320" w:lineRule="exact"/>
              <w:rPr>
                <w:highlight w:val="none"/>
              </w:rPr>
            </w:pPr>
          </w:p>
        </w:tc>
        <w:tc>
          <w:tcPr>
            <w:tcW w:w="1549" w:type="dxa"/>
            <w:vAlign w:val="center"/>
          </w:tcPr>
          <w:p w14:paraId="59BD44EB">
            <w:pPr>
              <w:spacing w:line="320" w:lineRule="exact"/>
              <w:rPr>
                <w:highlight w:val="none"/>
              </w:rPr>
            </w:pPr>
          </w:p>
        </w:tc>
        <w:tc>
          <w:tcPr>
            <w:tcW w:w="2518" w:type="dxa"/>
            <w:vAlign w:val="center"/>
          </w:tcPr>
          <w:p w14:paraId="41F0EAF6">
            <w:pPr>
              <w:spacing w:line="320" w:lineRule="exact"/>
              <w:rPr>
                <w:highlight w:val="none"/>
              </w:rPr>
            </w:pPr>
          </w:p>
        </w:tc>
        <w:tc>
          <w:tcPr>
            <w:tcW w:w="2533" w:type="dxa"/>
            <w:vAlign w:val="center"/>
          </w:tcPr>
          <w:p w14:paraId="595A802A">
            <w:pPr>
              <w:spacing w:line="320" w:lineRule="exact"/>
              <w:rPr>
                <w:highlight w:val="none"/>
              </w:rPr>
            </w:pPr>
          </w:p>
        </w:tc>
        <w:tc>
          <w:tcPr>
            <w:tcW w:w="1282" w:type="dxa"/>
            <w:vAlign w:val="center"/>
          </w:tcPr>
          <w:p w14:paraId="48171054">
            <w:pPr>
              <w:spacing w:line="320" w:lineRule="exact"/>
              <w:rPr>
                <w:highlight w:val="none"/>
              </w:rPr>
            </w:pPr>
          </w:p>
        </w:tc>
      </w:tr>
      <w:tr w14:paraId="1DD28D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38942A9A">
            <w:pPr>
              <w:spacing w:line="320" w:lineRule="exact"/>
              <w:jc w:val="both"/>
              <w:rPr>
                <w:highlight w:val="none"/>
              </w:rPr>
            </w:pPr>
          </w:p>
        </w:tc>
        <w:tc>
          <w:tcPr>
            <w:tcW w:w="1549" w:type="dxa"/>
            <w:vAlign w:val="center"/>
          </w:tcPr>
          <w:p w14:paraId="6600110A">
            <w:pPr>
              <w:spacing w:line="320" w:lineRule="exact"/>
              <w:jc w:val="both"/>
              <w:rPr>
                <w:highlight w:val="none"/>
              </w:rPr>
            </w:pPr>
          </w:p>
        </w:tc>
        <w:tc>
          <w:tcPr>
            <w:tcW w:w="2518" w:type="dxa"/>
            <w:vAlign w:val="center"/>
          </w:tcPr>
          <w:p w14:paraId="50058840">
            <w:pPr>
              <w:spacing w:line="320" w:lineRule="exact"/>
              <w:jc w:val="both"/>
              <w:rPr>
                <w:highlight w:val="none"/>
              </w:rPr>
            </w:pPr>
          </w:p>
        </w:tc>
        <w:tc>
          <w:tcPr>
            <w:tcW w:w="2533" w:type="dxa"/>
            <w:vAlign w:val="center"/>
          </w:tcPr>
          <w:p w14:paraId="50FC2467">
            <w:pPr>
              <w:spacing w:line="320" w:lineRule="exact"/>
              <w:jc w:val="both"/>
              <w:rPr>
                <w:highlight w:val="none"/>
              </w:rPr>
            </w:pPr>
          </w:p>
        </w:tc>
        <w:tc>
          <w:tcPr>
            <w:tcW w:w="1282" w:type="dxa"/>
            <w:vAlign w:val="center"/>
          </w:tcPr>
          <w:p w14:paraId="6DB46D66">
            <w:pPr>
              <w:spacing w:line="320" w:lineRule="exact"/>
              <w:jc w:val="both"/>
              <w:rPr>
                <w:highlight w:val="none"/>
              </w:rPr>
            </w:pPr>
          </w:p>
        </w:tc>
      </w:tr>
      <w:tr w14:paraId="034D66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5E822DD3">
            <w:pPr>
              <w:spacing w:line="320" w:lineRule="exact"/>
              <w:jc w:val="both"/>
              <w:rPr>
                <w:highlight w:val="none"/>
              </w:rPr>
            </w:pPr>
          </w:p>
        </w:tc>
        <w:tc>
          <w:tcPr>
            <w:tcW w:w="1549" w:type="dxa"/>
            <w:vAlign w:val="center"/>
          </w:tcPr>
          <w:p w14:paraId="0025211C">
            <w:pPr>
              <w:spacing w:line="320" w:lineRule="exact"/>
              <w:jc w:val="both"/>
              <w:rPr>
                <w:highlight w:val="none"/>
              </w:rPr>
            </w:pPr>
          </w:p>
        </w:tc>
        <w:tc>
          <w:tcPr>
            <w:tcW w:w="2518" w:type="dxa"/>
            <w:vAlign w:val="center"/>
          </w:tcPr>
          <w:p w14:paraId="638E3671">
            <w:pPr>
              <w:spacing w:line="320" w:lineRule="exact"/>
              <w:jc w:val="both"/>
              <w:rPr>
                <w:highlight w:val="none"/>
              </w:rPr>
            </w:pPr>
          </w:p>
        </w:tc>
        <w:tc>
          <w:tcPr>
            <w:tcW w:w="2533" w:type="dxa"/>
            <w:vAlign w:val="center"/>
          </w:tcPr>
          <w:p w14:paraId="5A26BF23">
            <w:pPr>
              <w:spacing w:line="320" w:lineRule="exact"/>
              <w:jc w:val="both"/>
              <w:rPr>
                <w:highlight w:val="none"/>
              </w:rPr>
            </w:pPr>
          </w:p>
        </w:tc>
        <w:tc>
          <w:tcPr>
            <w:tcW w:w="1282" w:type="dxa"/>
            <w:vAlign w:val="center"/>
          </w:tcPr>
          <w:p w14:paraId="4C430FCE">
            <w:pPr>
              <w:spacing w:line="320" w:lineRule="exact"/>
              <w:jc w:val="both"/>
              <w:rPr>
                <w:highlight w:val="none"/>
              </w:rPr>
            </w:pPr>
          </w:p>
        </w:tc>
      </w:tr>
      <w:tr w14:paraId="123FD2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1D5CA729">
            <w:pPr>
              <w:spacing w:line="320" w:lineRule="exact"/>
              <w:jc w:val="both"/>
              <w:rPr>
                <w:highlight w:val="none"/>
              </w:rPr>
            </w:pPr>
          </w:p>
        </w:tc>
        <w:tc>
          <w:tcPr>
            <w:tcW w:w="1549" w:type="dxa"/>
            <w:vAlign w:val="center"/>
          </w:tcPr>
          <w:p w14:paraId="19AFF409">
            <w:pPr>
              <w:spacing w:line="320" w:lineRule="exact"/>
              <w:jc w:val="both"/>
              <w:rPr>
                <w:highlight w:val="none"/>
              </w:rPr>
            </w:pPr>
          </w:p>
        </w:tc>
        <w:tc>
          <w:tcPr>
            <w:tcW w:w="2518" w:type="dxa"/>
            <w:vAlign w:val="center"/>
          </w:tcPr>
          <w:p w14:paraId="04FD9BFC">
            <w:pPr>
              <w:spacing w:line="320" w:lineRule="exact"/>
              <w:jc w:val="both"/>
              <w:rPr>
                <w:highlight w:val="none"/>
              </w:rPr>
            </w:pPr>
          </w:p>
        </w:tc>
        <w:tc>
          <w:tcPr>
            <w:tcW w:w="2533" w:type="dxa"/>
            <w:vAlign w:val="center"/>
          </w:tcPr>
          <w:p w14:paraId="031CA38F">
            <w:pPr>
              <w:spacing w:line="320" w:lineRule="exact"/>
              <w:jc w:val="both"/>
              <w:rPr>
                <w:highlight w:val="none"/>
              </w:rPr>
            </w:pPr>
          </w:p>
        </w:tc>
        <w:tc>
          <w:tcPr>
            <w:tcW w:w="1282" w:type="dxa"/>
            <w:vAlign w:val="center"/>
          </w:tcPr>
          <w:p w14:paraId="24350E05">
            <w:pPr>
              <w:spacing w:line="320" w:lineRule="exact"/>
              <w:jc w:val="both"/>
              <w:rPr>
                <w:highlight w:val="none"/>
              </w:rPr>
            </w:pPr>
          </w:p>
        </w:tc>
      </w:tr>
      <w:tr w14:paraId="5D8DFD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7EE2AED6">
            <w:pPr>
              <w:spacing w:line="320" w:lineRule="exact"/>
              <w:jc w:val="center"/>
              <w:rPr>
                <w:highlight w:val="none"/>
              </w:rPr>
            </w:pPr>
            <w:r>
              <w:rPr>
                <w:rFonts w:hint="eastAsia"/>
                <w:highlight w:val="none"/>
              </w:rPr>
              <w:t>备注</w:t>
            </w:r>
          </w:p>
        </w:tc>
        <w:tc>
          <w:tcPr>
            <w:tcW w:w="7882" w:type="dxa"/>
            <w:gridSpan w:val="4"/>
            <w:vAlign w:val="center"/>
          </w:tcPr>
          <w:p w14:paraId="5CD4821E">
            <w:pPr>
              <w:spacing w:line="320" w:lineRule="exact"/>
              <w:ind w:left="284" w:hanging="284"/>
              <w:jc w:val="both"/>
              <w:rPr>
                <w:highlight w:val="none"/>
              </w:rPr>
            </w:pPr>
            <w:r>
              <w:rPr>
                <w:rFonts w:hint="eastAsia"/>
                <w:highlight w:val="none"/>
              </w:rPr>
              <w:t>1．“完全接受”的条款无需在本表中列出，按表下方所做“声明”执行；对于需要</w:t>
            </w:r>
            <w:r>
              <w:rPr>
                <w:rFonts w:hint="eastAsia"/>
                <w:highlight w:val="none"/>
                <w:lang w:eastAsia="zh-CN"/>
              </w:rPr>
              <w:t>投标人</w:t>
            </w:r>
            <w:r>
              <w:rPr>
                <w:rFonts w:hint="eastAsia"/>
                <w:highlight w:val="none"/>
              </w:rPr>
              <w:t>填报的内容，以及“不能接受”或“有条件接受”的条款，则应写明该条款名称及条款明细、以及</w:t>
            </w:r>
            <w:r>
              <w:rPr>
                <w:rFonts w:hint="eastAsia"/>
                <w:highlight w:val="none"/>
                <w:lang w:eastAsia="zh-CN"/>
              </w:rPr>
              <w:t>投标人</w:t>
            </w:r>
            <w:r>
              <w:rPr>
                <w:rFonts w:hint="eastAsia"/>
                <w:highlight w:val="none"/>
              </w:rPr>
              <w:t>所能接受的条件。</w:t>
            </w:r>
          </w:p>
          <w:p w14:paraId="4A639204">
            <w:pPr>
              <w:spacing w:line="320" w:lineRule="exact"/>
              <w:ind w:left="284" w:hanging="284"/>
              <w:jc w:val="both"/>
              <w:rPr>
                <w:highlight w:val="none"/>
              </w:rPr>
            </w:pPr>
            <w:r>
              <w:rPr>
                <w:rFonts w:hint="eastAsia"/>
                <w:highlight w:val="none"/>
              </w:rPr>
              <w:t>2．根据《政府采购货物和服务招标投标管理办法》（财政部87号令）第六十三条，若投标文件含有</w:t>
            </w:r>
            <w:r>
              <w:rPr>
                <w:rFonts w:hint="eastAsia"/>
                <w:highlight w:val="none"/>
                <w:lang w:eastAsia="zh-CN"/>
              </w:rPr>
              <w:t>招标人</w:t>
            </w:r>
            <w:r>
              <w:rPr>
                <w:rFonts w:hint="eastAsia"/>
                <w:highlight w:val="none"/>
              </w:rPr>
              <w:t>不能接受的附加条件的，投标无效。</w:t>
            </w:r>
          </w:p>
          <w:p w14:paraId="2299B890">
            <w:pPr>
              <w:spacing w:line="320" w:lineRule="exact"/>
              <w:ind w:left="284" w:hanging="284"/>
              <w:jc w:val="both"/>
              <w:rPr>
                <w:highlight w:val="none"/>
              </w:rPr>
            </w:pPr>
            <w:r>
              <w:rPr>
                <w:rFonts w:hint="eastAsia"/>
                <w:highlight w:val="none"/>
              </w:rPr>
              <w:t>3．因表格空间因有限，不足以容纳响应内容时，允许在表后进行响</w:t>
            </w:r>
            <w:r>
              <w:rPr>
                <w:rFonts w:hint="eastAsia"/>
                <w:w w:val="1"/>
                <w:highlight w:val="none"/>
              </w:rPr>
              <w:t xml:space="preserve"> </w:t>
            </w:r>
            <w:r>
              <w:rPr>
                <w:rFonts w:hint="eastAsia"/>
                <w:highlight w:val="none"/>
              </w:rPr>
              <w:t>应，但须在表中注明引用位置，如“见本表下方3.1.1”。</w:t>
            </w:r>
          </w:p>
        </w:tc>
      </w:tr>
    </w:tbl>
    <w:p w14:paraId="7C41298E">
      <w:pPr>
        <w:pStyle w:val="75"/>
        <w:ind w:firstLine="480"/>
        <w:rPr>
          <w:rFonts w:ascii="宋体" w:hAnsi="宋体" w:cs="宋体"/>
          <w:color w:val="auto"/>
          <w:highlight w:val="none"/>
        </w:rPr>
      </w:pPr>
      <w:r>
        <w:rPr>
          <w:rFonts w:hint="eastAsia" w:ascii="宋体" w:hAnsi="宋体" w:cs="宋体"/>
          <w:color w:val="auto"/>
          <w:highlight w:val="none"/>
        </w:rPr>
        <w:t>声明：除上表所列的合同条款外，招标文件中的其他合同条款我方均完全接受。</w:t>
      </w:r>
    </w:p>
    <w:p w14:paraId="26C4FA21">
      <w:pPr>
        <w:pStyle w:val="75"/>
        <w:ind w:firstLine="480"/>
        <w:rPr>
          <w:rFonts w:ascii="宋体" w:hAnsi="宋体" w:cs="宋体"/>
          <w:color w:val="auto"/>
          <w:highlight w:val="none"/>
        </w:rPr>
      </w:pPr>
      <w:r>
        <w:rPr>
          <w:rFonts w:hint="eastAsia" w:ascii="宋体" w:hAnsi="宋体" w:cs="宋体"/>
          <w:color w:val="auto"/>
          <w:highlight w:val="none"/>
        </w:rPr>
        <w:t>投标人：（投标人全称并加盖公章）</w:t>
      </w:r>
    </w:p>
    <w:p w14:paraId="074FC594">
      <w:pPr>
        <w:rPr>
          <w:kern w:val="24"/>
          <w:highlight w:val="none"/>
        </w:rPr>
      </w:pPr>
      <w:r>
        <w:rPr>
          <w:rFonts w:hint="eastAsia"/>
          <w:highlight w:val="none"/>
        </w:rPr>
        <w:br w:type="page"/>
      </w:r>
    </w:p>
    <w:p w14:paraId="50B5B96C">
      <w:pPr>
        <w:pStyle w:val="77"/>
        <w:rPr>
          <w:rFonts w:ascii="宋体" w:hAnsi="宋体" w:eastAsia="宋体"/>
          <w:sz w:val="24"/>
          <w:highlight w:val="none"/>
        </w:rPr>
      </w:pPr>
      <w:r>
        <w:rPr>
          <w:rFonts w:hint="eastAsia" w:ascii="宋体" w:hAnsi="宋体" w:eastAsia="宋体"/>
          <w:sz w:val="24"/>
          <w:highlight w:val="none"/>
        </w:rPr>
        <w:t>（</w:t>
      </w:r>
      <w:r>
        <w:rPr>
          <w:rFonts w:hint="eastAsia" w:ascii="宋体" w:hAnsi="宋体" w:eastAsia="宋体"/>
          <w:sz w:val="24"/>
          <w:highlight w:val="none"/>
          <w:lang w:val="en-US" w:eastAsia="zh-CN"/>
        </w:rPr>
        <w:t>三</w:t>
      </w:r>
      <w:r>
        <w:rPr>
          <w:rFonts w:hint="eastAsia" w:ascii="宋体" w:hAnsi="宋体" w:eastAsia="宋体"/>
          <w:sz w:val="24"/>
          <w:highlight w:val="none"/>
        </w:rPr>
        <w:t>）其他需要投标人提供的材料</w:t>
      </w:r>
    </w:p>
    <w:p w14:paraId="0EE4E54C">
      <w:pPr>
        <w:spacing w:before="120" w:beforeLines="50" w:line="480" w:lineRule="exact"/>
        <w:rPr>
          <w:b/>
          <w:highlight w:val="none"/>
        </w:rPr>
      </w:pPr>
      <w:r>
        <w:rPr>
          <w:rFonts w:hint="eastAsia"/>
          <w:b/>
          <w:highlight w:val="none"/>
        </w:rPr>
        <w:t>1．项目实施人员情况表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14:paraId="004C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14:paraId="2A9B9829">
            <w:pPr>
              <w:pStyle w:val="70"/>
              <w:numPr>
                <w:ilvl w:val="0"/>
                <w:numId w:val="46"/>
              </w:numPr>
              <w:rPr>
                <w:highlight w:val="none"/>
              </w:rPr>
            </w:pPr>
            <w:r>
              <w:rPr>
                <w:rFonts w:hint="eastAsia"/>
                <w:highlight w:val="none"/>
              </w:rPr>
              <w:t>项目经理</w:t>
            </w:r>
          </w:p>
        </w:tc>
      </w:tr>
      <w:tr w14:paraId="37DD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45238A09">
            <w:pPr>
              <w:jc w:val="center"/>
              <w:rPr>
                <w:highlight w:val="none"/>
              </w:rPr>
            </w:pPr>
            <w:r>
              <w:rPr>
                <w:rFonts w:hint="eastAsia"/>
                <w:highlight w:val="none"/>
              </w:rPr>
              <w:t>姓名</w:t>
            </w:r>
          </w:p>
        </w:tc>
        <w:tc>
          <w:tcPr>
            <w:tcW w:w="969" w:type="dxa"/>
            <w:tcBorders>
              <w:left w:val="single" w:color="auto" w:sz="6" w:space="0"/>
            </w:tcBorders>
            <w:vAlign w:val="center"/>
          </w:tcPr>
          <w:p w14:paraId="287DF513">
            <w:pPr>
              <w:jc w:val="center"/>
              <w:rPr>
                <w:highlight w:val="none"/>
              </w:rPr>
            </w:pPr>
            <w:r>
              <w:rPr>
                <w:rFonts w:hint="eastAsia"/>
                <w:highlight w:val="none"/>
              </w:rPr>
              <w:t>年龄</w:t>
            </w:r>
          </w:p>
        </w:tc>
        <w:tc>
          <w:tcPr>
            <w:tcW w:w="1260" w:type="dxa"/>
            <w:vAlign w:val="center"/>
          </w:tcPr>
          <w:p w14:paraId="7F2290AC">
            <w:pPr>
              <w:jc w:val="center"/>
              <w:rPr>
                <w:highlight w:val="none"/>
              </w:rPr>
            </w:pPr>
            <w:r>
              <w:rPr>
                <w:rFonts w:hint="eastAsia"/>
                <w:highlight w:val="none"/>
              </w:rPr>
              <w:t>资格</w:t>
            </w:r>
          </w:p>
        </w:tc>
        <w:tc>
          <w:tcPr>
            <w:tcW w:w="1387" w:type="dxa"/>
            <w:gridSpan w:val="2"/>
            <w:vAlign w:val="center"/>
          </w:tcPr>
          <w:p w14:paraId="3AC37EA0">
            <w:pPr>
              <w:jc w:val="center"/>
              <w:rPr>
                <w:highlight w:val="none"/>
              </w:rPr>
            </w:pPr>
            <w:r>
              <w:rPr>
                <w:rFonts w:hint="eastAsia"/>
                <w:highlight w:val="none"/>
              </w:rPr>
              <w:t>职称</w:t>
            </w:r>
          </w:p>
        </w:tc>
        <w:tc>
          <w:tcPr>
            <w:tcW w:w="1604" w:type="dxa"/>
            <w:gridSpan w:val="3"/>
            <w:vAlign w:val="center"/>
          </w:tcPr>
          <w:p w14:paraId="1E5E59DA">
            <w:pPr>
              <w:spacing w:line="280" w:lineRule="exact"/>
              <w:jc w:val="center"/>
              <w:rPr>
                <w:highlight w:val="none"/>
              </w:rPr>
            </w:pPr>
            <w:r>
              <w:rPr>
                <w:rFonts w:hint="eastAsia"/>
                <w:highlight w:val="none"/>
              </w:rPr>
              <w:t>在本行业从业工作年限</w:t>
            </w:r>
          </w:p>
        </w:tc>
        <w:tc>
          <w:tcPr>
            <w:tcW w:w="1740" w:type="dxa"/>
            <w:tcBorders>
              <w:right w:val="single" w:color="auto" w:sz="2" w:space="0"/>
            </w:tcBorders>
            <w:vAlign w:val="center"/>
          </w:tcPr>
          <w:p w14:paraId="69DC59CF">
            <w:pPr>
              <w:spacing w:line="240" w:lineRule="exact"/>
              <w:jc w:val="center"/>
              <w:rPr>
                <w:highlight w:val="none"/>
              </w:rPr>
            </w:pPr>
            <w:r>
              <w:rPr>
                <w:rFonts w:hint="eastAsia"/>
                <w:highlight w:val="none"/>
              </w:rPr>
              <w:t>主要工作</w:t>
            </w:r>
          </w:p>
          <w:p w14:paraId="76352ACC">
            <w:pPr>
              <w:spacing w:line="240" w:lineRule="exact"/>
              <w:jc w:val="center"/>
              <w:rPr>
                <w:highlight w:val="none"/>
              </w:rPr>
            </w:pPr>
            <w:r>
              <w:rPr>
                <w:rFonts w:hint="eastAsia"/>
                <w:highlight w:val="none"/>
              </w:rPr>
              <w:t>业绩和经历</w:t>
            </w:r>
          </w:p>
        </w:tc>
        <w:tc>
          <w:tcPr>
            <w:tcW w:w="1091" w:type="dxa"/>
            <w:gridSpan w:val="2"/>
            <w:tcBorders>
              <w:left w:val="single" w:color="auto" w:sz="2" w:space="0"/>
              <w:right w:val="single" w:color="auto" w:sz="12" w:space="0"/>
            </w:tcBorders>
            <w:vAlign w:val="center"/>
          </w:tcPr>
          <w:p w14:paraId="0A7765B9">
            <w:pPr>
              <w:spacing w:line="240" w:lineRule="exact"/>
              <w:jc w:val="center"/>
              <w:rPr>
                <w:highlight w:val="none"/>
              </w:rPr>
            </w:pPr>
            <w:r>
              <w:rPr>
                <w:rFonts w:hint="eastAsia"/>
                <w:highlight w:val="none"/>
              </w:rPr>
              <w:t>拟派</w:t>
            </w:r>
          </w:p>
          <w:p w14:paraId="63AB2F47">
            <w:pPr>
              <w:spacing w:line="240" w:lineRule="exact"/>
              <w:jc w:val="center"/>
              <w:rPr>
                <w:highlight w:val="none"/>
              </w:rPr>
            </w:pPr>
            <w:r>
              <w:rPr>
                <w:rFonts w:hint="eastAsia"/>
                <w:highlight w:val="none"/>
              </w:rPr>
              <w:t>分工</w:t>
            </w:r>
          </w:p>
        </w:tc>
      </w:tr>
      <w:tr w14:paraId="5DDE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D1531F1">
            <w:pPr>
              <w:rPr>
                <w:highlight w:val="none"/>
              </w:rPr>
            </w:pPr>
          </w:p>
        </w:tc>
        <w:tc>
          <w:tcPr>
            <w:tcW w:w="969" w:type="dxa"/>
            <w:tcBorders>
              <w:left w:val="single" w:color="auto" w:sz="6" w:space="0"/>
            </w:tcBorders>
            <w:vAlign w:val="center"/>
          </w:tcPr>
          <w:p w14:paraId="0010DA81">
            <w:pPr>
              <w:rPr>
                <w:highlight w:val="none"/>
              </w:rPr>
            </w:pPr>
          </w:p>
        </w:tc>
        <w:tc>
          <w:tcPr>
            <w:tcW w:w="1260" w:type="dxa"/>
            <w:vAlign w:val="center"/>
          </w:tcPr>
          <w:p w14:paraId="782C9C0E">
            <w:pPr>
              <w:rPr>
                <w:highlight w:val="none"/>
              </w:rPr>
            </w:pPr>
          </w:p>
        </w:tc>
        <w:tc>
          <w:tcPr>
            <w:tcW w:w="1387" w:type="dxa"/>
            <w:gridSpan w:val="2"/>
            <w:vAlign w:val="center"/>
          </w:tcPr>
          <w:p w14:paraId="1558FB4D">
            <w:pPr>
              <w:rPr>
                <w:highlight w:val="none"/>
              </w:rPr>
            </w:pPr>
          </w:p>
        </w:tc>
        <w:tc>
          <w:tcPr>
            <w:tcW w:w="1604" w:type="dxa"/>
            <w:gridSpan w:val="3"/>
            <w:vAlign w:val="center"/>
          </w:tcPr>
          <w:p w14:paraId="15BD7F3E">
            <w:pPr>
              <w:rPr>
                <w:highlight w:val="none"/>
              </w:rPr>
            </w:pPr>
          </w:p>
        </w:tc>
        <w:tc>
          <w:tcPr>
            <w:tcW w:w="1740" w:type="dxa"/>
            <w:tcBorders>
              <w:right w:val="single" w:color="auto" w:sz="2" w:space="0"/>
            </w:tcBorders>
            <w:vAlign w:val="center"/>
          </w:tcPr>
          <w:p w14:paraId="2746674D">
            <w:pPr>
              <w:rPr>
                <w:highlight w:val="none"/>
              </w:rPr>
            </w:pPr>
          </w:p>
        </w:tc>
        <w:tc>
          <w:tcPr>
            <w:tcW w:w="1091" w:type="dxa"/>
            <w:gridSpan w:val="2"/>
            <w:tcBorders>
              <w:left w:val="single" w:color="auto" w:sz="2" w:space="0"/>
              <w:right w:val="single" w:color="auto" w:sz="12" w:space="0"/>
            </w:tcBorders>
            <w:vAlign w:val="center"/>
          </w:tcPr>
          <w:p w14:paraId="61F067B3">
            <w:pPr>
              <w:rPr>
                <w:highlight w:val="none"/>
              </w:rPr>
            </w:pPr>
          </w:p>
        </w:tc>
      </w:tr>
      <w:tr w14:paraId="3FDC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543E508">
            <w:pPr>
              <w:rPr>
                <w:highlight w:val="none"/>
              </w:rPr>
            </w:pPr>
          </w:p>
        </w:tc>
        <w:tc>
          <w:tcPr>
            <w:tcW w:w="969" w:type="dxa"/>
            <w:tcBorders>
              <w:left w:val="single" w:color="auto" w:sz="6" w:space="0"/>
            </w:tcBorders>
            <w:vAlign w:val="center"/>
          </w:tcPr>
          <w:p w14:paraId="143CF6EE">
            <w:pPr>
              <w:rPr>
                <w:highlight w:val="none"/>
              </w:rPr>
            </w:pPr>
          </w:p>
        </w:tc>
        <w:tc>
          <w:tcPr>
            <w:tcW w:w="1260" w:type="dxa"/>
            <w:vAlign w:val="center"/>
          </w:tcPr>
          <w:p w14:paraId="5CA8FD05">
            <w:pPr>
              <w:rPr>
                <w:highlight w:val="none"/>
              </w:rPr>
            </w:pPr>
          </w:p>
        </w:tc>
        <w:tc>
          <w:tcPr>
            <w:tcW w:w="1387" w:type="dxa"/>
            <w:gridSpan w:val="2"/>
            <w:vAlign w:val="center"/>
          </w:tcPr>
          <w:p w14:paraId="77CC3351">
            <w:pPr>
              <w:rPr>
                <w:highlight w:val="none"/>
              </w:rPr>
            </w:pPr>
          </w:p>
        </w:tc>
        <w:tc>
          <w:tcPr>
            <w:tcW w:w="1604" w:type="dxa"/>
            <w:gridSpan w:val="3"/>
            <w:vAlign w:val="center"/>
          </w:tcPr>
          <w:p w14:paraId="7396FD74">
            <w:pPr>
              <w:rPr>
                <w:highlight w:val="none"/>
              </w:rPr>
            </w:pPr>
          </w:p>
        </w:tc>
        <w:tc>
          <w:tcPr>
            <w:tcW w:w="1740" w:type="dxa"/>
            <w:tcBorders>
              <w:right w:val="single" w:color="auto" w:sz="2" w:space="0"/>
            </w:tcBorders>
            <w:vAlign w:val="center"/>
          </w:tcPr>
          <w:p w14:paraId="480BE0C0">
            <w:pPr>
              <w:rPr>
                <w:highlight w:val="none"/>
              </w:rPr>
            </w:pPr>
          </w:p>
        </w:tc>
        <w:tc>
          <w:tcPr>
            <w:tcW w:w="1091" w:type="dxa"/>
            <w:gridSpan w:val="2"/>
            <w:tcBorders>
              <w:left w:val="single" w:color="auto" w:sz="2" w:space="0"/>
              <w:right w:val="single" w:color="auto" w:sz="12" w:space="0"/>
            </w:tcBorders>
            <w:vAlign w:val="center"/>
          </w:tcPr>
          <w:p w14:paraId="4571EF5E">
            <w:pPr>
              <w:rPr>
                <w:highlight w:val="none"/>
              </w:rPr>
            </w:pPr>
          </w:p>
        </w:tc>
      </w:tr>
      <w:tr w14:paraId="495A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14:paraId="4BCA7DFF">
            <w:pPr>
              <w:pStyle w:val="70"/>
              <w:numPr>
                <w:ilvl w:val="0"/>
                <w:numId w:val="46"/>
              </w:numPr>
              <w:rPr>
                <w:highlight w:val="none"/>
              </w:rPr>
            </w:pPr>
            <w:r>
              <w:rPr>
                <w:rFonts w:hint="eastAsia"/>
                <w:highlight w:val="none"/>
              </w:rPr>
              <w:t>管理人员</w:t>
            </w:r>
          </w:p>
        </w:tc>
      </w:tr>
      <w:tr w14:paraId="322D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42B6EC55">
            <w:pPr>
              <w:jc w:val="center"/>
              <w:rPr>
                <w:highlight w:val="none"/>
              </w:rPr>
            </w:pPr>
            <w:r>
              <w:rPr>
                <w:rFonts w:hint="eastAsia"/>
                <w:highlight w:val="none"/>
              </w:rPr>
              <w:t>姓名</w:t>
            </w:r>
          </w:p>
        </w:tc>
        <w:tc>
          <w:tcPr>
            <w:tcW w:w="969" w:type="dxa"/>
            <w:tcBorders>
              <w:left w:val="single" w:color="auto" w:sz="6" w:space="0"/>
            </w:tcBorders>
            <w:vAlign w:val="center"/>
          </w:tcPr>
          <w:p w14:paraId="44D07BA9">
            <w:pPr>
              <w:jc w:val="center"/>
              <w:rPr>
                <w:highlight w:val="none"/>
              </w:rPr>
            </w:pPr>
            <w:r>
              <w:rPr>
                <w:rFonts w:hint="eastAsia"/>
                <w:highlight w:val="none"/>
              </w:rPr>
              <w:t>年龄</w:t>
            </w:r>
          </w:p>
        </w:tc>
        <w:tc>
          <w:tcPr>
            <w:tcW w:w="1260" w:type="dxa"/>
            <w:vAlign w:val="center"/>
          </w:tcPr>
          <w:p w14:paraId="54B960BE">
            <w:pPr>
              <w:jc w:val="center"/>
              <w:rPr>
                <w:highlight w:val="none"/>
              </w:rPr>
            </w:pPr>
            <w:r>
              <w:rPr>
                <w:rFonts w:hint="eastAsia"/>
                <w:highlight w:val="none"/>
              </w:rPr>
              <w:t>资格</w:t>
            </w:r>
          </w:p>
        </w:tc>
        <w:tc>
          <w:tcPr>
            <w:tcW w:w="1404" w:type="dxa"/>
            <w:gridSpan w:val="3"/>
            <w:vAlign w:val="center"/>
          </w:tcPr>
          <w:p w14:paraId="0C5AB07A">
            <w:pPr>
              <w:jc w:val="center"/>
              <w:rPr>
                <w:highlight w:val="none"/>
              </w:rPr>
            </w:pPr>
            <w:r>
              <w:rPr>
                <w:rFonts w:hint="eastAsia"/>
                <w:highlight w:val="none"/>
              </w:rPr>
              <w:t>职称</w:t>
            </w:r>
          </w:p>
        </w:tc>
        <w:tc>
          <w:tcPr>
            <w:tcW w:w="1587" w:type="dxa"/>
            <w:gridSpan w:val="2"/>
            <w:vAlign w:val="center"/>
          </w:tcPr>
          <w:p w14:paraId="4787B1C4">
            <w:pPr>
              <w:spacing w:line="280" w:lineRule="exact"/>
              <w:jc w:val="center"/>
              <w:rPr>
                <w:highlight w:val="none"/>
              </w:rPr>
            </w:pPr>
            <w:r>
              <w:rPr>
                <w:rFonts w:hint="eastAsia"/>
                <w:highlight w:val="none"/>
              </w:rPr>
              <w:t>在本行业从业工作年限</w:t>
            </w:r>
          </w:p>
        </w:tc>
        <w:tc>
          <w:tcPr>
            <w:tcW w:w="1782" w:type="dxa"/>
            <w:gridSpan w:val="2"/>
            <w:vAlign w:val="center"/>
          </w:tcPr>
          <w:p w14:paraId="7E205E50">
            <w:pPr>
              <w:spacing w:line="240" w:lineRule="exact"/>
              <w:jc w:val="center"/>
              <w:rPr>
                <w:highlight w:val="none"/>
              </w:rPr>
            </w:pPr>
            <w:r>
              <w:rPr>
                <w:rFonts w:hint="eastAsia"/>
                <w:highlight w:val="none"/>
              </w:rPr>
              <w:t>主要工作</w:t>
            </w:r>
          </w:p>
          <w:p w14:paraId="3055B234">
            <w:pPr>
              <w:spacing w:line="240" w:lineRule="exact"/>
              <w:jc w:val="center"/>
              <w:rPr>
                <w:highlight w:val="none"/>
              </w:rPr>
            </w:pPr>
            <w:r>
              <w:rPr>
                <w:rFonts w:hint="eastAsia"/>
                <w:highlight w:val="none"/>
              </w:rPr>
              <w:t>业绩和经历</w:t>
            </w:r>
          </w:p>
        </w:tc>
        <w:tc>
          <w:tcPr>
            <w:tcW w:w="1049" w:type="dxa"/>
            <w:tcBorders>
              <w:right w:val="single" w:color="auto" w:sz="12" w:space="0"/>
            </w:tcBorders>
            <w:vAlign w:val="center"/>
          </w:tcPr>
          <w:p w14:paraId="3F0351F7">
            <w:pPr>
              <w:spacing w:line="240" w:lineRule="exact"/>
              <w:jc w:val="center"/>
              <w:rPr>
                <w:highlight w:val="none"/>
              </w:rPr>
            </w:pPr>
            <w:r>
              <w:rPr>
                <w:rFonts w:hint="eastAsia"/>
                <w:highlight w:val="none"/>
              </w:rPr>
              <w:t>拟派</w:t>
            </w:r>
          </w:p>
          <w:p w14:paraId="059A7576">
            <w:pPr>
              <w:spacing w:line="240" w:lineRule="exact"/>
              <w:jc w:val="center"/>
              <w:rPr>
                <w:highlight w:val="none"/>
              </w:rPr>
            </w:pPr>
            <w:r>
              <w:rPr>
                <w:rFonts w:hint="eastAsia"/>
                <w:highlight w:val="none"/>
              </w:rPr>
              <w:t>分工</w:t>
            </w:r>
          </w:p>
        </w:tc>
      </w:tr>
      <w:tr w14:paraId="1EA6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1B5B42F">
            <w:pPr>
              <w:rPr>
                <w:highlight w:val="none"/>
              </w:rPr>
            </w:pPr>
          </w:p>
        </w:tc>
        <w:tc>
          <w:tcPr>
            <w:tcW w:w="969" w:type="dxa"/>
            <w:tcBorders>
              <w:left w:val="single" w:color="auto" w:sz="6" w:space="0"/>
            </w:tcBorders>
            <w:vAlign w:val="center"/>
          </w:tcPr>
          <w:p w14:paraId="3CF90240">
            <w:pPr>
              <w:rPr>
                <w:highlight w:val="none"/>
              </w:rPr>
            </w:pPr>
          </w:p>
        </w:tc>
        <w:tc>
          <w:tcPr>
            <w:tcW w:w="1260" w:type="dxa"/>
            <w:vAlign w:val="center"/>
          </w:tcPr>
          <w:p w14:paraId="68405C1C">
            <w:pPr>
              <w:rPr>
                <w:highlight w:val="none"/>
              </w:rPr>
            </w:pPr>
          </w:p>
        </w:tc>
        <w:tc>
          <w:tcPr>
            <w:tcW w:w="1404" w:type="dxa"/>
            <w:gridSpan w:val="3"/>
            <w:vAlign w:val="center"/>
          </w:tcPr>
          <w:p w14:paraId="1FB14190">
            <w:pPr>
              <w:rPr>
                <w:highlight w:val="none"/>
              </w:rPr>
            </w:pPr>
          </w:p>
        </w:tc>
        <w:tc>
          <w:tcPr>
            <w:tcW w:w="1587" w:type="dxa"/>
            <w:gridSpan w:val="2"/>
            <w:vAlign w:val="center"/>
          </w:tcPr>
          <w:p w14:paraId="2C9C8720">
            <w:pPr>
              <w:rPr>
                <w:highlight w:val="none"/>
              </w:rPr>
            </w:pPr>
          </w:p>
        </w:tc>
        <w:tc>
          <w:tcPr>
            <w:tcW w:w="1782" w:type="dxa"/>
            <w:gridSpan w:val="2"/>
            <w:vAlign w:val="center"/>
          </w:tcPr>
          <w:p w14:paraId="455433B7">
            <w:pPr>
              <w:rPr>
                <w:highlight w:val="none"/>
              </w:rPr>
            </w:pPr>
          </w:p>
        </w:tc>
        <w:tc>
          <w:tcPr>
            <w:tcW w:w="1049" w:type="dxa"/>
            <w:tcBorders>
              <w:right w:val="single" w:color="auto" w:sz="12" w:space="0"/>
            </w:tcBorders>
            <w:vAlign w:val="center"/>
          </w:tcPr>
          <w:p w14:paraId="7FB75064">
            <w:pPr>
              <w:rPr>
                <w:highlight w:val="none"/>
              </w:rPr>
            </w:pPr>
          </w:p>
        </w:tc>
      </w:tr>
      <w:tr w14:paraId="0320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3DDC4954">
            <w:pPr>
              <w:rPr>
                <w:highlight w:val="none"/>
              </w:rPr>
            </w:pPr>
          </w:p>
        </w:tc>
        <w:tc>
          <w:tcPr>
            <w:tcW w:w="969" w:type="dxa"/>
            <w:tcBorders>
              <w:left w:val="single" w:color="auto" w:sz="6" w:space="0"/>
            </w:tcBorders>
            <w:vAlign w:val="center"/>
          </w:tcPr>
          <w:p w14:paraId="5054874E">
            <w:pPr>
              <w:rPr>
                <w:highlight w:val="none"/>
              </w:rPr>
            </w:pPr>
          </w:p>
        </w:tc>
        <w:tc>
          <w:tcPr>
            <w:tcW w:w="1260" w:type="dxa"/>
            <w:vAlign w:val="center"/>
          </w:tcPr>
          <w:p w14:paraId="77038D6D">
            <w:pPr>
              <w:rPr>
                <w:highlight w:val="none"/>
              </w:rPr>
            </w:pPr>
          </w:p>
        </w:tc>
        <w:tc>
          <w:tcPr>
            <w:tcW w:w="1404" w:type="dxa"/>
            <w:gridSpan w:val="3"/>
            <w:vAlign w:val="center"/>
          </w:tcPr>
          <w:p w14:paraId="21FB0889">
            <w:pPr>
              <w:rPr>
                <w:highlight w:val="none"/>
              </w:rPr>
            </w:pPr>
          </w:p>
        </w:tc>
        <w:tc>
          <w:tcPr>
            <w:tcW w:w="1587" w:type="dxa"/>
            <w:gridSpan w:val="2"/>
            <w:vAlign w:val="center"/>
          </w:tcPr>
          <w:p w14:paraId="11EB88BD">
            <w:pPr>
              <w:rPr>
                <w:highlight w:val="none"/>
              </w:rPr>
            </w:pPr>
          </w:p>
        </w:tc>
        <w:tc>
          <w:tcPr>
            <w:tcW w:w="1782" w:type="dxa"/>
            <w:gridSpan w:val="2"/>
            <w:vAlign w:val="center"/>
          </w:tcPr>
          <w:p w14:paraId="0330A9E4">
            <w:pPr>
              <w:rPr>
                <w:highlight w:val="none"/>
              </w:rPr>
            </w:pPr>
          </w:p>
        </w:tc>
        <w:tc>
          <w:tcPr>
            <w:tcW w:w="1049" w:type="dxa"/>
            <w:tcBorders>
              <w:right w:val="single" w:color="auto" w:sz="12" w:space="0"/>
            </w:tcBorders>
            <w:vAlign w:val="center"/>
          </w:tcPr>
          <w:p w14:paraId="064B46B3">
            <w:pPr>
              <w:rPr>
                <w:highlight w:val="none"/>
              </w:rPr>
            </w:pPr>
          </w:p>
        </w:tc>
      </w:tr>
      <w:tr w14:paraId="0EB7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196D2503">
            <w:pPr>
              <w:rPr>
                <w:highlight w:val="none"/>
              </w:rPr>
            </w:pPr>
          </w:p>
        </w:tc>
        <w:tc>
          <w:tcPr>
            <w:tcW w:w="969" w:type="dxa"/>
            <w:tcBorders>
              <w:left w:val="single" w:color="auto" w:sz="6" w:space="0"/>
            </w:tcBorders>
            <w:vAlign w:val="center"/>
          </w:tcPr>
          <w:p w14:paraId="714F349C">
            <w:pPr>
              <w:rPr>
                <w:highlight w:val="none"/>
              </w:rPr>
            </w:pPr>
          </w:p>
        </w:tc>
        <w:tc>
          <w:tcPr>
            <w:tcW w:w="1260" w:type="dxa"/>
            <w:vAlign w:val="center"/>
          </w:tcPr>
          <w:p w14:paraId="351C4B87">
            <w:pPr>
              <w:rPr>
                <w:highlight w:val="none"/>
              </w:rPr>
            </w:pPr>
          </w:p>
        </w:tc>
        <w:tc>
          <w:tcPr>
            <w:tcW w:w="1404" w:type="dxa"/>
            <w:gridSpan w:val="3"/>
            <w:vAlign w:val="center"/>
          </w:tcPr>
          <w:p w14:paraId="3C532E73">
            <w:pPr>
              <w:rPr>
                <w:highlight w:val="none"/>
              </w:rPr>
            </w:pPr>
          </w:p>
        </w:tc>
        <w:tc>
          <w:tcPr>
            <w:tcW w:w="1587" w:type="dxa"/>
            <w:gridSpan w:val="2"/>
            <w:vAlign w:val="center"/>
          </w:tcPr>
          <w:p w14:paraId="2ABA7698">
            <w:pPr>
              <w:rPr>
                <w:highlight w:val="none"/>
              </w:rPr>
            </w:pPr>
          </w:p>
        </w:tc>
        <w:tc>
          <w:tcPr>
            <w:tcW w:w="1782" w:type="dxa"/>
            <w:gridSpan w:val="2"/>
            <w:vAlign w:val="center"/>
          </w:tcPr>
          <w:p w14:paraId="5729B8EC">
            <w:pPr>
              <w:rPr>
                <w:highlight w:val="none"/>
              </w:rPr>
            </w:pPr>
          </w:p>
        </w:tc>
        <w:tc>
          <w:tcPr>
            <w:tcW w:w="1049" w:type="dxa"/>
            <w:tcBorders>
              <w:right w:val="single" w:color="auto" w:sz="12" w:space="0"/>
            </w:tcBorders>
            <w:vAlign w:val="center"/>
          </w:tcPr>
          <w:p w14:paraId="630D729F">
            <w:pPr>
              <w:rPr>
                <w:highlight w:val="none"/>
              </w:rPr>
            </w:pPr>
          </w:p>
        </w:tc>
      </w:tr>
      <w:tr w14:paraId="2340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14:paraId="68B2FBB1">
            <w:pPr>
              <w:pStyle w:val="70"/>
              <w:numPr>
                <w:ilvl w:val="0"/>
                <w:numId w:val="46"/>
              </w:numPr>
              <w:rPr>
                <w:highlight w:val="none"/>
              </w:rPr>
            </w:pPr>
            <w:r>
              <w:rPr>
                <w:rFonts w:hint="eastAsia"/>
                <w:highlight w:val="none"/>
              </w:rPr>
              <w:t>技术人员/服务人员</w:t>
            </w:r>
          </w:p>
        </w:tc>
      </w:tr>
      <w:tr w14:paraId="2B93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3F74D175">
            <w:pPr>
              <w:jc w:val="center"/>
              <w:rPr>
                <w:highlight w:val="none"/>
              </w:rPr>
            </w:pPr>
            <w:r>
              <w:rPr>
                <w:rFonts w:hint="eastAsia"/>
                <w:highlight w:val="none"/>
              </w:rPr>
              <w:t>姓名</w:t>
            </w:r>
          </w:p>
        </w:tc>
        <w:tc>
          <w:tcPr>
            <w:tcW w:w="969" w:type="dxa"/>
            <w:tcBorders>
              <w:left w:val="single" w:color="auto" w:sz="6" w:space="0"/>
            </w:tcBorders>
            <w:vAlign w:val="center"/>
          </w:tcPr>
          <w:p w14:paraId="7E11D1E2">
            <w:pPr>
              <w:jc w:val="center"/>
              <w:rPr>
                <w:highlight w:val="none"/>
              </w:rPr>
            </w:pPr>
            <w:r>
              <w:rPr>
                <w:rFonts w:hint="eastAsia"/>
                <w:highlight w:val="none"/>
              </w:rPr>
              <w:t>年龄</w:t>
            </w:r>
          </w:p>
        </w:tc>
        <w:tc>
          <w:tcPr>
            <w:tcW w:w="1284" w:type="dxa"/>
            <w:gridSpan w:val="2"/>
            <w:tcBorders>
              <w:right w:val="single" w:color="auto" w:sz="2" w:space="0"/>
            </w:tcBorders>
            <w:vAlign w:val="center"/>
          </w:tcPr>
          <w:p w14:paraId="78A5373E">
            <w:pPr>
              <w:jc w:val="center"/>
              <w:rPr>
                <w:highlight w:val="none"/>
              </w:rPr>
            </w:pPr>
            <w:r>
              <w:rPr>
                <w:rFonts w:hint="eastAsia"/>
                <w:highlight w:val="none"/>
              </w:rPr>
              <w:t>学历</w:t>
            </w:r>
          </w:p>
        </w:tc>
        <w:tc>
          <w:tcPr>
            <w:tcW w:w="1386" w:type="dxa"/>
            <w:gridSpan w:val="3"/>
            <w:tcBorders>
              <w:left w:val="single" w:color="auto" w:sz="2" w:space="0"/>
            </w:tcBorders>
            <w:vAlign w:val="center"/>
          </w:tcPr>
          <w:p w14:paraId="5D5AD0FB">
            <w:pPr>
              <w:jc w:val="center"/>
              <w:rPr>
                <w:highlight w:val="none"/>
              </w:rPr>
            </w:pPr>
            <w:r>
              <w:rPr>
                <w:rFonts w:hint="eastAsia"/>
                <w:highlight w:val="none"/>
              </w:rPr>
              <w:t>职称</w:t>
            </w:r>
          </w:p>
        </w:tc>
        <w:tc>
          <w:tcPr>
            <w:tcW w:w="1581" w:type="dxa"/>
            <w:vAlign w:val="center"/>
          </w:tcPr>
          <w:p w14:paraId="1EE36F96">
            <w:pPr>
              <w:spacing w:line="280" w:lineRule="exact"/>
              <w:jc w:val="center"/>
              <w:rPr>
                <w:highlight w:val="none"/>
              </w:rPr>
            </w:pPr>
            <w:r>
              <w:rPr>
                <w:rFonts w:hint="eastAsia"/>
                <w:highlight w:val="none"/>
              </w:rPr>
              <w:t>从事类似项目工作年限</w:t>
            </w:r>
          </w:p>
        </w:tc>
        <w:tc>
          <w:tcPr>
            <w:tcW w:w="1782" w:type="dxa"/>
            <w:gridSpan w:val="2"/>
            <w:vAlign w:val="center"/>
          </w:tcPr>
          <w:p w14:paraId="1F0653D7">
            <w:pPr>
              <w:spacing w:line="240" w:lineRule="exact"/>
              <w:jc w:val="center"/>
              <w:rPr>
                <w:highlight w:val="none"/>
              </w:rPr>
            </w:pPr>
            <w:r>
              <w:rPr>
                <w:rFonts w:hint="eastAsia"/>
                <w:highlight w:val="none"/>
              </w:rPr>
              <w:t>主要工作</w:t>
            </w:r>
          </w:p>
          <w:p w14:paraId="7339423A">
            <w:pPr>
              <w:spacing w:line="240" w:lineRule="exact"/>
              <w:jc w:val="center"/>
              <w:rPr>
                <w:highlight w:val="none"/>
              </w:rPr>
            </w:pPr>
            <w:r>
              <w:rPr>
                <w:rFonts w:hint="eastAsia"/>
                <w:highlight w:val="none"/>
              </w:rPr>
              <w:t>业绩和经历</w:t>
            </w:r>
          </w:p>
        </w:tc>
        <w:tc>
          <w:tcPr>
            <w:tcW w:w="1049" w:type="dxa"/>
            <w:tcBorders>
              <w:right w:val="single" w:color="auto" w:sz="12" w:space="0"/>
            </w:tcBorders>
            <w:vAlign w:val="center"/>
          </w:tcPr>
          <w:p w14:paraId="0B7C5348">
            <w:pPr>
              <w:spacing w:line="240" w:lineRule="exact"/>
              <w:jc w:val="center"/>
              <w:rPr>
                <w:highlight w:val="none"/>
              </w:rPr>
            </w:pPr>
            <w:r>
              <w:rPr>
                <w:rFonts w:hint="eastAsia"/>
                <w:highlight w:val="none"/>
              </w:rPr>
              <w:t>拟派</w:t>
            </w:r>
          </w:p>
          <w:p w14:paraId="27EE6AC1">
            <w:pPr>
              <w:spacing w:line="240" w:lineRule="exact"/>
              <w:jc w:val="center"/>
              <w:rPr>
                <w:highlight w:val="none"/>
              </w:rPr>
            </w:pPr>
            <w:r>
              <w:rPr>
                <w:rFonts w:hint="eastAsia"/>
                <w:highlight w:val="none"/>
              </w:rPr>
              <w:t>分工</w:t>
            </w:r>
          </w:p>
        </w:tc>
      </w:tr>
      <w:tr w14:paraId="4170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77BE9FB">
            <w:pPr>
              <w:rPr>
                <w:highlight w:val="none"/>
              </w:rPr>
            </w:pPr>
          </w:p>
        </w:tc>
        <w:tc>
          <w:tcPr>
            <w:tcW w:w="969" w:type="dxa"/>
            <w:tcBorders>
              <w:left w:val="single" w:color="auto" w:sz="6" w:space="0"/>
            </w:tcBorders>
            <w:vAlign w:val="center"/>
          </w:tcPr>
          <w:p w14:paraId="6D29D55C">
            <w:pPr>
              <w:rPr>
                <w:highlight w:val="none"/>
              </w:rPr>
            </w:pPr>
          </w:p>
        </w:tc>
        <w:tc>
          <w:tcPr>
            <w:tcW w:w="1284" w:type="dxa"/>
            <w:gridSpan w:val="2"/>
            <w:tcBorders>
              <w:right w:val="single" w:color="auto" w:sz="2" w:space="0"/>
            </w:tcBorders>
            <w:vAlign w:val="center"/>
          </w:tcPr>
          <w:p w14:paraId="289B6AAD">
            <w:pPr>
              <w:rPr>
                <w:highlight w:val="none"/>
              </w:rPr>
            </w:pPr>
          </w:p>
        </w:tc>
        <w:tc>
          <w:tcPr>
            <w:tcW w:w="1386" w:type="dxa"/>
            <w:gridSpan w:val="3"/>
            <w:tcBorders>
              <w:left w:val="single" w:color="auto" w:sz="2" w:space="0"/>
            </w:tcBorders>
            <w:vAlign w:val="center"/>
          </w:tcPr>
          <w:p w14:paraId="46CF1BD3">
            <w:pPr>
              <w:rPr>
                <w:highlight w:val="none"/>
              </w:rPr>
            </w:pPr>
          </w:p>
        </w:tc>
        <w:tc>
          <w:tcPr>
            <w:tcW w:w="1581" w:type="dxa"/>
            <w:vAlign w:val="center"/>
          </w:tcPr>
          <w:p w14:paraId="58FE881D">
            <w:pPr>
              <w:rPr>
                <w:highlight w:val="none"/>
              </w:rPr>
            </w:pPr>
          </w:p>
        </w:tc>
        <w:tc>
          <w:tcPr>
            <w:tcW w:w="1782" w:type="dxa"/>
            <w:gridSpan w:val="2"/>
            <w:vAlign w:val="center"/>
          </w:tcPr>
          <w:p w14:paraId="3B9C2CBB">
            <w:pPr>
              <w:rPr>
                <w:highlight w:val="none"/>
              </w:rPr>
            </w:pPr>
          </w:p>
        </w:tc>
        <w:tc>
          <w:tcPr>
            <w:tcW w:w="1049" w:type="dxa"/>
            <w:tcBorders>
              <w:right w:val="single" w:color="auto" w:sz="12" w:space="0"/>
            </w:tcBorders>
            <w:vAlign w:val="center"/>
          </w:tcPr>
          <w:p w14:paraId="4F9FE9D8">
            <w:pPr>
              <w:rPr>
                <w:highlight w:val="none"/>
              </w:rPr>
            </w:pPr>
          </w:p>
        </w:tc>
      </w:tr>
      <w:tr w14:paraId="7606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9CE7EFC">
            <w:pPr>
              <w:rPr>
                <w:highlight w:val="none"/>
              </w:rPr>
            </w:pPr>
          </w:p>
        </w:tc>
        <w:tc>
          <w:tcPr>
            <w:tcW w:w="969" w:type="dxa"/>
            <w:tcBorders>
              <w:left w:val="single" w:color="auto" w:sz="6" w:space="0"/>
            </w:tcBorders>
            <w:vAlign w:val="center"/>
          </w:tcPr>
          <w:p w14:paraId="1407A813">
            <w:pPr>
              <w:rPr>
                <w:highlight w:val="none"/>
              </w:rPr>
            </w:pPr>
          </w:p>
        </w:tc>
        <w:tc>
          <w:tcPr>
            <w:tcW w:w="1284" w:type="dxa"/>
            <w:gridSpan w:val="2"/>
            <w:tcBorders>
              <w:right w:val="single" w:color="auto" w:sz="2" w:space="0"/>
            </w:tcBorders>
            <w:vAlign w:val="center"/>
          </w:tcPr>
          <w:p w14:paraId="6960F7E1">
            <w:pPr>
              <w:rPr>
                <w:highlight w:val="none"/>
              </w:rPr>
            </w:pPr>
          </w:p>
        </w:tc>
        <w:tc>
          <w:tcPr>
            <w:tcW w:w="1386" w:type="dxa"/>
            <w:gridSpan w:val="3"/>
            <w:tcBorders>
              <w:left w:val="single" w:color="auto" w:sz="2" w:space="0"/>
            </w:tcBorders>
            <w:vAlign w:val="center"/>
          </w:tcPr>
          <w:p w14:paraId="4BA0C489">
            <w:pPr>
              <w:rPr>
                <w:highlight w:val="none"/>
              </w:rPr>
            </w:pPr>
          </w:p>
        </w:tc>
        <w:tc>
          <w:tcPr>
            <w:tcW w:w="1581" w:type="dxa"/>
            <w:vAlign w:val="center"/>
          </w:tcPr>
          <w:p w14:paraId="770D1D09">
            <w:pPr>
              <w:rPr>
                <w:highlight w:val="none"/>
              </w:rPr>
            </w:pPr>
          </w:p>
        </w:tc>
        <w:tc>
          <w:tcPr>
            <w:tcW w:w="1782" w:type="dxa"/>
            <w:gridSpan w:val="2"/>
            <w:vAlign w:val="center"/>
          </w:tcPr>
          <w:p w14:paraId="1C29B589">
            <w:pPr>
              <w:rPr>
                <w:highlight w:val="none"/>
              </w:rPr>
            </w:pPr>
          </w:p>
        </w:tc>
        <w:tc>
          <w:tcPr>
            <w:tcW w:w="1049" w:type="dxa"/>
            <w:tcBorders>
              <w:right w:val="single" w:color="auto" w:sz="12" w:space="0"/>
            </w:tcBorders>
            <w:vAlign w:val="center"/>
          </w:tcPr>
          <w:p w14:paraId="10F94D8E">
            <w:pPr>
              <w:rPr>
                <w:highlight w:val="none"/>
              </w:rPr>
            </w:pPr>
          </w:p>
        </w:tc>
      </w:tr>
      <w:tr w14:paraId="0A51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31DE9D93">
            <w:pPr>
              <w:rPr>
                <w:highlight w:val="none"/>
              </w:rPr>
            </w:pPr>
          </w:p>
        </w:tc>
        <w:tc>
          <w:tcPr>
            <w:tcW w:w="969" w:type="dxa"/>
            <w:tcBorders>
              <w:left w:val="single" w:color="auto" w:sz="6" w:space="0"/>
            </w:tcBorders>
            <w:vAlign w:val="center"/>
          </w:tcPr>
          <w:p w14:paraId="2B76105F">
            <w:pPr>
              <w:rPr>
                <w:highlight w:val="none"/>
              </w:rPr>
            </w:pPr>
          </w:p>
        </w:tc>
        <w:tc>
          <w:tcPr>
            <w:tcW w:w="1284" w:type="dxa"/>
            <w:gridSpan w:val="2"/>
            <w:tcBorders>
              <w:right w:val="single" w:color="auto" w:sz="2" w:space="0"/>
            </w:tcBorders>
            <w:vAlign w:val="center"/>
          </w:tcPr>
          <w:p w14:paraId="7477DB78">
            <w:pPr>
              <w:rPr>
                <w:highlight w:val="none"/>
              </w:rPr>
            </w:pPr>
          </w:p>
        </w:tc>
        <w:tc>
          <w:tcPr>
            <w:tcW w:w="1386" w:type="dxa"/>
            <w:gridSpan w:val="3"/>
            <w:tcBorders>
              <w:left w:val="single" w:color="auto" w:sz="2" w:space="0"/>
            </w:tcBorders>
            <w:vAlign w:val="center"/>
          </w:tcPr>
          <w:p w14:paraId="2E934D57">
            <w:pPr>
              <w:rPr>
                <w:highlight w:val="none"/>
              </w:rPr>
            </w:pPr>
          </w:p>
        </w:tc>
        <w:tc>
          <w:tcPr>
            <w:tcW w:w="1581" w:type="dxa"/>
            <w:vAlign w:val="center"/>
          </w:tcPr>
          <w:p w14:paraId="4F68E461">
            <w:pPr>
              <w:rPr>
                <w:highlight w:val="none"/>
              </w:rPr>
            </w:pPr>
          </w:p>
        </w:tc>
        <w:tc>
          <w:tcPr>
            <w:tcW w:w="1782" w:type="dxa"/>
            <w:gridSpan w:val="2"/>
            <w:vAlign w:val="center"/>
          </w:tcPr>
          <w:p w14:paraId="53AC7268">
            <w:pPr>
              <w:rPr>
                <w:highlight w:val="none"/>
              </w:rPr>
            </w:pPr>
          </w:p>
        </w:tc>
        <w:tc>
          <w:tcPr>
            <w:tcW w:w="1049" w:type="dxa"/>
            <w:tcBorders>
              <w:right w:val="single" w:color="auto" w:sz="12" w:space="0"/>
            </w:tcBorders>
            <w:vAlign w:val="center"/>
          </w:tcPr>
          <w:p w14:paraId="3EFE995F">
            <w:pPr>
              <w:rPr>
                <w:highlight w:val="none"/>
              </w:rPr>
            </w:pPr>
          </w:p>
        </w:tc>
      </w:tr>
      <w:tr w14:paraId="6A10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14:paraId="3182ACBB">
            <w:pPr>
              <w:pStyle w:val="70"/>
              <w:numPr>
                <w:ilvl w:val="0"/>
                <w:numId w:val="46"/>
              </w:numPr>
              <w:rPr>
                <w:highlight w:val="none"/>
              </w:rPr>
            </w:pPr>
            <w:r>
              <w:rPr>
                <w:rFonts w:hint="eastAsia"/>
                <w:highlight w:val="none"/>
              </w:rPr>
              <w:t>辅助人员</w:t>
            </w:r>
          </w:p>
        </w:tc>
      </w:tr>
      <w:tr w14:paraId="6312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32D5F2AC">
            <w:pPr>
              <w:spacing w:line="280" w:lineRule="exact"/>
              <w:jc w:val="center"/>
              <w:rPr>
                <w:highlight w:val="none"/>
              </w:rPr>
            </w:pPr>
            <w:r>
              <w:rPr>
                <w:rFonts w:hint="eastAsia"/>
                <w:highlight w:val="none"/>
              </w:rPr>
              <w:t>姓名</w:t>
            </w:r>
          </w:p>
        </w:tc>
        <w:tc>
          <w:tcPr>
            <w:tcW w:w="969" w:type="dxa"/>
            <w:tcBorders>
              <w:left w:val="single" w:color="auto" w:sz="6" w:space="0"/>
            </w:tcBorders>
            <w:vAlign w:val="center"/>
          </w:tcPr>
          <w:p w14:paraId="2CF2FA79">
            <w:pPr>
              <w:spacing w:line="280" w:lineRule="exact"/>
              <w:jc w:val="center"/>
              <w:rPr>
                <w:highlight w:val="none"/>
              </w:rPr>
            </w:pPr>
            <w:r>
              <w:rPr>
                <w:rFonts w:hint="eastAsia"/>
                <w:highlight w:val="none"/>
              </w:rPr>
              <w:t>年龄</w:t>
            </w:r>
          </w:p>
        </w:tc>
        <w:tc>
          <w:tcPr>
            <w:tcW w:w="1284" w:type="dxa"/>
            <w:gridSpan w:val="2"/>
            <w:tcBorders>
              <w:right w:val="single" w:color="auto" w:sz="2" w:space="0"/>
            </w:tcBorders>
            <w:vAlign w:val="center"/>
          </w:tcPr>
          <w:p w14:paraId="102242B9">
            <w:pPr>
              <w:spacing w:line="280" w:lineRule="exact"/>
              <w:jc w:val="center"/>
              <w:rPr>
                <w:highlight w:val="none"/>
              </w:rPr>
            </w:pPr>
            <w:r>
              <w:rPr>
                <w:rFonts w:hint="eastAsia"/>
                <w:highlight w:val="none"/>
              </w:rPr>
              <w:t>学历</w:t>
            </w:r>
          </w:p>
        </w:tc>
        <w:tc>
          <w:tcPr>
            <w:tcW w:w="1386" w:type="dxa"/>
            <w:gridSpan w:val="3"/>
            <w:tcBorders>
              <w:left w:val="single" w:color="auto" w:sz="2" w:space="0"/>
            </w:tcBorders>
            <w:vAlign w:val="center"/>
          </w:tcPr>
          <w:p w14:paraId="330B832F">
            <w:pPr>
              <w:spacing w:line="280" w:lineRule="exact"/>
              <w:jc w:val="center"/>
              <w:rPr>
                <w:highlight w:val="none"/>
              </w:rPr>
            </w:pPr>
            <w:r>
              <w:rPr>
                <w:rFonts w:hint="eastAsia"/>
                <w:highlight w:val="none"/>
              </w:rPr>
              <w:t>职称</w:t>
            </w:r>
          </w:p>
        </w:tc>
        <w:tc>
          <w:tcPr>
            <w:tcW w:w="1581" w:type="dxa"/>
            <w:vAlign w:val="center"/>
          </w:tcPr>
          <w:p w14:paraId="34496185">
            <w:pPr>
              <w:spacing w:line="280" w:lineRule="exact"/>
              <w:jc w:val="center"/>
              <w:rPr>
                <w:highlight w:val="none"/>
              </w:rPr>
            </w:pPr>
            <w:r>
              <w:rPr>
                <w:rFonts w:hint="eastAsia"/>
                <w:highlight w:val="none"/>
              </w:rPr>
              <w:t>从事类似项目工作年限</w:t>
            </w:r>
          </w:p>
        </w:tc>
        <w:tc>
          <w:tcPr>
            <w:tcW w:w="1782" w:type="dxa"/>
            <w:gridSpan w:val="2"/>
            <w:vAlign w:val="center"/>
          </w:tcPr>
          <w:p w14:paraId="23022554">
            <w:pPr>
              <w:spacing w:line="280" w:lineRule="exact"/>
              <w:jc w:val="center"/>
              <w:rPr>
                <w:highlight w:val="none"/>
              </w:rPr>
            </w:pPr>
            <w:r>
              <w:rPr>
                <w:rFonts w:hint="eastAsia"/>
                <w:highlight w:val="none"/>
              </w:rPr>
              <w:t>主要工作</w:t>
            </w:r>
          </w:p>
          <w:p w14:paraId="55CECC37">
            <w:pPr>
              <w:spacing w:line="280" w:lineRule="exact"/>
              <w:jc w:val="center"/>
              <w:rPr>
                <w:highlight w:val="none"/>
              </w:rPr>
            </w:pPr>
            <w:r>
              <w:rPr>
                <w:rFonts w:hint="eastAsia"/>
                <w:highlight w:val="none"/>
              </w:rPr>
              <w:t>业绩和经历</w:t>
            </w:r>
          </w:p>
        </w:tc>
        <w:tc>
          <w:tcPr>
            <w:tcW w:w="1049" w:type="dxa"/>
            <w:tcBorders>
              <w:right w:val="single" w:color="auto" w:sz="12" w:space="0"/>
            </w:tcBorders>
            <w:vAlign w:val="center"/>
          </w:tcPr>
          <w:p w14:paraId="10EC7576">
            <w:pPr>
              <w:spacing w:line="280" w:lineRule="exact"/>
              <w:jc w:val="center"/>
              <w:rPr>
                <w:highlight w:val="none"/>
              </w:rPr>
            </w:pPr>
            <w:r>
              <w:rPr>
                <w:rFonts w:hint="eastAsia"/>
                <w:highlight w:val="none"/>
              </w:rPr>
              <w:t>拟派</w:t>
            </w:r>
          </w:p>
          <w:p w14:paraId="0433E08C">
            <w:pPr>
              <w:spacing w:line="280" w:lineRule="exact"/>
              <w:rPr>
                <w:highlight w:val="none"/>
              </w:rPr>
            </w:pPr>
            <w:r>
              <w:rPr>
                <w:rFonts w:hint="eastAsia"/>
                <w:highlight w:val="none"/>
              </w:rPr>
              <w:t>分工</w:t>
            </w:r>
          </w:p>
        </w:tc>
      </w:tr>
      <w:tr w14:paraId="22F9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15A5EFD3">
            <w:pPr>
              <w:rPr>
                <w:highlight w:val="none"/>
              </w:rPr>
            </w:pPr>
          </w:p>
        </w:tc>
        <w:tc>
          <w:tcPr>
            <w:tcW w:w="969" w:type="dxa"/>
            <w:tcBorders>
              <w:left w:val="single" w:color="auto" w:sz="6" w:space="0"/>
            </w:tcBorders>
            <w:vAlign w:val="center"/>
          </w:tcPr>
          <w:p w14:paraId="1BC6ED1D">
            <w:pPr>
              <w:rPr>
                <w:highlight w:val="none"/>
              </w:rPr>
            </w:pPr>
          </w:p>
        </w:tc>
        <w:tc>
          <w:tcPr>
            <w:tcW w:w="1284" w:type="dxa"/>
            <w:gridSpan w:val="2"/>
            <w:tcBorders>
              <w:right w:val="single" w:color="auto" w:sz="2" w:space="0"/>
            </w:tcBorders>
            <w:vAlign w:val="center"/>
          </w:tcPr>
          <w:p w14:paraId="00CD6011">
            <w:pPr>
              <w:rPr>
                <w:highlight w:val="none"/>
              </w:rPr>
            </w:pPr>
          </w:p>
        </w:tc>
        <w:tc>
          <w:tcPr>
            <w:tcW w:w="1386" w:type="dxa"/>
            <w:gridSpan w:val="3"/>
            <w:tcBorders>
              <w:left w:val="single" w:color="auto" w:sz="2" w:space="0"/>
            </w:tcBorders>
            <w:vAlign w:val="center"/>
          </w:tcPr>
          <w:p w14:paraId="53C913A1">
            <w:pPr>
              <w:rPr>
                <w:highlight w:val="none"/>
              </w:rPr>
            </w:pPr>
          </w:p>
        </w:tc>
        <w:tc>
          <w:tcPr>
            <w:tcW w:w="1581" w:type="dxa"/>
            <w:vAlign w:val="center"/>
          </w:tcPr>
          <w:p w14:paraId="6AE696B0">
            <w:pPr>
              <w:rPr>
                <w:highlight w:val="none"/>
              </w:rPr>
            </w:pPr>
          </w:p>
        </w:tc>
        <w:tc>
          <w:tcPr>
            <w:tcW w:w="1782" w:type="dxa"/>
            <w:gridSpan w:val="2"/>
            <w:vAlign w:val="center"/>
          </w:tcPr>
          <w:p w14:paraId="365AB44E">
            <w:pPr>
              <w:rPr>
                <w:highlight w:val="none"/>
              </w:rPr>
            </w:pPr>
          </w:p>
        </w:tc>
        <w:tc>
          <w:tcPr>
            <w:tcW w:w="1049" w:type="dxa"/>
            <w:tcBorders>
              <w:right w:val="single" w:color="auto" w:sz="12" w:space="0"/>
            </w:tcBorders>
            <w:vAlign w:val="center"/>
          </w:tcPr>
          <w:p w14:paraId="53FF2DAA">
            <w:pPr>
              <w:rPr>
                <w:highlight w:val="none"/>
              </w:rPr>
            </w:pPr>
          </w:p>
        </w:tc>
      </w:tr>
      <w:tr w14:paraId="22C7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3E628986">
            <w:pPr>
              <w:rPr>
                <w:highlight w:val="none"/>
              </w:rPr>
            </w:pPr>
          </w:p>
        </w:tc>
        <w:tc>
          <w:tcPr>
            <w:tcW w:w="969" w:type="dxa"/>
            <w:tcBorders>
              <w:left w:val="single" w:color="auto" w:sz="6" w:space="0"/>
            </w:tcBorders>
            <w:vAlign w:val="center"/>
          </w:tcPr>
          <w:p w14:paraId="38000F43">
            <w:pPr>
              <w:rPr>
                <w:highlight w:val="none"/>
              </w:rPr>
            </w:pPr>
          </w:p>
        </w:tc>
        <w:tc>
          <w:tcPr>
            <w:tcW w:w="1284" w:type="dxa"/>
            <w:gridSpan w:val="2"/>
            <w:tcBorders>
              <w:right w:val="single" w:color="auto" w:sz="2" w:space="0"/>
            </w:tcBorders>
            <w:vAlign w:val="center"/>
          </w:tcPr>
          <w:p w14:paraId="1B7F0046">
            <w:pPr>
              <w:rPr>
                <w:highlight w:val="none"/>
              </w:rPr>
            </w:pPr>
          </w:p>
        </w:tc>
        <w:tc>
          <w:tcPr>
            <w:tcW w:w="1386" w:type="dxa"/>
            <w:gridSpan w:val="3"/>
            <w:tcBorders>
              <w:left w:val="single" w:color="auto" w:sz="2" w:space="0"/>
            </w:tcBorders>
            <w:vAlign w:val="center"/>
          </w:tcPr>
          <w:p w14:paraId="4D86DC7C">
            <w:pPr>
              <w:rPr>
                <w:highlight w:val="none"/>
              </w:rPr>
            </w:pPr>
          </w:p>
        </w:tc>
        <w:tc>
          <w:tcPr>
            <w:tcW w:w="1581" w:type="dxa"/>
            <w:vAlign w:val="center"/>
          </w:tcPr>
          <w:p w14:paraId="641567B8">
            <w:pPr>
              <w:rPr>
                <w:highlight w:val="none"/>
              </w:rPr>
            </w:pPr>
          </w:p>
        </w:tc>
        <w:tc>
          <w:tcPr>
            <w:tcW w:w="1782" w:type="dxa"/>
            <w:gridSpan w:val="2"/>
            <w:vAlign w:val="center"/>
          </w:tcPr>
          <w:p w14:paraId="332159F9">
            <w:pPr>
              <w:rPr>
                <w:highlight w:val="none"/>
              </w:rPr>
            </w:pPr>
          </w:p>
        </w:tc>
        <w:tc>
          <w:tcPr>
            <w:tcW w:w="1049" w:type="dxa"/>
            <w:tcBorders>
              <w:right w:val="single" w:color="auto" w:sz="12" w:space="0"/>
            </w:tcBorders>
            <w:vAlign w:val="center"/>
          </w:tcPr>
          <w:p w14:paraId="29D87618">
            <w:pPr>
              <w:rPr>
                <w:highlight w:val="none"/>
              </w:rPr>
            </w:pPr>
          </w:p>
        </w:tc>
      </w:tr>
      <w:tr w14:paraId="6777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14:paraId="00768FD5">
            <w:pPr>
              <w:jc w:val="center"/>
              <w:rPr>
                <w:highlight w:val="none"/>
              </w:rPr>
            </w:pPr>
            <w:r>
              <w:rPr>
                <w:rFonts w:hint="eastAsia"/>
                <w:highlight w:val="none"/>
              </w:rPr>
              <w:t>备注</w:t>
            </w:r>
          </w:p>
        </w:tc>
        <w:tc>
          <w:tcPr>
            <w:tcW w:w="8051" w:type="dxa"/>
            <w:gridSpan w:val="10"/>
            <w:tcBorders>
              <w:left w:val="single" w:color="auto" w:sz="6" w:space="0"/>
              <w:bottom w:val="single" w:color="auto" w:sz="12" w:space="0"/>
              <w:right w:val="single" w:color="auto" w:sz="12" w:space="0"/>
            </w:tcBorders>
            <w:vAlign w:val="center"/>
          </w:tcPr>
          <w:p w14:paraId="467EB3A2">
            <w:pPr>
              <w:spacing w:line="320" w:lineRule="exact"/>
              <w:ind w:left="220" w:hanging="220" w:hangingChars="100"/>
              <w:rPr>
                <w:highlight w:val="none"/>
              </w:rPr>
            </w:pPr>
            <w:r>
              <w:rPr>
                <w:rFonts w:hint="eastAsia"/>
                <w:highlight w:val="none"/>
              </w:rPr>
              <w:t>1．表格行数不足时请自行扩展。</w:t>
            </w:r>
          </w:p>
          <w:p w14:paraId="69F33C21">
            <w:pPr>
              <w:spacing w:line="320" w:lineRule="exact"/>
              <w:ind w:left="220" w:hanging="220" w:hangingChars="100"/>
              <w:rPr>
                <w:highlight w:val="none"/>
              </w:rPr>
            </w:pPr>
            <w:r>
              <w:rPr>
                <w:rFonts w:hint="eastAsia"/>
                <w:highlight w:val="none"/>
              </w:rPr>
              <w:t>2．表中所列“项目经理、管理人员、技术人员/服务人员、辅助人员”仅为示例，投标人可根据招标文件要求自行安排人员类别。</w:t>
            </w:r>
          </w:p>
          <w:p w14:paraId="6C321E5E">
            <w:pPr>
              <w:spacing w:line="320" w:lineRule="exact"/>
              <w:ind w:left="220" w:hanging="220" w:hangingChars="100"/>
              <w:rPr>
                <w:highlight w:val="none"/>
              </w:rPr>
            </w:pPr>
            <w:r>
              <w:rPr>
                <w:rFonts w:hint="eastAsia"/>
                <w:highlight w:val="none"/>
              </w:rPr>
              <w:t>3．招标文件对人员“资格\学历\职称”提出要求的，应在本表下方附相应的“资格证\学历证\职称证”等证明文件。</w:t>
            </w:r>
          </w:p>
        </w:tc>
      </w:tr>
    </w:tbl>
    <w:p w14:paraId="7F98B33E">
      <w:pPr>
        <w:pStyle w:val="75"/>
        <w:ind w:firstLine="480"/>
        <w:rPr>
          <w:rFonts w:hint="eastAsia" w:ascii="宋体" w:hAnsi="宋体" w:cs="宋体"/>
          <w:color w:val="auto"/>
          <w:highlight w:val="none"/>
        </w:rPr>
      </w:pPr>
    </w:p>
    <w:p w14:paraId="2E83D38A">
      <w:pPr>
        <w:pStyle w:val="75"/>
        <w:ind w:firstLine="480"/>
        <w:rPr>
          <w:rFonts w:ascii="宋体" w:hAnsi="宋体" w:cs="宋体"/>
          <w:bCs/>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（投标人全称并加盖公章）</w:t>
      </w:r>
    </w:p>
    <w:p w14:paraId="49C0B374">
      <w:pPr>
        <w:rPr>
          <w:b/>
          <w:highlight w:val="none"/>
        </w:rPr>
      </w:pPr>
      <w:r>
        <w:rPr>
          <w:rFonts w:hint="eastAsia"/>
          <w:b/>
          <w:highlight w:val="none"/>
        </w:rPr>
        <w:br w:type="page"/>
      </w:r>
    </w:p>
    <w:p w14:paraId="6B60D4FA">
      <w:pPr>
        <w:pStyle w:val="75"/>
        <w:ind w:firstLine="0" w:firstLineChars="0"/>
        <w:rPr>
          <w:color w:val="auto"/>
          <w:highlight w:val="none"/>
        </w:rPr>
      </w:pPr>
    </w:p>
    <w:p w14:paraId="0966642C">
      <w:pPr>
        <w:spacing w:before="120" w:beforeLines="50" w:line="480" w:lineRule="exact"/>
        <w:rPr>
          <w:b/>
          <w:highlight w:val="none"/>
        </w:rPr>
      </w:pPr>
      <w:r>
        <w:rPr>
          <w:rFonts w:hint="eastAsia"/>
          <w:b/>
          <w:highlight w:val="none"/>
          <w:lang w:val="en-US" w:eastAsia="zh-CN"/>
        </w:rPr>
        <w:t>2</w:t>
      </w:r>
      <w:r>
        <w:rPr>
          <w:rFonts w:hint="eastAsia"/>
          <w:b/>
          <w:highlight w:val="none"/>
        </w:rPr>
        <w:t>．业绩</w:t>
      </w:r>
    </w:p>
    <w:tbl>
      <w:tblPr>
        <w:tblStyle w:val="41"/>
        <w:tblW w:w="952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20"/>
        <w:gridCol w:w="2394"/>
        <w:gridCol w:w="1365"/>
        <w:gridCol w:w="2001"/>
        <w:gridCol w:w="1242"/>
      </w:tblGrid>
      <w:tr w14:paraId="2D26A4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noWrap w:val="0"/>
            <w:vAlign w:val="center"/>
          </w:tcPr>
          <w:p w14:paraId="56C6D53A">
            <w:pPr>
              <w:pStyle w:val="12"/>
              <w:ind w:firstLine="0"/>
              <w:jc w:val="center"/>
              <w:rPr>
                <w:rFonts w:hint="eastAsia" w:ascii="宋体" w:hAnsi="宋体"/>
                <w:b/>
                <w:szCs w:val="21"/>
                <w:highlight w:val="none"/>
              </w:rPr>
            </w:pPr>
            <w:r>
              <w:rPr>
                <w:rFonts w:hint="eastAsia" w:ascii="宋体" w:hAnsi="宋体"/>
                <w:b/>
                <w:szCs w:val="21"/>
                <w:highlight w:val="none"/>
              </w:rPr>
              <w:t>年份</w:t>
            </w:r>
          </w:p>
        </w:tc>
        <w:tc>
          <w:tcPr>
            <w:tcW w:w="1620" w:type="dxa"/>
            <w:noWrap w:val="0"/>
            <w:vAlign w:val="center"/>
          </w:tcPr>
          <w:p w14:paraId="25FBFBF2">
            <w:pPr>
              <w:pStyle w:val="12"/>
              <w:ind w:firstLine="0"/>
              <w:jc w:val="center"/>
              <w:rPr>
                <w:rFonts w:hint="eastAsia" w:ascii="宋体" w:hAnsi="宋体"/>
                <w:b/>
                <w:szCs w:val="21"/>
                <w:highlight w:val="none"/>
              </w:rPr>
            </w:pPr>
            <w:r>
              <w:rPr>
                <w:rFonts w:hint="eastAsia" w:ascii="宋体" w:hAnsi="宋体"/>
                <w:b/>
                <w:szCs w:val="21"/>
                <w:highlight w:val="none"/>
              </w:rPr>
              <w:t>用户名称</w:t>
            </w:r>
          </w:p>
        </w:tc>
        <w:tc>
          <w:tcPr>
            <w:tcW w:w="2394" w:type="dxa"/>
            <w:noWrap w:val="0"/>
            <w:vAlign w:val="center"/>
          </w:tcPr>
          <w:p w14:paraId="2CA308AB">
            <w:pPr>
              <w:pStyle w:val="12"/>
              <w:ind w:firstLine="0"/>
              <w:jc w:val="center"/>
              <w:rPr>
                <w:rFonts w:hint="eastAsia" w:ascii="宋体" w:hAnsi="宋体"/>
                <w:b/>
                <w:szCs w:val="21"/>
                <w:highlight w:val="none"/>
              </w:rPr>
            </w:pPr>
            <w:r>
              <w:rPr>
                <w:rFonts w:hint="eastAsia" w:ascii="宋体" w:hAnsi="宋体"/>
                <w:b/>
                <w:szCs w:val="21"/>
                <w:highlight w:val="none"/>
              </w:rPr>
              <w:t>项目名称</w:t>
            </w:r>
          </w:p>
        </w:tc>
        <w:tc>
          <w:tcPr>
            <w:tcW w:w="1365" w:type="dxa"/>
            <w:noWrap w:val="0"/>
            <w:vAlign w:val="center"/>
          </w:tcPr>
          <w:p w14:paraId="4B0CADCD">
            <w:pPr>
              <w:pStyle w:val="12"/>
              <w:ind w:firstLine="0"/>
              <w:jc w:val="center"/>
              <w:rPr>
                <w:rFonts w:hint="eastAsia" w:ascii="宋体" w:hAnsi="宋体"/>
                <w:b/>
                <w:szCs w:val="21"/>
                <w:highlight w:val="none"/>
              </w:rPr>
            </w:pPr>
            <w:r>
              <w:rPr>
                <w:rFonts w:hint="eastAsia" w:ascii="宋体" w:hAnsi="宋体"/>
                <w:b/>
                <w:szCs w:val="21"/>
                <w:highlight w:val="none"/>
              </w:rPr>
              <w:t>合同金额</w:t>
            </w:r>
          </w:p>
        </w:tc>
        <w:tc>
          <w:tcPr>
            <w:tcW w:w="2001" w:type="dxa"/>
            <w:noWrap w:val="0"/>
            <w:vAlign w:val="center"/>
          </w:tcPr>
          <w:p w14:paraId="4AFFD87F">
            <w:pPr>
              <w:pStyle w:val="12"/>
              <w:ind w:firstLine="0"/>
              <w:jc w:val="center"/>
              <w:rPr>
                <w:rFonts w:hint="default" w:ascii="宋体" w:hAnsi="宋体" w:eastAsia="宋体"/>
                <w:b/>
                <w:szCs w:val="21"/>
                <w:highlight w:val="none"/>
                <w:lang w:val="en-US" w:eastAsia="zh-CN"/>
              </w:rPr>
            </w:pPr>
            <w:r>
              <w:rPr>
                <w:rFonts w:hint="eastAsia" w:ascii="宋体" w:hAnsi="宋体" w:eastAsia="宋体"/>
                <w:b/>
                <w:szCs w:val="21"/>
                <w:highlight w:val="none"/>
                <w:lang w:val="en-US" w:eastAsia="zh-CN"/>
              </w:rPr>
              <w:t>签订时间</w:t>
            </w:r>
          </w:p>
        </w:tc>
        <w:tc>
          <w:tcPr>
            <w:tcW w:w="1242" w:type="dxa"/>
            <w:noWrap w:val="0"/>
            <w:vAlign w:val="center"/>
          </w:tcPr>
          <w:p w14:paraId="41534E5B">
            <w:pPr>
              <w:pStyle w:val="12"/>
              <w:ind w:firstLine="0"/>
              <w:jc w:val="center"/>
              <w:rPr>
                <w:rFonts w:hint="eastAsia" w:ascii="宋体" w:hAnsi="宋体"/>
                <w:b/>
                <w:szCs w:val="21"/>
                <w:highlight w:val="none"/>
              </w:rPr>
            </w:pPr>
            <w:r>
              <w:rPr>
                <w:rFonts w:hint="eastAsia" w:ascii="宋体" w:hAnsi="宋体"/>
                <w:b/>
                <w:szCs w:val="21"/>
                <w:highlight w:val="none"/>
              </w:rPr>
              <w:t>备注</w:t>
            </w:r>
          </w:p>
        </w:tc>
      </w:tr>
      <w:tr w14:paraId="03F27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0302F740">
            <w:pPr>
              <w:pStyle w:val="12"/>
              <w:ind w:firstLine="0"/>
              <w:rPr>
                <w:rFonts w:hint="eastAsia" w:ascii="宋体" w:hAnsi="宋体"/>
                <w:szCs w:val="21"/>
                <w:highlight w:val="none"/>
              </w:rPr>
            </w:pPr>
          </w:p>
        </w:tc>
        <w:tc>
          <w:tcPr>
            <w:tcW w:w="1620" w:type="dxa"/>
            <w:noWrap w:val="0"/>
            <w:vAlign w:val="top"/>
          </w:tcPr>
          <w:p w14:paraId="23AAF743">
            <w:pPr>
              <w:pStyle w:val="12"/>
              <w:ind w:firstLine="0"/>
              <w:rPr>
                <w:rFonts w:hint="eastAsia" w:ascii="宋体" w:hAnsi="宋体"/>
                <w:szCs w:val="21"/>
                <w:highlight w:val="none"/>
              </w:rPr>
            </w:pPr>
          </w:p>
        </w:tc>
        <w:tc>
          <w:tcPr>
            <w:tcW w:w="2394" w:type="dxa"/>
            <w:noWrap w:val="0"/>
            <w:vAlign w:val="top"/>
          </w:tcPr>
          <w:p w14:paraId="1CCCFA5D">
            <w:pPr>
              <w:pStyle w:val="12"/>
              <w:ind w:firstLine="0"/>
              <w:rPr>
                <w:rFonts w:hint="eastAsia" w:ascii="宋体" w:hAnsi="宋体"/>
                <w:szCs w:val="21"/>
                <w:highlight w:val="none"/>
              </w:rPr>
            </w:pPr>
          </w:p>
        </w:tc>
        <w:tc>
          <w:tcPr>
            <w:tcW w:w="1365" w:type="dxa"/>
            <w:noWrap w:val="0"/>
            <w:vAlign w:val="top"/>
          </w:tcPr>
          <w:p w14:paraId="4F99B137">
            <w:pPr>
              <w:pStyle w:val="12"/>
              <w:ind w:firstLine="0"/>
              <w:rPr>
                <w:rFonts w:hint="eastAsia" w:ascii="宋体" w:hAnsi="宋体"/>
                <w:szCs w:val="21"/>
                <w:highlight w:val="none"/>
              </w:rPr>
            </w:pPr>
          </w:p>
        </w:tc>
        <w:tc>
          <w:tcPr>
            <w:tcW w:w="2001" w:type="dxa"/>
            <w:noWrap w:val="0"/>
            <w:vAlign w:val="top"/>
          </w:tcPr>
          <w:p w14:paraId="798C8066">
            <w:pPr>
              <w:pStyle w:val="12"/>
              <w:ind w:firstLine="0"/>
              <w:rPr>
                <w:rFonts w:hint="eastAsia" w:ascii="宋体" w:hAnsi="宋体"/>
                <w:szCs w:val="21"/>
                <w:highlight w:val="none"/>
              </w:rPr>
            </w:pPr>
          </w:p>
        </w:tc>
        <w:tc>
          <w:tcPr>
            <w:tcW w:w="1242" w:type="dxa"/>
            <w:noWrap w:val="0"/>
            <w:vAlign w:val="top"/>
          </w:tcPr>
          <w:p w14:paraId="6B9D9E19">
            <w:pPr>
              <w:pStyle w:val="12"/>
              <w:ind w:firstLine="0"/>
              <w:rPr>
                <w:rFonts w:hint="eastAsia" w:ascii="宋体" w:hAnsi="宋体"/>
                <w:szCs w:val="21"/>
                <w:highlight w:val="none"/>
              </w:rPr>
            </w:pPr>
          </w:p>
        </w:tc>
      </w:tr>
      <w:tr w14:paraId="7C7FB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0A32D64E">
            <w:pPr>
              <w:pStyle w:val="12"/>
              <w:ind w:firstLine="0"/>
              <w:rPr>
                <w:rFonts w:hint="eastAsia" w:ascii="宋体" w:hAnsi="宋体"/>
                <w:szCs w:val="21"/>
                <w:highlight w:val="none"/>
              </w:rPr>
            </w:pPr>
          </w:p>
        </w:tc>
        <w:tc>
          <w:tcPr>
            <w:tcW w:w="1620" w:type="dxa"/>
            <w:noWrap w:val="0"/>
            <w:vAlign w:val="top"/>
          </w:tcPr>
          <w:p w14:paraId="5E6C44F9">
            <w:pPr>
              <w:pStyle w:val="12"/>
              <w:ind w:firstLine="0"/>
              <w:rPr>
                <w:rFonts w:hint="eastAsia" w:ascii="宋体" w:hAnsi="宋体"/>
                <w:szCs w:val="21"/>
                <w:highlight w:val="none"/>
              </w:rPr>
            </w:pPr>
          </w:p>
        </w:tc>
        <w:tc>
          <w:tcPr>
            <w:tcW w:w="2394" w:type="dxa"/>
            <w:noWrap w:val="0"/>
            <w:vAlign w:val="top"/>
          </w:tcPr>
          <w:p w14:paraId="6F59C0CD">
            <w:pPr>
              <w:pStyle w:val="12"/>
              <w:ind w:firstLine="0"/>
              <w:rPr>
                <w:rFonts w:hint="eastAsia" w:ascii="宋体" w:hAnsi="宋体"/>
                <w:szCs w:val="21"/>
                <w:highlight w:val="none"/>
              </w:rPr>
            </w:pPr>
          </w:p>
        </w:tc>
        <w:tc>
          <w:tcPr>
            <w:tcW w:w="1365" w:type="dxa"/>
            <w:noWrap w:val="0"/>
            <w:vAlign w:val="top"/>
          </w:tcPr>
          <w:p w14:paraId="45D7D622">
            <w:pPr>
              <w:pStyle w:val="12"/>
              <w:ind w:firstLine="0"/>
              <w:rPr>
                <w:rFonts w:hint="eastAsia" w:ascii="宋体" w:hAnsi="宋体"/>
                <w:szCs w:val="21"/>
                <w:highlight w:val="none"/>
              </w:rPr>
            </w:pPr>
          </w:p>
        </w:tc>
        <w:tc>
          <w:tcPr>
            <w:tcW w:w="2001" w:type="dxa"/>
            <w:noWrap w:val="0"/>
            <w:vAlign w:val="top"/>
          </w:tcPr>
          <w:p w14:paraId="4AF5C694">
            <w:pPr>
              <w:pStyle w:val="12"/>
              <w:ind w:firstLine="0"/>
              <w:rPr>
                <w:rFonts w:hint="eastAsia" w:ascii="宋体" w:hAnsi="宋体"/>
                <w:szCs w:val="21"/>
                <w:highlight w:val="none"/>
              </w:rPr>
            </w:pPr>
          </w:p>
        </w:tc>
        <w:tc>
          <w:tcPr>
            <w:tcW w:w="1242" w:type="dxa"/>
            <w:noWrap w:val="0"/>
            <w:vAlign w:val="top"/>
          </w:tcPr>
          <w:p w14:paraId="26F844EE">
            <w:pPr>
              <w:pStyle w:val="12"/>
              <w:ind w:firstLine="0"/>
              <w:rPr>
                <w:rFonts w:hint="eastAsia" w:ascii="宋体" w:hAnsi="宋体"/>
                <w:szCs w:val="21"/>
                <w:highlight w:val="none"/>
              </w:rPr>
            </w:pPr>
          </w:p>
        </w:tc>
      </w:tr>
      <w:tr w14:paraId="01DBD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619185E8">
            <w:pPr>
              <w:pStyle w:val="12"/>
              <w:ind w:firstLine="0"/>
              <w:rPr>
                <w:rFonts w:hint="eastAsia" w:ascii="宋体" w:hAnsi="宋体"/>
                <w:szCs w:val="21"/>
                <w:highlight w:val="none"/>
              </w:rPr>
            </w:pPr>
          </w:p>
        </w:tc>
        <w:tc>
          <w:tcPr>
            <w:tcW w:w="1620" w:type="dxa"/>
            <w:noWrap w:val="0"/>
            <w:vAlign w:val="top"/>
          </w:tcPr>
          <w:p w14:paraId="79AF634D">
            <w:pPr>
              <w:pStyle w:val="12"/>
              <w:ind w:firstLine="0"/>
              <w:rPr>
                <w:rFonts w:hint="eastAsia" w:ascii="宋体" w:hAnsi="宋体"/>
                <w:szCs w:val="21"/>
                <w:highlight w:val="none"/>
              </w:rPr>
            </w:pPr>
          </w:p>
        </w:tc>
        <w:tc>
          <w:tcPr>
            <w:tcW w:w="2394" w:type="dxa"/>
            <w:noWrap w:val="0"/>
            <w:vAlign w:val="top"/>
          </w:tcPr>
          <w:p w14:paraId="101D9E9D">
            <w:pPr>
              <w:pStyle w:val="12"/>
              <w:ind w:firstLine="0"/>
              <w:rPr>
                <w:rFonts w:hint="eastAsia" w:ascii="宋体" w:hAnsi="宋体"/>
                <w:szCs w:val="21"/>
                <w:highlight w:val="none"/>
              </w:rPr>
            </w:pPr>
          </w:p>
        </w:tc>
        <w:tc>
          <w:tcPr>
            <w:tcW w:w="1365" w:type="dxa"/>
            <w:noWrap w:val="0"/>
            <w:vAlign w:val="top"/>
          </w:tcPr>
          <w:p w14:paraId="7D811F83">
            <w:pPr>
              <w:pStyle w:val="12"/>
              <w:ind w:firstLine="0"/>
              <w:rPr>
                <w:rFonts w:hint="eastAsia" w:ascii="宋体" w:hAnsi="宋体"/>
                <w:szCs w:val="21"/>
                <w:highlight w:val="none"/>
              </w:rPr>
            </w:pPr>
          </w:p>
        </w:tc>
        <w:tc>
          <w:tcPr>
            <w:tcW w:w="2001" w:type="dxa"/>
            <w:noWrap w:val="0"/>
            <w:vAlign w:val="top"/>
          </w:tcPr>
          <w:p w14:paraId="353FC7B7">
            <w:pPr>
              <w:pStyle w:val="12"/>
              <w:ind w:firstLine="0"/>
              <w:rPr>
                <w:rFonts w:hint="eastAsia" w:ascii="宋体" w:hAnsi="宋体"/>
                <w:szCs w:val="21"/>
                <w:highlight w:val="none"/>
              </w:rPr>
            </w:pPr>
          </w:p>
        </w:tc>
        <w:tc>
          <w:tcPr>
            <w:tcW w:w="1242" w:type="dxa"/>
            <w:noWrap w:val="0"/>
            <w:vAlign w:val="top"/>
          </w:tcPr>
          <w:p w14:paraId="35DC47EA">
            <w:pPr>
              <w:pStyle w:val="12"/>
              <w:ind w:firstLine="0"/>
              <w:rPr>
                <w:rFonts w:hint="eastAsia" w:ascii="宋体" w:hAnsi="宋体"/>
                <w:szCs w:val="21"/>
                <w:highlight w:val="none"/>
              </w:rPr>
            </w:pPr>
          </w:p>
        </w:tc>
      </w:tr>
      <w:tr w14:paraId="224A2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12E5305B">
            <w:pPr>
              <w:pStyle w:val="12"/>
              <w:ind w:firstLine="0"/>
              <w:rPr>
                <w:rFonts w:hint="eastAsia" w:ascii="宋体" w:hAnsi="宋体"/>
                <w:szCs w:val="21"/>
                <w:highlight w:val="none"/>
              </w:rPr>
            </w:pPr>
          </w:p>
        </w:tc>
        <w:tc>
          <w:tcPr>
            <w:tcW w:w="1620" w:type="dxa"/>
            <w:noWrap w:val="0"/>
            <w:vAlign w:val="top"/>
          </w:tcPr>
          <w:p w14:paraId="39842445">
            <w:pPr>
              <w:pStyle w:val="12"/>
              <w:ind w:firstLine="0"/>
              <w:rPr>
                <w:rFonts w:hint="eastAsia" w:ascii="宋体" w:hAnsi="宋体"/>
                <w:szCs w:val="21"/>
                <w:highlight w:val="none"/>
              </w:rPr>
            </w:pPr>
          </w:p>
        </w:tc>
        <w:tc>
          <w:tcPr>
            <w:tcW w:w="2394" w:type="dxa"/>
            <w:noWrap w:val="0"/>
            <w:vAlign w:val="top"/>
          </w:tcPr>
          <w:p w14:paraId="016AD905">
            <w:pPr>
              <w:pStyle w:val="12"/>
              <w:ind w:firstLine="0"/>
              <w:rPr>
                <w:rFonts w:hint="eastAsia" w:ascii="宋体" w:hAnsi="宋体"/>
                <w:szCs w:val="21"/>
                <w:highlight w:val="none"/>
              </w:rPr>
            </w:pPr>
          </w:p>
        </w:tc>
        <w:tc>
          <w:tcPr>
            <w:tcW w:w="1365" w:type="dxa"/>
            <w:noWrap w:val="0"/>
            <w:vAlign w:val="top"/>
          </w:tcPr>
          <w:p w14:paraId="24216B5B">
            <w:pPr>
              <w:pStyle w:val="12"/>
              <w:ind w:firstLine="0"/>
              <w:rPr>
                <w:rFonts w:hint="eastAsia" w:ascii="宋体" w:hAnsi="宋体"/>
                <w:szCs w:val="21"/>
                <w:highlight w:val="none"/>
              </w:rPr>
            </w:pPr>
          </w:p>
        </w:tc>
        <w:tc>
          <w:tcPr>
            <w:tcW w:w="2001" w:type="dxa"/>
            <w:noWrap w:val="0"/>
            <w:vAlign w:val="top"/>
          </w:tcPr>
          <w:p w14:paraId="3040F90A">
            <w:pPr>
              <w:pStyle w:val="12"/>
              <w:ind w:firstLine="0"/>
              <w:rPr>
                <w:rFonts w:hint="eastAsia" w:ascii="宋体" w:hAnsi="宋体"/>
                <w:szCs w:val="21"/>
                <w:highlight w:val="none"/>
              </w:rPr>
            </w:pPr>
          </w:p>
        </w:tc>
        <w:tc>
          <w:tcPr>
            <w:tcW w:w="1242" w:type="dxa"/>
            <w:noWrap w:val="0"/>
            <w:vAlign w:val="top"/>
          </w:tcPr>
          <w:p w14:paraId="474810C6">
            <w:pPr>
              <w:pStyle w:val="12"/>
              <w:ind w:firstLine="0"/>
              <w:rPr>
                <w:rFonts w:hint="eastAsia" w:ascii="宋体" w:hAnsi="宋体"/>
                <w:szCs w:val="21"/>
                <w:highlight w:val="none"/>
              </w:rPr>
            </w:pPr>
          </w:p>
        </w:tc>
      </w:tr>
      <w:tr w14:paraId="357FA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4BB6D967">
            <w:pPr>
              <w:pStyle w:val="12"/>
              <w:ind w:firstLine="0"/>
              <w:rPr>
                <w:rFonts w:hint="eastAsia" w:ascii="宋体" w:hAnsi="宋体"/>
                <w:szCs w:val="21"/>
                <w:highlight w:val="none"/>
              </w:rPr>
            </w:pPr>
          </w:p>
        </w:tc>
        <w:tc>
          <w:tcPr>
            <w:tcW w:w="1620" w:type="dxa"/>
            <w:noWrap w:val="0"/>
            <w:vAlign w:val="top"/>
          </w:tcPr>
          <w:p w14:paraId="0CA9E70A">
            <w:pPr>
              <w:pStyle w:val="12"/>
              <w:ind w:firstLine="0"/>
              <w:rPr>
                <w:rFonts w:hint="eastAsia" w:ascii="宋体" w:hAnsi="宋体"/>
                <w:szCs w:val="21"/>
                <w:highlight w:val="none"/>
              </w:rPr>
            </w:pPr>
          </w:p>
        </w:tc>
        <w:tc>
          <w:tcPr>
            <w:tcW w:w="2394" w:type="dxa"/>
            <w:noWrap w:val="0"/>
            <w:vAlign w:val="top"/>
          </w:tcPr>
          <w:p w14:paraId="78009958">
            <w:pPr>
              <w:pStyle w:val="12"/>
              <w:ind w:firstLine="0"/>
              <w:rPr>
                <w:rFonts w:hint="eastAsia" w:ascii="宋体" w:hAnsi="宋体"/>
                <w:szCs w:val="21"/>
                <w:highlight w:val="none"/>
              </w:rPr>
            </w:pPr>
          </w:p>
        </w:tc>
        <w:tc>
          <w:tcPr>
            <w:tcW w:w="1365" w:type="dxa"/>
            <w:noWrap w:val="0"/>
            <w:vAlign w:val="top"/>
          </w:tcPr>
          <w:p w14:paraId="0935BC2F">
            <w:pPr>
              <w:pStyle w:val="12"/>
              <w:ind w:firstLine="0"/>
              <w:rPr>
                <w:rFonts w:hint="eastAsia" w:ascii="宋体" w:hAnsi="宋体"/>
                <w:szCs w:val="21"/>
                <w:highlight w:val="none"/>
              </w:rPr>
            </w:pPr>
          </w:p>
        </w:tc>
        <w:tc>
          <w:tcPr>
            <w:tcW w:w="2001" w:type="dxa"/>
            <w:noWrap w:val="0"/>
            <w:vAlign w:val="top"/>
          </w:tcPr>
          <w:p w14:paraId="31F2E62F">
            <w:pPr>
              <w:pStyle w:val="12"/>
              <w:ind w:firstLine="0"/>
              <w:rPr>
                <w:rFonts w:hint="eastAsia" w:ascii="宋体" w:hAnsi="宋体"/>
                <w:szCs w:val="21"/>
                <w:highlight w:val="none"/>
              </w:rPr>
            </w:pPr>
          </w:p>
        </w:tc>
        <w:tc>
          <w:tcPr>
            <w:tcW w:w="1242" w:type="dxa"/>
            <w:noWrap w:val="0"/>
            <w:vAlign w:val="top"/>
          </w:tcPr>
          <w:p w14:paraId="06266833">
            <w:pPr>
              <w:pStyle w:val="12"/>
              <w:ind w:firstLine="0"/>
              <w:rPr>
                <w:rFonts w:hint="eastAsia" w:ascii="宋体" w:hAnsi="宋体"/>
                <w:szCs w:val="21"/>
                <w:highlight w:val="none"/>
              </w:rPr>
            </w:pPr>
          </w:p>
        </w:tc>
      </w:tr>
      <w:tr w14:paraId="18F80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58455BE2">
            <w:pPr>
              <w:pStyle w:val="12"/>
              <w:ind w:firstLine="0"/>
              <w:rPr>
                <w:rFonts w:hint="eastAsia" w:ascii="宋体" w:hAnsi="宋体"/>
                <w:szCs w:val="21"/>
                <w:highlight w:val="none"/>
              </w:rPr>
            </w:pPr>
          </w:p>
        </w:tc>
        <w:tc>
          <w:tcPr>
            <w:tcW w:w="1620" w:type="dxa"/>
            <w:noWrap w:val="0"/>
            <w:vAlign w:val="top"/>
          </w:tcPr>
          <w:p w14:paraId="550754ED">
            <w:pPr>
              <w:pStyle w:val="12"/>
              <w:ind w:firstLine="0"/>
              <w:rPr>
                <w:rFonts w:hint="eastAsia" w:ascii="宋体" w:hAnsi="宋体"/>
                <w:szCs w:val="21"/>
                <w:highlight w:val="none"/>
              </w:rPr>
            </w:pPr>
          </w:p>
        </w:tc>
        <w:tc>
          <w:tcPr>
            <w:tcW w:w="2394" w:type="dxa"/>
            <w:noWrap w:val="0"/>
            <w:vAlign w:val="top"/>
          </w:tcPr>
          <w:p w14:paraId="2C1ADF69">
            <w:pPr>
              <w:pStyle w:val="12"/>
              <w:ind w:firstLine="0"/>
              <w:rPr>
                <w:rFonts w:hint="eastAsia" w:ascii="宋体" w:hAnsi="宋体"/>
                <w:szCs w:val="21"/>
                <w:highlight w:val="none"/>
              </w:rPr>
            </w:pPr>
          </w:p>
        </w:tc>
        <w:tc>
          <w:tcPr>
            <w:tcW w:w="1365" w:type="dxa"/>
            <w:noWrap w:val="0"/>
            <w:vAlign w:val="top"/>
          </w:tcPr>
          <w:p w14:paraId="6E98C6AF">
            <w:pPr>
              <w:pStyle w:val="12"/>
              <w:ind w:firstLine="0"/>
              <w:rPr>
                <w:rFonts w:hint="eastAsia" w:ascii="宋体" w:hAnsi="宋体"/>
                <w:szCs w:val="21"/>
                <w:highlight w:val="none"/>
              </w:rPr>
            </w:pPr>
          </w:p>
        </w:tc>
        <w:tc>
          <w:tcPr>
            <w:tcW w:w="2001" w:type="dxa"/>
            <w:noWrap w:val="0"/>
            <w:vAlign w:val="top"/>
          </w:tcPr>
          <w:p w14:paraId="05B9F33F">
            <w:pPr>
              <w:pStyle w:val="12"/>
              <w:ind w:firstLine="0"/>
              <w:rPr>
                <w:rFonts w:hint="eastAsia" w:ascii="宋体" w:hAnsi="宋体"/>
                <w:szCs w:val="21"/>
                <w:highlight w:val="none"/>
              </w:rPr>
            </w:pPr>
          </w:p>
        </w:tc>
        <w:tc>
          <w:tcPr>
            <w:tcW w:w="1242" w:type="dxa"/>
            <w:noWrap w:val="0"/>
            <w:vAlign w:val="top"/>
          </w:tcPr>
          <w:p w14:paraId="56CEB606">
            <w:pPr>
              <w:pStyle w:val="12"/>
              <w:ind w:firstLine="0"/>
              <w:rPr>
                <w:rFonts w:hint="eastAsia" w:ascii="宋体" w:hAnsi="宋体"/>
                <w:szCs w:val="21"/>
                <w:highlight w:val="none"/>
              </w:rPr>
            </w:pPr>
          </w:p>
        </w:tc>
      </w:tr>
      <w:tr w14:paraId="10F4D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48414248">
            <w:pPr>
              <w:pStyle w:val="12"/>
              <w:ind w:firstLine="0"/>
              <w:rPr>
                <w:rFonts w:hint="eastAsia" w:ascii="宋体" w:hAnsi="宋体"/>
                <w:szCs w:val="21"/>
                <w:highlight w:val="none"/>
              </w:rPr>
            </w:pPr>
          </w:p>
        </w:tc>
        <w:tc>
          <w:tcPr>
            <w:tcW w:w="1620" w:type="dxa"/>
            <w:noWrap w:val="0"/>
            <w:vAlign w:val="top"/>
          </w:tcPr>
          <w:p w14:paraId="66F3D571">
            <w:pPr>
              <w:pStyle w:val="12"/>
              <w:ind w:firstLine="0"/>
              <w:rPr>
                <w:rFonts w:hint="eastAsia" w:ascii="宋体" w:hAnsi="宋体"/>
                <w:szCs w:val="21"/>
                <w:highlight w:val="none"/>
              </w:rPr>
            </w:pPr>
          </w:p>
        </w:tc>
        <w:tc>
          <w:tcPr>
            <w:tcW w:w="2394" w:type="dxa"/>
            <w:noWrap w:val="0"/>
            <w:vAlign w:val="top"/>
          </w:tcPr>
          <w:p w14:paraId="40CF138D">
            <w:pPr>
              <w:pStyle w:val="12"/>
              <w:ind w:firstLine="0"/>
              <w:rPr>
                <w:rFonts w:hint="eastAsia" w:ascii="宋体" w:hAnsi="宋体"/>
                <w:szCs w:val="21"/>
                <w:highlight w:val="none"/>
              </w:rPr>
            </w:pPr>
          </w:p>
        </w:tc>
        <w:tc>
          <w:tcPr>
            <w:tcW w:w="1365" w:type="dxa"/>
            <w:noWrap w:val="0"/>
            <w:vAlign w:val="top"/>
          </w:tcPr>
          <w:p w14:paraId="601B8AF7">
            <w:pPr>
              <w:pStyle w:val="12"/>
              <w:ind w:firstLine="0"/>
              <w:rPr>
                <w:rFonts w:hint="eastAsia" w:ascii="宋体" w:hAnsi="宋体"/>
                <w:szCs w:val="21"/>
                <w:highlight w:val="none"/>
              </w:rPr>
            </w:pPr>
          </w:p>
        </w:tc>
        <w:tc>
          <w:tcPr>
            <w:tcW w:w="2001" w:type="dxa"/>
            <w:noWrap w:val="0"/>
            <w:vAlign w:val="top"/>
          </w:tcPr>
          <w:p w14:paraId="3712917E">
            <w:pPr>
              <w:pStyle w:val="12"/>
              <w:ind w:firstLine="0"/>
              <w:rPr>
                <w:rFonts w:hint="eastAsia" w:ascii="宋体" w:hAnsi="宋体"/>
                <w:szCs w:val="21"/>
                <w:highlight w:val="none"/>
              </w:rPr>
            </w:pPr>
          </w:p>
        </w:tc>
        <w:tc>
          <w:tcPr>
            <w:tcW w:w="1242" w:type="dxa"/>
            <w:noWrap w:val="0"/>
            <w:vAlign w:val="top"/>
          </w:tcPr>
          <w:p w14:paraId="44721DAA">
            <w:pPr>
              <w:pStyle w:val="12"/>
              <w:ind w:firstLine="0"/>
              <w:rPr>
                <w:rFonts w:hint="eastAsia" w:ascii="宋体" w:hAnsi="宋体"/>
                <w:szCs w:val="21"/>
                <w:highlight w:val="none"/>
              </w:rPr>
            </w:pPr>
          </w:p>
        </w:tc>
      </w:tr>
      <w:tr w14:paraId="407DBF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2DC8CF8D">
            <w:pPr>
              <w:pStyle w:val="12"/>
              <w:ind w:firstLine="0"/>
              <w:rPr>
                <w:rFonts w:hint="eastAsia" w:ascii="宋体" w:hAnsi="宋体"/>
                <w:szCs w:val="21"/>
                <w:highlight w:val="none"/>
              </w:rPr>
            </w:pPr>
          </w:p>
        </w:tc>
        <w:tc>
          <w:tcPr>
            <w:tcW w:w="1620" w:type="dxa"/>
            <w:noWrap w:val="0"/>
            <w:vAlign w:val="top"/>
          </w:tcPr>
          <w:p w14:paraId="2D5A5327">
            <w:pPr>
              <w:pStyle w:val="12"/>
              <w:ind w:firstLine="0"/>
              <w:rPr>
                <w:rFonts w:hint="eastAsia" w:ascii="宋体" w:hAnsi="宋体"/>
                <w:szCs w:val="21"/>
                <w:highlight w:val="none"/>
              </w:rPr>
            </w:pPr>
          </w:p>
        </w:tc>
        <w:tc>
          <w:tcPr>
            <w:tcW w:w="2394" w:type="dxa"/>
            <w:noWrap w:val="0"/>
            <w:vAlign w:val="top"/>
          </w:tcPr>
          <w:p w14:paraId="4C752175">
            <w:pPr>
              <w:pStyle w:val="12"/>
              <w:ind w:firstLine="0"/>
              <w:rPr>
                <w:rFonts w:hint="eastAsia" w:ascii="宋体" w:hAnsi="宋体"/>
                <w:szCs w:val="21"/>
                <w:highlight w:val="none"/>
              </w:rPr>
            </w:pPr>
          </w:p>
        </w:tc>
        <w:tc>
          <w:tcPr>
            <w:tcW w:w="1365" w:type="dxa"/>
            <w:noWrap w:val="0"/>
            <w:vAlign w:val="top"/>
          </w:tcPr>
          <w:p w14:paraId="7B03E111">
            <w:pPr>
              <w:pStyle w:val="12"/>
              <w:ind w:firstLine="0"/>
              <w:rPr>
                <w:rFonts w:hint="eastAsia" w:ascii="宋体" w:hAnsi="宋体"/>
                <w:szCs w:val="21"/>
                <w:highlight w:val="none"/>
              </w:rPr>
            </w:pPr>
          </w:p>
        </w:tc>
        <w:tc>
          <w:tcPr>
            <w:tcW w:w="2001" w:type="dxa"/>
            <w:noWrap w:val="0"/>
            <w:vAlign w:val="top"/>
          </w:tcPr>
          <w:p w14:paraId="26AEC1AA">
            <w:pPr>
              <w:pStyle w:val="12"/>
              <w:ind w:firstLine="0"/>
              <w:rPr>
                <w:rFonts w:hint="eastAsia" w:ascii="宋体" w:hAnsi="宋体"/>
                <w:szCs w:val="21"/>
                <w:highlight w:val="none"/>
              </w:rPr>
            </w:pPr>
          </w:p>
        </w:tc>
        <w:tc>
          <w:tcPr>
            <w:tcW w:w="1242" w:type="dxa"/>
            <w:noWrap w:val="0"/>
            <w:vAlign w:val="top"/>
          </w:tcPr>
          <w:p w14:paraId="776217DB">
            <w:pPr>
              <w:pStyle w:val="12"/>
              <w:ind w:firstLine="0"/>
              <w:rPr>
                <w:rFonts w:hint="eastAsia" w:ascii="宋体" w:hAnsi="宋体"/>
                <w:szCs w:val="21"/>
                <w:highlight w:val="none"/>
              </w:rPr>
            </w:pPr>
          </w:p>
        </w:tc>
      </w:tr>
      <w:tr w14:paraId="1A6F4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000307D1">
            <w:pPr>
              <w:pStyle w:val="12"/>
              <w:ind w:firstLine="0"/>
              <w:rPr>
                <w:rFonts w:hint="eastAsia" w:ascii="宋体" w:hAnsi="宋体"/>
                <w:szCs w:val="21"/>
                <w:highlight w:val="none"/>
              </w:rPr>
            </w:pPr>
          </w:p>
        </w:tc>
        <w:tc>
          <w:tcPr>
            <w:tcW w:w="1620" w:type="dxa"/>
            <w:noWrap w:val="0"/>
            <w:vAlign w:val="top"/>
          </w:tcPr>
          <w:p w14:paraId="10F65449">
            <w:pPr>
              <w:pStyle w:val="12"/>
              <w:ind w:firstLine="0"/>
              <w:rPr>
                <w:rFonts w:hint="eastAsia" w:ascii="宋体" w:hAnsi="宋体"/>
                <w:szCs w:val="21"/>
                <w:highlight w:val="none"/>
              </w:rPr>
            </w:pPr>
          </w:p>
        </w:tc>
        <w:tc>
          <w:tcPr>
            <w:tcW w:w="2394" w:type="dxa"/>
            <w:noWrap w:val="0"/>
            <w:vAlign w:val="top"/>
          </w:tcPr>
          <w:p w14:paraId="34F99DA3">
            <w:pPr>
              <w:pStyle w:val="12"/>
              <w:ind w:firstLine="0"/>
              <w:rPr>
                <w:rFonts w:hint="eastAsia" w:ascii="宋体" w:hAnsi="宋体"/>
                <w:szCs w:val="21"/>
                <w:highlight w:val="none"/>
              </w:rPr>
            </w:pPr>
          </w:p>
        </w:tc>
        <w:tc>
          <w:tcPr>
            <w:tcW w:w="1365" w:type="dxa"/>
            <w:noWrap w:val="0"/>
            <w:vAlign w:val="top"/>
          </w:tcPr>
          <w:p w14:paraId="37F75117">
            <w:pPr>
              <w:pStyle w:val="12"/>
              <w:ind w:firstLine="0"/>
              <w:rPr>
                <w:rFonts w:hint="eastAsia" w:ascii="宋体" w:hAnsi="宋体"/>
                <w:szCs w:val="21"/>
                <w:highlight w:val="none"/>
              </w:rPr>
            </w:pPr>
          </w:p>
        </w:tc>
        <w:tc>
          <w:tcPr>
            <w:tcW w:w="2001" w:type="dxa"/>
            <w:noWrap w:val="0"/>
            <w:vAlign w:val="top"/>
          </w:tcPr>
          <w:p w14:paraId="3BEE256A">
            <w:pPr>
              <w:pStyle w:val="12"/>
              <w:ind w:firstLine="0"/>
              <w:rPr>
                <w:rFonts w:hint="eastAsia" w:ascii="宋体" w:hAnsi="宋体"/>
                <w:szCs w:val="21"/>
                <w:highlight w:val="none"/>
              </w:rPr>
            </w:pPr>
          </w:p>
        </w:tc>
        <w:tc>
          <w:tcPr>
            <w:tcW w:w="1242" w:type="dxa"/>
            <w:noWrap w:val="0"/>
            <w:vAlign w:val="top"/>
          </w:tcPr>
          <w:p w14:paraId="013E06FF">
            <w:pPr>
              <w:pStyle w:val="12"/>
              <w:ind w:firstLine="0"/>
              <w:rPr>
                <w:rFonts w:hint="eastAsia" w:ascii="宋体" w:hAnsi="宋体"/>
                <w:szCs w:val="21"/>
                <w:highlight w:val="none"/>
              </w:rPr>
            </w:pPr>
          </w:p>
        </w:tc>
      </w:tr>
      <w:tr w14:paraId="2A084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3821568F">
            <w:pPr>
              <w:pStyle w:val="12"/>
              <w:ind w:firstLine="0"/>
              <w:rPr>
                <w:rFonts w:hint="eastAsia" w:ascii="宋体" w:hAnsi="宋体"/>
                <w:szCs w:val="21"/>
                <w:highlight w:val="none"/>
              </w:rPr>
            </w:pPr>
          </w:p>
        </w:tc>
        <w:tc>
          <w:tcPr>
            <w:tcW w:w="1620" w:type="dxa"/>
            <w:noWrap w:val="0"/>
            <w:vAlign w:val="top"/>
          </w:tcPr>
          <w:p w14:paraId="5652508C">
            <w:pPr>
              <w:pStyle w:val="12"/>
              <w:ind w:firstLine="0"/>
              <w:rPr>
                <w:rFonts w:hint="eastAsia" w:ascii="宋体" w:hAnsi="宋体"/>
                <w:szCs w:val="21"/>
                <w:highlight w:val="none"/>
              </w:rPr>
            </w:pPr>
          </w:p>
        </w:tc>
        <w:tc>
          <w:tcPr>
            <w:tcW w:w="2394" w:type="dxa"/>
            <w:noWrap w:val="0"/>
            <w:vAlign w:val="top"/>
          </w:tcPr>
          <w:p w14:paraId="1607F02C">
            <w:pPr>
              <w:pStyle w:val="12"/>
              <w:ind w:firstLine="0"/>
              <w:rPr>
                <w:rFonts w:hint="eastAsia" w:ascii="宋体" w:hAnsi="宋体"/>
                <w:szCs w:val="21"/>
                <w:highlight w:val="none"/>
              </w:rPr>
            </w:pPr>
          </w:p>
        </w:tc>
        <w:tc>
          <w:tcPr>
            <w:tcW w:w="1365" w:type="dxa"/>
            <w:noWrap w:val="0"/>
            <w:vAlign w:val="top"/>
          </w:tcPr>
          <w:p w14:paraId="00941D40">
            <w:pPr>
              <w:pStyle w:val="12"/>
              <w:ind w:firstLine="0"/>
              <w:rPr>
                <w:rFonts w:hint="eastAsia" w:ascii="宋体" w:hAnsi="宋体"/>
                <w:szCs w:val="21"/>
                <w:highlight w:val="none"/>
              </w:rPr>
            </w:pPr>
          </w:p>
        </w:tc>
        <w:tc>
          <w:tcPr>
            <w:tcW w:w="2001" w:type="dxa"/>
            <w:noWrap w:val="0"/>
            <w:vAlign w:val="top"/>
          </w:tcPr>
          <w:p w14:paraId="18651EA3">
            <w:pPr>
              <w:pStyle w:val="12"/>
              <w:ind w:firstLine="0"/>
              <w:rPr>
                <w:rFonts w:hint="eastAsia" w:ascii="宋体" w:hAnsi="宋体"/>
                <w:szCs w:val="21"/>
                <w:highlight w:val="none"/>
              </w:rPr>
            </w:pPr>
          </w:p>
        </w:tc>
        <w:tc>
          <w:tcPr>
            <w:tcW w:w="1242" w:type="dxa"/>
            <w:noWrap w:val="0"/>
            <w:vAlign w:val="top"/>
          </w:tcPr>
          <w:p w14:paraId="5D891585">
            <w:pPr>
              <w:pStyle w:val="12"/>
              <w:ind w:firstLine="0"/>
              <w:rPr>
                <w:rFonts w:hint="eastAsia" w:ascii="宋体" w:hAnsi="宋体"/>
                <w:szCs w:val="21"/>
                <w:highlight w:val="none"/>
              </w:rPr>
            </w:pPr>
          </w:p>
        </w:tc>
      </w:tr>
      <w:tr w14:paraId="08753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7715CED9">
            <w:pPr>
              <w:pStyle w:val="12"/>
              <w:ind w:firstLine="0"/>
              <w:rPr>
                <w:rFonts w:hint="eastAsia" w:ascii="宋体" w:hAnsi="宋体"/>
                <w:szCs w:val="21"/>
                <w:highlight w:val="none"/>
              </w:rPr>
            </w:pPr>
          </w:p>
        </w:tc>
        <w:tc>
          <w:tcPr>
            <w:tcW w:w="1620" w:type="dxa"/>
            <w:noWrap w:val="0"/>
            <w:vAlign w:val="top"/>
          </w:tcPr>
          <w:p w14:paraId="61F0D5F4">
            <w:pPr>
              <w:pStyle w:val="12"/>
              <w:ind w:firstLine="0"/>
              <w:rPr>
                <w:rFonts w:hint="eastAsia" w:ascii="宋体" w:hAnsi="宋体"/>
                <w:szCs w:val="21"/>
                <w:highlight w:val="none"/>
              </w:rPr>
            </w:pPr>
          </w:p>
        </w:tc>
        <w:tc>
          <w:tcPr>
            <w:tcW w:w="2394" w:type="dxa"/>
            <w:noWrap w:val="0"/>
            <w:vAlign w:val="top"/>
          </w:tcPr>
          <w:p w14:paraId="02936C3D">
            <w:pPr>
              <w:pStyle w:val="12"/>
              <w:ind w:firstLine="0"/>
              <w:rPr>
                <w:rFonts w:hint="eastAsia" w:ascii="宋体" w:hAnsi="宋体"/>
                <w:szCs w:val="21"/>
                <w:highlight w:val="none"/>
              </w:rPr>
            </w:pPr>
          </w:p>
        </w:tc>
        <w:tc>
          <w:tcPr>
            <w:tcW w:w="1365" w:type="dxa"/>
            <w:noWrap w:val="0"/>
            <w:vAlign w:val="top"/>
          </w:tcPr>
          <w:p w14:paraId="63E21E29">
            <w:pPr>
              <w:pStyle w:val="12"/>
              <w:ind w:firstLine="0"/>
              <w:rPr>
                <w:rFonts w:hint="eastAsia" w:ascii="宋体" w:hAnsi="宋体"/>
                <w:szCs w:val="21"/>
                <w:highlight w:val="none"/>
              </w:rPr>
            </w:pPr>
          </w:p>
        </w:tc>
        <w:tc>
          <w:tcPr>
            <w:tcW w:w="2001" w:type="dxa"/>
            <w:noWrap w:val="0"/>
            <w:vAlign w:val="top"/>
          </w:tcPr>
          <w:p w14:paraId="448CCAB1">
            <w:pPr>
              <w:pStyle w:val="12"/>
              <w:ind w:firstLine="0"/>
              <w:rPr>
                <w:rFonts w:hint="eastAsia" w:ascii="宋体" w:hAnsi="宋体"/>
                <w:szCs w:val="21"/>
                <w:highlight w:val="none"/>
              </w:rPr>
            </w:pPr>
          </w:p>
        </w:tc>
        <w:tc>
          <w:tcPr>
            <w:tcW w:w="1242" w:type="dxa"/>
            <w:noWrap w:val="0"/>
            <w:vAlign w:val="top"/>
          </w:tcPr>
          <w:p w14:paraId="41354127">
            <w:pPr>
              <w:pStyle w:val="12"/>
              <w:ind w:firstLine="0"/>
              <w:rPr>
                <w:rFonts w:hint="eastAsia" w:ascii="宋体" w:hAnsi="宋体"/>
                <w:szCs w:val="21"/>
                <w:highlight w:val="none"/>
              </w:rPr>
            </w:pPr>
          </w:p>
        </w:tc>
      </w:tr>
      <w:tr w14:paraId="70BFA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6D82174F">
            <w:pPr>
              <w:pStyle w:val="12"/>
              <w:ind w:firstLine="0"/>
              <w:rPr>
                <w:rFonts w:hint="eastAsia" w:ascii="宋体" w:hAnsi="宋体"/>
                <w:szCs w:val="21"/>
                <w:highlight w:val="none"/>
              </w:rPr>
            </w:pPr>
          </w:p>
        </w:tc>
        <w:tc>
          <w:tcPr>
            <w:tcW w:w="1620" w:type="dxa"/>
            <w:noWrap w:val="0"/>
            <w:vAlign w:val="top"/>
          </w:tcPr>
          <w:p w14:paraId="5B9EE4DC">
            <w:pPr>
              <w:pStyle w:val="12"/>
              <w:ind w:firstLine="0"/>
              <w:rPr>
                <w:rFonts w:hint="eastAsia" w:ascii="宋体" w:hAnsi="宋体"/>
                <w:szCs w:val="21"/>
                <w:highlight w:val="none"/>
              </w:rPr>
            </w:pPr>
          </w:p>
        </w:tc>
        <w:tc>
          <w:tcPr>
            <w:tcW w:w="2394" w:type="dxa"/>
            <w:noWrap w:val="0"/>
            <w:vAlign w:val="top"/>
          </w:tcPr>
          <w:p w14:paraId="06E616EA">
            <w:pPr>
              <w:pStyle w:val="12"/>
              <w:ind w:firstLine="0"/>
              <w:rPr>
                <w:rFonts w:hint="eastAsia" w:ascii="宋体" w:hAnsi="宋体"/>
                <w:szCs w:val="21"/>
                <w:highlight w:val="none"/>
              </w:rPr>
            </w:pPr>
          </w:p>
        </w:tc>
        <w:tc>
          <w:tcPr>
            <w:tcW w:w="1365" w:type="dxa"/>
            <w:noWrap w:val="0"/>
            <w:vAlign w:val="top"/>
          </w:tcPr>
          <w:p w14:paraId="3AE4C25A">
            <w:pPr>
              <w:pStyle w:val="12"/>
              <w:ind w:firstLine="0"/>
              <w:rPr>
                <w:rFonts w:hint="eastAsia" w:ascii="宋体" w:hAnsi="宋体"/>
                <w:szCs w:val="21"/>
                <w:highlight w:val="none"/>
              </w:rPr>
            </w:pPr>
          </w:p>
        </w:tc>
        <w:tc>
          <w:tcPr>
            <w:tcW w:w="2001" w:type="dxa"/>
            <w:noWrap w:val="0"/>
            <w:vAlign w:val="top"/>
          </w:tcPr>
          <w:p w14:paraId="1CD72A93">
            <w:pPr>
              <w:pStyle w:val="12"/>
              <w:ind w:firstLine="0"/>
              <w:rPr>
                <w:rFonts w:hint="eastAsia" w:ascii="宋体" w:hAnsi="宋体"/>
                <w:szCs w:val="21"/>
                <w:highlight w:val="none"/>
              </w:rPr>
            </w:pPr>
          </w:p>
        </w:tc>
        <w:tc>
          <w:tcPr>
            <w:tcW w:w="1242" w:type="dxa"/>
            <w:noWrap w:val="0"/>
            <w:vAlign w:val="top"/>
          </w:tcPr>
          <w:p w14:paraId="14952D02">
            <w:pPr>
              <w:pStyle w:val="12"/>
              <w:ind w:firstLine="0"/>
              <w:rPr>
                <w:rFonts w:hint="eastAsia" w:ascii="宋体" w:hAnsi="宋体"/>
                <w:szCs w:val="21"/>
                <w:highlight w:val="none"/>
              </w:rPr>
            </w:pPr>
          </w:p>
        </w:tc>
      </w:tr>
      <w:tr w14:paraId="0EA13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9522" w:type="dxa"/>
            <w:gridSpan w:val="6"/>
            <w:noWrap w:val="0"/>
            <w:vAlign w:val="top"/>
          </w:tcPr>
          <w:p w14:paraId="20550B5B">
            <w:pPr>
              <w:tabs>
                <w:tab w:val="left" w:pos="555"/>
                <w:tab w:val="left" w:pos="2214"/>
                <w:tab w:val="left" w:pos="3774"/>
                <w:tab w:val="left" w:pos="4854"/>
                <w:tab w:val="left" w:pos="5934"/>
                <w:tab w:val="left" w:pos="7014"/>
                <w:tab w:val="left" w:pos="8214"/>
                <w:tab w:val="left" w:pos="10134"/>
                <w:tab w:val="left" w:pos="11124"/>
              </w:tabs>
              <w:spacing w:line="320" w:lineRule="exact"/>
              <w:ind w:right="-506" w:rightChars="-230"/>
              <w:rPr>
                <w:rFonts w:hint="eastAsia" w:ascii="宋体" w:hAnsi="宋体" w:cs="Arial"/>
                <w:color w:val="000000"/>
                <w:szCs w:val="21"/>
                <w:highlight w:val="none"/>
              </w:rPr>
            </w:pPr>
            <w:r>
              <w:rPr>
                <w:rFonts w:hint="eastAsia" w:ascii="宋体" w:hAnsi="宋体" w:cs="Arial"/>
                <w:color w:val="000000"/>
                <w:szCs w:val="21"/>
                <w:highlight w:val="none"/>
              </w:rPr>
              <w:t>说明：</w:t>
            </w:r>
          </w:p>
          <w:p w14:paraId="270BFB8B">
            <w:pPr>
              <w:tabs>
                <w:tab w:val="left" w:pos="555"/>
                <w:tab w:val="left" w:pos="2214"/>
                <w:tab w:val="left" w:pos="3774"/>
                <w:tab w:val="left" w:pos="4854"/>
                <w:tab w:val="left" w:pos="5934"/>
                <w:tab w:val="left" w:pos="7014"/>
                <w:tab w:val="left" w:pos="8214"/>
                <w:tab w:val="left" w:pos="10134"/>
                <w:tab w:val="left" w:pos="11124"/>
              </w:tabs>
              <w:spacing w:line="320" w:lineRule="exact"/>
              <w:ind w:right="-506" w:rightChars="-230"/>
              <w:rPr>
                <w:rFonts w:hint="eastAsia" w:ascii="宋体" w:hAnsi="宋体" w:cs="宋体"/>
                <w:color w:val="000000"/>
                <w:kern w:val="0"/>
                <w:highlight w:val="none"/>
                <w:lang w:val="zh-CN"/>
              </w:rPr>
            </w:pPr>
            <w:r>
              <w:rPr>
                <w:rFonts w:hint="eastAsia" w:ascii="宋体" w:hAnsi="宋体" w:cs="Arial"/>
                <w:color w:val="000000"/>
                <w:szCs w:val="21"/>
                <w:highlight w:val="none"/>
              </w:rPr>
              <w:t>1.</w:t>
            </w:r>
            <w:r>
              <w:rPr>
                <w:rFonts w:hint="eastAsia" w:ascii="宋体" w:hAnsi="宋体" w:cs="宋体"/>
                <w:color w:val="000000"/>
                <w:kern w:val="0"/>
                <w:highlight w:val="none"/>
                <w:lang w:val="zh-CN"/>
              </w:rPr>
              <w:t>提供自</w:t>
            </w:r>
            <w:r>
              <w:rPr>
                <w:rFonts w:hint="eastAsia" w:ascii="宋体" w:hAnsi="宋体" w:cs="宋体"/>
                <w:color w:val="000000"/>
                <w:kern w:val="0"/>
                <w:highlight w:val="none"/>
                <w:u w:val="single"/>
                <w:lang w:val="en-US" w:eastAsia="zh-CN"/>
              </w:rPr>
              <w:t>20</w:t>
            </w:r>
            <w:r>
              <w:rPr>
                <w:rFonts w:hint="eastAsia" w:cs="宋体"/>
                <w:color w:val="000000"/>
                <w:kern w:val="0"/>
                <w:highlight w:val="none"/>
                <w:u w:val="single"/>
                <w:lang w:val="en-US" w:eastAsia="zh-CN"/>
              </w:rPr>
              <w:t>21</w:t>
            </w:r>
            <w:r>
              <w:rPr>
                <w:rFonts w:hint="eastAsia" w:ascii="宋体" w:hAnsi="宋体" w:cs="宋体"/>
                <w:color w:val="000000"/>
                <w:kern w:val="0"/>
                <w:highlight w:val="none"/>
                <w:lang w:val="zh-CN"/>
              </w:rPr>
              <w:t>年以来的类似业绩证明材料（</w:t>
            </w:r>
            <w:r>
              <w:rPr>
                <w:rFonts w:hint="eastAsia" w:ascii="宋体" w:hAnsi="宋体" w:cs="宋体"/>
                <w:color w:val="000000"/>
                <w:kern w:val="0"/>
                <w:highlight w:val="none"/>
                <w:lang w:val="en-US" w:eastAsia="zh-CN"/>
              </w:rPr>
              <w:t>以合同签订时间为准</w:t>
            </w:r>
            <w:r>
              <w:rPr>
                <w:rFonts w:hint="eastAsia" w:ascii="宋体" w:hAnsi="宋体" w:cs="宋体"/>
                <w:color w:val="000000"/>
                <w:kern w:val="0"/>
                <w:highlight w:val="none"/>
                <w:lang w:val="zh-CN"/>
              </w:rPr>
              <w:t>）。</w:t>
            </w:r>
          </w:p>
          <w:p w14:paraId="723C51BB">
            <w:pPr>
              <w:tabs>
                <w:tab w:val="left" w:pos="555"/>
                <w:tab w:val="left" w:pos="2214"/>
                <w:tab w:val="left" w:pos="3774"/>
                <w:tab w:val="left" w:pos="4854"/>
                <w:tab w:val="left" w:pos="5934"/>
                <w:tab w:val="left" w:pos="7014"/>
                <w:tab w:val="left" w:pos="8214"/>
                <w:tab w:val="left" w:pos="10134"/>
                <w:tab w:val="left" w:pos="11124"/>
              </w:tabs>
              <w:spacing w:line="320" w:lineRule="exact"/>
              <w:ind w:right="-506" w:rightChars="-230"/>
              <w:rPr>
                <w:rFonts w:hint="eastAsia" w:ascii="宋体" w:hAnsi="宋体" w:eastAsia="宋体"/>
                <w:szCs w:val="21"/>
                <w:highlight w:val="none"/>
                <w:lang w:eastAsia="zh-CN"/>
              </w:rPr>
            </w:pPr>
            <w:r>
              <w:rPr>
                <w:rFonts w:hint="eastAsia" w:ascii="宋体" w:hAnsi="宋体" w:cs="Arial"/>
                <w:color w:val="000000"/>
                <w:szCs w:val="21"/>
                <w:highlight w:val="none"/>
                <w:lang w:val="en-US" w:eastAsia="zh-CN"/>
              </w:rPr>
              <w:t>2</w:t>
            </w:r>
            <w:r>
              <w:rPr>
                <w:rFonts w:hint="eastAsia" w:ascii="宋体" w:hAnsi="宋体" w:cs="Arial"/>
                <w:color w:val="000000"/>
                <w:szCs w:val="21"/>
                <w:highlight w:val="none"/>
              </w:rPr>
              <w:t>.供应商</w:t>
            </w:r>
            <w:r>
              <w:rPr>
                <w:rFonts w:hint="eastAsia" w:ascii="宋体" w:hAnsi="宋体"/>
                <w:bCs/>
                <w:szCs w:val="21"/>
                <w:highlight w:val="none"/>
              </w:rPr>
              <w:t>未按上述要求提供、</w:t>
            </w:r>
            <w:r>
              <w:rPr>
                <w:rFonts w:hint="eastAsia" w:ascii="宋体" w:hAnsi="宋体"/>
                <w:szCs w:val="21"/>
                <w:highlight w:val="none"/>
              </w:rPr>
              <w:t>填写</w:t>
            </w:r>
            <w:r>
              <w:rPr>
                <w:rFonts w:hint="eastAsia" w:ascii="宋体" w:hAnsi="宋体"/>
                <w:bCs/>
                <w:szCs w:val="21"/>
                <w:highlight w:val="none"/>
              </w:rPr>
              <w:t>的，评审时不予加分</w:t>
            </w:r>
            <w:r>
              <w:rPr>
                <w:rFonts w:hint="eastAsia" w:ascii="宋体" w:hAnsi="宋体"/>
                <w:bCs/>
                <w:szCs w:val="21"/>
                <w:highlight w:val="none"/>
                <w:lang w:eastAsia="zh-CN"/>
              </w:rPr>
              <w:t>。</w:t>
            </w:r>
          </w:p>
        </w:tc>
      </w:tr>
    </w:tbl>
    <w:p w14:paraId="7D173431">
      <w:pPr>
        <w:pStyle w:val="75"/>
        <w:ind w:firstLine="0" w:firstLineChars="0"/>
        <w:rPr>
          <w:color w:val="auto"/>
          <w:highlight w:val="none"/>
        </w:rPr>
      </w:pPr>
    </w:p>
    <w:p w14:paraId="577EAD7A">
      <w:pPr>
        <w:pStyle w:val="75"/>
        <w:ind w:firstLine="0" w:firstLineChars="0"/>
        <w:rPr>
          <w:color w:val="auto"/>
          <w:highlight w:val="none"/>
        </w:rPr>
      </w:pPr>
    </w:p>
    <w:p w14:paraId="3D4977EF">
      <w:pPr>
        <w:pStyle w:val="16"/>
        <w:rPr>
          <w:sz w:val="20"/>
          <w:highlight w:val="none"/>
        </w:rPr>
      </w:pPr>
    </w:p>
    <w:p w14:paraId="0CC53DA6">
      <w:pPr>
        <w:pStyle w:val="16"/>
        <w:rPr>
          <w:sz w:val="20"/>
          <w:highlight w:val="none"/>
        </w:rPr>
      </w:pPr>
    </w:p>
    <w:p w14:paraId="1D97F7AF">
      <w:pPr>
        <w:pStyle w:val="16"/>
        <w:rPr>
          <w:sz w:val="20"/>
          <w:highlight w:val="none"/>
        </w:rPr>
      </w:pPr>
    </w:p>
    <w:p w14:paraId="54B4CF62">
      <w:pPr>
        <w:pStyle w:val="16"/>
        <w:rPr>
          <w:sz w:val="20"/>
          <w:highlight w:val="none"/>
        </w:rPr>
      </w:pPr>
    </w:p>
    <w:p w14:paraId="4E9D46C3">
      <w:pPr>
        <w:pStyle w:val="16"/>
        <w:rPr>
          <w:sz w:val="20"/>
          <w:highlight w:val="none"/>
        </w:rPr>
      </w:pPr>
    </w:p>
    <w:p w14:paraId="1DF1BC6E">
      <w:pPr>
        <w:pStyle w:val="16"/>
        <w:rPr>
          <w:sz w:val="20"/>
          <w:highlight w:val="none"/>
        </w:rPr>
      </w:pPr>
    </w:p>
    <w:p w14:paraId="2572AD90">
      <w:pPr>
        <w:pStyle w:val="16"/>
        <w:rPr>
          <w:sz w:val="20"/>
          <w:highlight w:val="none"/>
        </w:rPr>
      </w:pPr>
    </w:p>
    <w:p w14:paraId="3261B889">
      <w:pPr>
        <w:pStyle w:val="16"/>
        <w:rPr>
          <w:sz w:val="20"/>
          <w:highlight w:val="none"/>
        </w:rPr>
      </w:pPr>
    </w:p>
    <w:p w14:paraId="6FFFFE4E">
      <w:pPr>
        <w:pStyle w:val="16"/>
        <w:rPr>
          <w:sz w:val="20"/>
          <w:highlight w:val="none"/>
        </w:rPr>
      </w:pPr>
    </w:p>
    <w:p w14:paraId="0FA7FC41">
      <w:pPr>
        <w:pStyle w:val="16"/>
        <w:rPr>
          <w:sz w:val="20"/>
          <w:highlight w:val="none"/>
        </w:rPr>
      </w:pPr>
    </w:p>
    <w:p w14:paraId="1F4FD8D1">
      <w:pPr>
        <w:pStyle w:val="16"/>
        <w:rPr>
          <w:sz w:val="20"/>
          <w:highlight w:val="none"/>
        </w:rPr>
      </w:pPr>
    </w:p>
    <w:p w14:paraId="3BF56BC8">
      <w:pPr>
        <w:pStyle w:val="16"/>
        <w:rPr>
          <w:sz w:val="20"/>
          <w:highlight w:val="none"/>
        </w:rPr>
      </w:pPr>
    </w:p>
    <w:p w14:paraId="2F6AE5AF">
      <w:pPr>
        <w:pStyle w:val="16"/>
        <w:rPr>
          <w:sz w:val="20"/>
          <w:highlight w:val="none"/>
        </w:rPr>
      </w:pPr>
    </w:p>
    <w:p w14:paraId="7ED3F478">
      <w:pPr>
        <w:pStyle w:val="16"/>
        <w:rPr>
          <w:sz w:val="20"/>
          <w:highlight w:val="none"/>
        </w:rPr>
      </w:pPr>
    </w:p>
    <w:p w14:paraId="7ADA0A43">
      <w:pPr>
        <w:pStyle w:val="16"/>
        <w:rPr>
          <w:sz w:val="20"/>
          <w:highlight w:val="none"/>
        </w:rPr>
      </w:pPr>
    </w:p>
    <w:p w14:paraId="3D34DA8A">
      <w:pPr>
        <w:rPr>
          <w:highlight w:val="none"/>
        </w:rPr>
      </w:pPr>
    </w:p>
    <w:p w14:paraId="36966260">
      <w:pPr>
        <w:pStyle w:val="25"/>
        <w:rPr>
          <w:highlight w:val="none"/>
        </w:rPr>
      </w:pPr>
    </w:p>
    <w:p w14:paraId="2F49B31D">
      <w:pPr>
        <w:pStyle w:val="25"/>
        <w:rPr>
          <w:highlight w:val="none"/>
        </w:rPr>
      </w:pPr>
    </w:p>
    <w:p w14:paraId="1C0B7813">
      <w:pPr>
        <w:pStyle w:val="25"/>
        <w:rPr>
          <w:highlight w:val="none"/>
        </w:rPr>
      </w:pPr>
    </w:p>
    <w:p w14:paraId="15AE9CCA">
      <w:pPr>
        <w:pStyle w:val="25"/>
        <w:rPr>
          <w:highlight w:val="none"/>
        </w:rPr>
      </w:pPr>
    </w:p>
    <w:p w14:paraId="3889705E">
      <w:pPr>
        <w:pStyle w:val="25"/>
        <w:rPr>
          <w:highlight w:val="none"/>
        </w:rPr>
      </w:pPr>
    </w:p>
    <w:p w14:paraId="7C1EBD82">
      <w:pPr>
        <w:pStyle w:val="25"/>
        <w:rPr>
          <w:highlight w:val="none"/>
        </w:rPr>
      </w:pPr>
    </w:p>
    <w:p w14:paraId="399B9350">
      <w:pPr>
        <w:pStyle w:val="16"/>
        <w:spacing w:before="6"/>
        <w:rPr>
          <w:sz w:val="27"/>
          <w:highlight w:val="none"/>
        </w:rPr>
      </w:pPr>
    </w:p>
    <w:p w14:paraId="226007AC">
      <w:pPr>
        <w:spacing w:line="922" w:lineRule="exact"/>
        <w:ind w:left="836" w:right="836"/>
        <w:jc w:val="center"/>
        <w:rPr>
          <w:b/>
          <w:sz w:val="72"/>
          <w:highlight w:val="none"/>
        </w:rPr>
      </w:pPr>
      <w:bookmarkStart w:id="275" w:name="三、商务部分"/>
      <w:bookmarkEnd w:id="275"/>
      <w:r>
        <w:rPr>
          <w:b/>
          <w:sz w:val="72"/>
          <w:highlight w:val="none"/>
        </w:rPr>
        <w:t>三、商务部分</w:t>
      </w:r>
    </w:p>
    <w:p w14:paraId="226F8F80">
      <w:pPr>
        <w:spacing w:line="922" w:lineRule="exact"/>
        <w:jc w:val="center"/>
        <w:rPr>
          <w:sz w:val="72"/>
          <w:highlight w:val="none"/>
        </w:rPr>
        <w:sectPr>
          <w:footerReference r:id="rId12" w:type="default"/>
          <w:pgSz w:w="11910" w:h="16840"/>
          <w:pgMar w:top="1580" w:right="920" w:bottom="1420" w:left="920" w:header="0" w:footer="1229" w:gutter="0"/>
          <w:cols w:space="720" w:num="1"/>
        </w:sectPr>
      </w:pPr>
    </w:p>
    <w:p w14:paraId="3DD2A1B6">
      <w:pPr>
        <w:pStyle w:val="5"/>
        <w:tabs>
          <w:tab w:val="left" w:pos="602"/>
        </w:tabs>
        <w:spacing w:before="40"/>
        <w:ind w:left="0"/>
        <w:jc w:val="center"/>
        <w:rPr>
          <w:rFonts w:ascii="宋体" w:eastAsia="宋体"/>
          <w:highlight w:val="none"/>
          <w:u w:val="none"/>
        </w:rPr>
      </w:pPr>
      <w:bookmarkStart w:id="276" w:name="目__录"/>
      <w:bookmarkEnd w:id="276"/>
      <w:r>
        <w:rPr>
          <w:rFonts w:hint="eastAsia" w:ascii="宋体" w:eastAsia="宋体"/>
          <w:highlight w:val="none"/>
          <w:u w:val="none"/>
        </w:rPr>
        <w:t>目</w:t>
      </w:r>
      <w:r>
        <w:rPr>
          <w:rFonts w:hint="eastAsia" w:ascii="宋体" w:eastAsia="宋体"/>
          <w:highlight w:val="none"/>
          <w:u w:val="none"/>
        </w:rPr>
        <w:tab/>
      </w:r>
      <w:r>
        <w:rPr>
          <w:rFonts w:hint="eastAsia" w:ascii="宋体" w:eastAsia="宋体"/>
          <w:highlight w:val="none"/>
          <w:u w:val="none"/>
        </w:rPr>
        <w:t>录</w:t>
      </w:r>
    </w:p>
    <w:p w14:paraId="19B20DDC">
      <w:pPr>
        <w:pStyle w:val="16"/>
        <w:spacing w:before="9"/>
        <w:rPr>
          <w:b/>
          <w:sz w:val="22"/>
          <w:highlight w:val="none"/>
        </w:rPr>
      </w:pPr>
    </w:p>
    <w:p w14:paraId="2466CA13">
      <w:pPr>
        <w:pStyle w:val="16"/>
        <w:tabs>
          <w:tab w:val="left" w:pos="9240"/>
        </w:tabs>
        <w:spacing w:before="67" w:line="487" w:lineRule="auto"/>
        <w:ind w:left="553" w:right="610" w:rightChars="0"/>
        <w:jc w:val="both"/>
        <w:rPr>
          <w:rFonts w:hint="default" w:eastAsia="宋体"/>
          <w:highlight w:val="none"/>
          <w:lang w:val="en-US" w:eastAsia="zh-CN"/>
        </w:rPr>
      </w:pPr>
      <w:r>
        <w:rPr>
          <w:highlight w:val="none"/>
        </w:rPr>
        <w:t>一、投标函</w:t>
      </w:r>
      <w:r>
        <w:rPr>
          <w:rFonts w:hint="eastAsia"/>
          <w:highlight w:val="none"/>
          <w:lang w:eastAsia="zh-CN"/>
        </w:rPr>
        <w:t>、</w:t>
      </w:r>
      <w:r>
        <w:rPr>
          <w:highlight w:val="none"/>
        </w:rPr>
        <w:t>投标函附录</w:t>
      </w:r>
      <w:r>
        <w:rPr>
          <w:rFonts w:hint="eastAsia"/>
          <w:highlight w:val="none"/>
          <w:lang w:val="en-US" w:eastAsia="zh-CN"/>
        </w:rPr>
        <w:t>及开标一览表</w:t>
      </w:r>
    </w:p>
    <w:p w14:paraId="058E056E">
      <w:pPr>
        <w:pStyle w:val="16"/>
        <w:spacing w:line="487" w:lineRule="auto"/>
        <w:ind w:left="553" w:right="7110"/>
        <w:rPr>
          <w:highlight w:val="none"/>
        </w:rPr>
      </w:pPr>
      <w:r>
        <w:rPr>
          <w:rFonts w:hint="eastAsia"/>
          <w:highlight w:val="none"/>
          <w:lang w:val="en-US" w:eastAsia="zh-CN"/>
        </w:rPr>
        <w:t>二</w:t>
      </w:r>
      <w:r>
        <w:rPr>
          <w:highlight w:val="none"/>
        </w:rPr>
        <w:t>、已标价工程量清单</w:t>
      </w:r>
      <w:r>
        <w:rPr>
          <w:rFonts w:hint="eastAsia"/>
          <w:highlight w:val="none"/>
          <w:lang w:val="en-US" w:eastAsia="zh-CN"/>
        </w:rPr>
        <w:t>三</w:t>
      </w:r>
      <w:r>
        <w:rPr>
          <w:highlight w:val="none"/>
        </w:rPr>
        <w:t>、其他证明材料</w:t>
      </w:r>
    </w:p>
    <w:p w14:paraId="29F67AB9">
      <w:pPr>
        <w:spacing w:line="307" w:lineRule="exact"/>
        <w:rPr>
          <w:highlight w:val="none"/>
        </w:rPr>
        <w:sectPr>
          <w:pgSz w:w="11910" w:h="16840"/>
          <w:pgMar w:top="1500" w:right="920" w:bottom="1420" w:left="920" w:header="0" w:footer="1229" w:gutter="0"/>
          <w:cols w:space="720" w:num="1"/>
        </w:sectPr>
      </w:pPr>
    </w:p>
    <w:p w14:paraId="14DE1136">
      <w:pPr>
        <w:pStyle w:val="5"/>
        <w:spacing w:before="44"/>
        <w:ind w:left="836" w:right="836"/>
        <w:jc w:val="center"/>
        <w:rPr>
          <w:rFonts w:ascii="宋体" w:eastAsia="宋体"/>
          <w:highlight w:val="none"/>
          <w:u w:val="none"/>
        </w:rPr>
      </w:pPr>
      <w:bookmarkStart w:id="277" w:name="一、投标函及投标函附录"/>
      <w:bookmarkEnd w:id="277"/>
      <w:r>
        <w:rPr>
          <w:rFonts w:hint="eastAsia" w:ascii="宋体" w:eastAsia="宋体"/>
          <w:highlight w:val="none"/>
          <w:u w:val="none"/>
        </w:rPr>
        <w:t>一、投标函及投标函附录</w:t>
      </w:r>
    </w:p>
    <w:p w14:paraId="75556D4F">
      <w:pPr>
        <w:pStyle w:val="16"/>
        <w:spacing w:before="8"/>
        <w:rPr>
          <w:b/>
          <w:sz w:val="33"/>
          <w:highlight w:val="none"/>
        </w:rPr>
      </w:pPr>
    </w:p>
    <w:p w14:paraId="279999BF">
      <w:pPr>
        <w:pStyle w:val="8"/>
        <w:ind w:left="836" w:right="836"/>
        <w:jc w:val="center"/>
        <w:rPr>
          <w:highlight w:val="none"/>
        </w:rPr>
      </w:pPr>
      <w:bookmarkStart w:id="278" w:name="（一）投标函"/>
      <w:bookmarkEnd w:id="278"/>
      <w:r>
        <w:rPr>
          <w:highlight w:val="none"/>
        </w:rPr>
        <w:t>（一）投标函</w:t>
      </w:r>
    </w:p>
    <w:p w14:paraId="5062CA69">
      <w:pPr>
        <w:pStyle w:val="16"/>
        <w:rPr>
          <w:b/>
          <w:highlight w:val="none"/>
        </w:rPr>
      </w:pPr>
    </w:p>
    <w:p w14:paraId="76558AD4">
      <w:pPr>
        <w:pStyle w:val="8"/>
        <w:spacing w:before="165"/>
        <w:rPr>
          <w:rFonts w:hint="default" w:eastAsia="宋体"/>
          <w:highlight w:val="none"/>
          <w:u w:val="single"/>
          <w:lang w:val="en-US" w:eastAsia="zh-CN"/>
        </w:rPr>
      </w:pPr>
      <w:r>
        <w:rPr>
          <w:rFonts w:hint="eastAsia"/>
          <w:b w:val="0"/>
          <w:bCs w:val="0"/>
          <w:highlight w:val="none"/>
          <w:u w:val="none"/>
          <w:lang w:eastAsia="zh-CN"/>
        </w:rPr>
        <w:t>招标人</w:t>
      </w:r>
      <w:r>
        <w:rPr>
          <w:b w:val="0"/>
          <w:bCs w:val="0"/>
          <w:highlight w:val="none"/>
          <w:u w:val="none"/>
        </w:rPr>
        <w:t>名称</w:t>
      </w:r>
      <w:r>
        <w:rPr>
          <w:b w:val="0"/>
          <w:bCs w:val="0"/>
          <w:highlight w:val="none"/>
        </w:rPr>
        <w:t>：</w:t>
      </w:r>
      <w:r>
        <w:rPr>
          <w:rFonts w:hint="eastAsia"/>
          <w:b w:val="0"/>
          <w:bCs w:val="0"/>
          <w:highlight w:val="none"/>
          <w:u w:val="single"/>
          <w:lang w:val="en-US" w:eastAsia="zh-CN"/>
        </w:rPr>
        <w:t xml:space="preserve">  </w:t>
      </w:r>
      <w:r>
        <w:rPr>
          <w:rFonts w:hint="eastAsia"/>
          <w:highlight w:val="none"/>
          <w:u w:val="single"/>
          <w:lang w:val="en-US" w:eastAsia="zh-CN"/>
        </w:rPr>
        <w:t xml:space="preserve">                 </w:t>
      </w:r>
    </w:p>
    <w:p w14:paraId="45ED9228">
      <w:pPr>
        <w:pStyle w:val="70"/>
        <w:numPr>
          <w:ilvl w:val="0"/>
          <w:numId w:val="47"/>
        </w:numPr>
        <w:tabs>
          <w:tab w:val="left" w:pos="1279"/>
          <w:tab w:val="left" w:pos="5276"/>
          <w:tab w:val="left" w:pos="7335"/>
        </w:tabs>
        <w:spacing w:before="96" w:line="316" w:lineRule="auto"/>
        <w:ind w:right="551" w:firstLine="360"/>
        <w:jc w:val="both"/>
        <w:rPr>
          <w:sz w:val="24"/>
          <w:highlight w:val="none"/>
        </w:rPr>
      </w:pPr>
      <w:r>
        <w:rPr>
          <w:sz w:val="24"/>
          <w:highlight w:val="none"/>
        </w:rPr>
        <w:t>根据你方发售的招标文件，经踏勘项目现场和研究上述招标文件的投标须知、合同条款、图纸、工程建设标准、工程量清单和答疑文件及其它相关文件后，完全响应招标文件，我方愿以大写人民币</w:t>
      </w:r>
      <w:r>
        <w:rPr>
          <w:sz w:val="24"/>
          <w:highlight w:val="none"/>
          <w:u w:val="single"/>
        </w:rPr>
        <w:t xml:space="preserve"> </w:t>
      </w:r>
      <w:r>
        <w:rPr>
          <w:sz w:val="24"/>
          <w:highlight w:val="none"/>
          <w:u w:val="single"/>
        </w:rPr>
        <w:tab/>
      </w:r>
      <w:r>
        <w:rPr>
          <w:sz w:val="24"/>
          <w:highlight w:val="none"/>
        </w:rPr>
        <w:t>，小写￥</w:t>
      </w:r>
      <w:r>
        <w:rPr>
          <w:sz w:val="24"/>
          <w:highlight w:val="none"/>
          <w:u w:val="single"/>
        </w:rPr>
        <w:t xml:space="preserve"> </w:t>
      </w:r>
      <w:r>
        <w:rPr>
          <w:sz w:val="24"/>
          <w:highlight w:val="none"/>
          <w:u w:val="single"/>
        </w:rPr>
        <w:tab/>
      </w:r>
      <w:r>
        <w:rPr>
          <w:sz w:val="24"/>
          <w:highlight w:val="none"/>
        </w:rPr>
        <w:t>元的投标报价承包</w:t>
      </w:r>
      <w:r>
        <w:rPr>
          <w:spacing w:val="-14"/>
          <w:sz w:val="24"/>
          <w:highlight w:val="none"/>
        </w:rPr>
        <w:t>上</w:t>
      </w:r>
      <w:r>
        <w:rPr>
          <w:sz w:val="24"/>
          <w:highlight w:val="none"/>
        </w:rPr>
        <w:t>述工程的施工、竣工，并承担任何质量缺陷保修责任。</w:t>
      </w:r>
    </w:p>
    <w:p w14:paraId="79DC4FB8">
      <w:pPr>
        <w:pStyle w:val="70"/>
        <w:numPr>
          <w:ilvl w:val="0"/>
          <w:numId w:val="47"/>
        </w:numPr>
        <w:tabs>
          <w:tab w:val="left" w:pos="1167"/>
        </w:tabs>
        <w:spacing w:line="304" w:lineRule="exact"/>
        <w:ind w:left="1166" w:hanging="362"/>
        <w:jc w:val="left"/>
        <w:rPr>
          <w:sz w:val="24"/>
          <w:highlight w:val="none"/>
        </w:rPr>
      </w:pPr>
      <w:r>
        <w:rPr>
          <w:sz w:val="24"/>
          <w:highlight w:val="none"/>
        </w:rPr>
        <w:t>我方已详细审核全部招标文件，包括答疑纪要及有关附件。</w:t>
      </w:r>
    </w:p>
    <w:p w14:paraId="51EECFE1">
      <w:pPr>
        <w:pStyle w:val="70"/>
        <w:numPr>
          <w:ilvl w:val="0"/>
          <w:numId w:val="47"/>
        </w:numPr>
        <w:tabs>
          <w:tab w:val="left" w:pos="1167"/>
        </w:tabs>
        <w:spacing w:before="96"/>
        <w:ind w:left="1166" w:hanging="362"/>
        <w:jc w:val="left"/>
        <w:rPr>
          <w:sz w:val="24"/>
          <w:highlight w:val="none"/>
        </w:rPr>
      </w:pPr>
      <w:r>
        <w:rPr>
          <w:sz w:val="24"/>
          <w:highlight w:val="none"/>
        </w:rPr>
        <w:t>我方保证上述投标报价不低于我单位工程施工的成本价。</w:t>
      </w:r>
    </w:p>
    <w:p w14:paraId="56E8DCD5">
      <w:pPr>
        <w:pStyle w:val="70"/>
        <w:numPr>
          <w:ilvl w:val="0"/>
          <w:numId w:val="47"/>
        </w:numPr>
        <w:tabs>
          <w:tab w:val="left" w:pos="1167"/>
          <w:tab w:val="left" w:pos="5485"/>
        </w:tabs>
        <w:spacing w:before="98"/>
        <w:ind w:left="1166" w:hanging="362"/>
        <w:jc w:val="left"/>
        <w:rPr>
          <w:sz w:val="24"/>
          <w:highlight w:val="none"/>
        </w:rPr>
      </w:pPr>
      <w:r>
        <w:rPr>
          <w:highlight w:val="none"/>
        </w:rPr>
        <mc:AlternateContent>
          <mc:Choice Requires="wps">
            <w:drawing>
              <wp:anchor distT="0" distB="0" distL="114300" distR="114300" simplePos="0" relativeHeight="251667456" behindDoc="0" locked="0" layoutInCell="1" allowOverlap="1">
                <wp:simplePos x="0" y="0"/>
                <wp:positionH relativeFrom="page">
                  <wp:posOffset>3609975</wp:posOffset>
                </wp:positionH>
                <wp:positionV relativeFrom="paragraph">
                  <wp:posOffset>233680</wp:posOffset>
                </wp:positionV>
                <wp:extent cx="457200" cy="0"/>
                <wp:effectExtent l="0" t="0" r="0" b="0"/>
                <wp:wrapNone/>
                <wp:docPr id="3" name="直线 5"/>
                <wp:cNvGraphicFramePr/>
                <a:graphic xmlns:a="http://schemas.openxmlformats.org/drawingml/2006/main">
                  <a:graphicData uri="http://schemas.microsoft.com/office/word/2010/wordprocessingShape">
                    <wps:wsp>
                      <wps:cNvCnPr/>
                      <wps:spPr>
                        <a:xfrm>
                          <a:off x="0" y="0"/>
                          <a:ext cx="4572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84.25pt;margin-top:18.4pt;height:0pt;width:36pt;mso-position-horizontal-relative:page;z-index:251667456;mso-width-relative:page;mso-height-relative:page;" filled="f" stroked="t" coordsize="21600,21600" o:gfxdata="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Q30KfVAAAA&#10;CQEAAA8AAAAAAAAAAQAgAAAAIgAAAGRycy9kb3ducmV2LnhtbFBLAQIUABQAAAAIAIdO4kCEgGTX&#10;5wEAANoDAAAOAAAAAAAAAAEAIAAAACQBAABkcnMvZTJvRG9jLnhtbFBLBQYAAAAABgAGAFkBAAB9&#10;BQAAAAA=&#10;">
                <v:fill on="f" focussize="0,0"/>
                <v:stroke weight="0.6pt" color="#000000" joinstyle="round"/>
                <v:imagedata o:title=""/>
                <o:lock v:ext="edit" aspectratio="f"/>
              </v:line>
            </w:pict>
          </mc:Fallback>
        </mc:AlternateContent>
      </w:r>
      <w:r>
        <w:rPr>
          <w:sz w:val="24"/>
          <w:highlight w:val="none"/>
        </w:rPr>
        <w:t>若我方中标，我方保证按投标工期</w:t>
      </w:r>
      <w:r>
        <w:rPr>
          <w:sz w:val="24"/>
          <w:highlight w:val="none"/>
        </w:rPr>
        <w:tab/>
      </w:r>
      <w:r>
        <w:rPr>
          <w:sz w:val="24"/>
          <w:highlight w:val="none"/>
        </w:rPr>
        <w:t>日历天内完成本工程。</w:t>
      </w:r>
    </w:p>
    <w:p w14:paraId="28A526D6">
      <w:pPr>
        <w:pStyle w:val="70"/>
        <w:numPr>
          <w:ilvl w:val="0"/>
          <w:numId w:val="47"/>
        </w:numPr>
        <w:tabs>
          <w:tab w:val="left" w:pos="1167"/>
          <w:tab w:val="left" w:pos="6205"/>
          <w:tab w:val="left" w:pos="9085"/>
        </w:tabs>
        <w:spacing w:before="96"/>
        <w:ind w:left="1166" w:hanging="362"/>
        <w:jc w:val="left"/>
        <w:rPr>
          <w:sz w:val="24"/>
          <w:highlight w:val="none"/>
        </w:rPr>
      </w:pPr>
      <w:r>
        <w:rPr>
          <w:highlight w:val="none"/>
        </w:rPr>
        <mc:AlternateContent>
          <mc:Choice Requires="wps">
            <w:drawing>
              <wp:anchor distT="0" distB="0" distL="114300" distR="114300" simplePos="0" relativeHeight="251661312" behindDoc="1" locked="0" layoutInCell="1" allowOverlap="1">
                <wp:simplePos x="0" y="0"/>
                <wp:positionH relativeFrom="page">
                  <wp:posOffset>4067175</wp:posOffset>
                </wp:positionH>
                <wp:positionV relativeFrom="paragraph">
                  <wp:posOffset>230505</wp:posOffset>
                </wp:positionV>
                <wp:extent cx="457200" cy="0"/>
                <wp:effectExtent l="0" t="0" r="0" b="0"/>
                <wp:wrapNone/>
                <wp:docPr id="2" name="直线 6"/>
                <wp:cNvGraphicFramePr/>
                <a:graphic xmlns:a="http://schemas.openxmlformats.org/drawingml/2006/main">
                  <a:graphicData uri="http://schemas.microsoft.com/office/word/2010/wordprocessingShape">
                    <wps:wsp>
                      <wps:cNvCnPr/>
                      <wps:spPr>
                        <a:xfrm>
                          <a:off x="0" y="0"/>
                          <a:ext cx="4572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320.25pt;margin-top:18.15pt;height:0pt;width:36pt;mso-position-horizontal-relative:page;z-index:-251655168;mso-width-relative:page;mso-height-relative:page;" filled="f" stroked="t" coordsize="21600,21600" o:gfxdata="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G/+0rWAAAA&#10;CQEAAA8AAAAAAAAAAQAgAAAAIgAAAGRycy9kb3ducmV2LnhtbFBLAQIUABQAAAAIAIdO4kB+dyS7&#10;5gEAANoDAAAOAAAAAAAAAAEAIAAAACUBAABkcnMvZTJvRG9jLnhtbFBLBQYAAAAABgAGAFkBAAB9&#10;BQAAAAA=&#10;">
                <v:fill on="f" focussize="0,0"/>
                <v:stroke weight="0.6pt" color="#000000" joinstyle="round"/>
                <v:imagedata o:title=""/>
                <o:lock v:ext="edit" aspectratio="f"/>
              </v:line>
            </w:pict>
          </mc:Fallback>
        </mc:AlternateContent>
      </w:r>
      <w:r>
        <w:rPr>
          <w:sz w:val="24"/>
          <w:highlight w:val="none"/>
        </w:rPr>
        <w:t>若我方中标，我方保证工程质量等级达到</w:t>
      </w:r>
      <w:r>
        <w:rPr>
          <w:sz w:val="24"/>
          <w:highlight w:val="none"/>
        </w:rPr>
        <w:tab/>
      </w:r>
      <w:r>
        <w:rPr>
          <w:sz w:val="24"/>
          <w:highlight w:val="none"/>
        </w:rPr>
        <w:t>。本工程项目经理为</w:t>
      </w:r>
      <w:r>
        <w:rPr>
          <w:sz w:val="24"/>
          <w:highlight w:val="none"/>
          <w:u w:val="single"/>
        </w:rPr>
        <w:t xml:space="preserve"> </w:t>
      </w:r>
      <w:r>
        <w:rPr>
          <w:sz w:val="24"/>
          <w:highlight w:val="none"/>
          <w:u w:val="single"/>
        </w:rPr>
        <w:tab/>
      </w:r>
      <w:r>
        <w:rPr>
          <w:sz w:val="24"/>
          <w:highlight w:val="none"/>
        </w:rPr>
        <w:t>。</w:t>
      </w:r>
    </w:p>
    <w:p w14:paraId="6E84867D">
      <w:pPr>
        <w:pStyle w:val="70"/>
        <w:numPr>
          <w:ilvl w:val="0"/>
          <w:numId w:val="47"/>
        </w:numPr>
        <w:tabs>
          <w:tab w:val="left" w:pos="1167"/>
        </w:tabs>
        <w:spacing w:before="98" w:line="316" w:lineRule="auto"/>
        <w:ind w:left="1165" w:right="551" w:hanging="360"/>
        <w:jc w:val="left"/>
        <w:rPr>
          <w:sz w:val="24"/>
          <w:highlight w:val="none"/>
        </w:rPr>
      </w:pPr>
      <w:r>
        <w:rPr>
          <w:spacing w:val="-5"/>
          <w:sz w:val="24"/>
          <w:highlight w:val="none"/>
        </w:rPr>
        <w:t>若我方中标，我方同意贵单位提出的付款方式且保证达到安全文明施工达到文</w:t>
      </w:r>
      <w:r>
        <w:rPr>
          <w:spacing w:val="-4"/>
          <w:sz w:val="24"/>
          <w:highlight w:val="none"/>
        </w:rPr>
        <w:t>明工地标准。</w:t>
      </w:r>
    </w:p>
    <w:p w14:paraId="50039D0E">
      <w:pPr>
        <w:pStyle w:val="70"/>
        <w:numPr>
          <w:ilvl w:val="0"/>
          <w:numId w:val="47"/>
        </w:numPr>
        <w:tabs>
          <w:tab w:val="left" w:pos="1167"/>
        </w:tabs>
        <w:spacing w:line="316" w:lineRule="auto"/>
        <w:ind w:left="1165" w:right="498" w:hanging="360"/>
        <w:jc w:val="left"/>
        <w:rPr>
          <w:sz w:val="24"/>
          <w:highlight w:val="none"/>
        </w:rPr>
      </w:pPr>
      <w:r>
        <w:rPr>
          <w:spacing w:val="-1"/>
          <w:sz w:val="24"/>
          <w:highlight w:val="none"/>
        </w:rPr>
        <w:t xml:space="preserve">我方同意所提交的投标文件在招标文件的投标须知中规定的投标有效期内有效， </w:t>
      </w:r>
      <w:r>
        <w:rPr>
          <w:sz w:val="24"/>
          <w:highlight w:val="none"/>
        </w:rPr>
        <w:t>在此期间内如果中标，我方将受此约束。</w:t>
      </w:r>
    </w:p>
    <w:p w14:paraId="546156C9">
      <w:pPr>
        <w:pStyle w:val="70"/>
        <w:numPr>
          <w:ilvl w:val="0"/>
          <w:numId w:val="47"/>
        </w:numPr>
        <w:tabs>
          <w:tab w:val="left" w:pos="1167"/>
        </w:tabs>
        <w:spacing w:line="314" w:lineRule="auto"/>
        <w:ind w:left="1165" w:right="551" w:hanging="360"/>
        <w:jc w:val="left"/>
        <w:rPr>
          <w:sz w:val="24"/>
          <w:highlight w:val="none"/>
        </w:rPr>
      </w:pPr>
      <w:r>
        <w:rPr>
          <w:spacing w:val="-4"/>
          <w:sz w:val="24"/>
          <w:highlight w:val="none"/>
        </w:rPr>
        <w:t>在合同协议书正式签署生效之前，你方的招标文件、答疑纪要、中标通知书和本</w:t>
      </w:r>
      <w:r>
        <w:rPr>
          <w:sz w:val="24"/>
          <w:highlight w:val="none"/>
        </w:rPr>
        <w:t>投标文件将构成我们约束双方之间共同遵守的文件，对双方具有约束力。</w:t>
      </w:r>
    </w:p>
    <w:p w14:paraId="0111525C">
      <w:pPr>
        <w:pStyle w:val="70"/>
        <w:numPr>
          <w:ilvl w:val="0"/>
          <w:numId w:val="47"/>
        </w:numPr>
        <w:tabs>
          <w:tab w:val="left" w:pos="1138"/>
        </w:tabs>
        <w:spacing w:line="314" w:lineRule="auto"/>
        <w:ind w:left="656" w:right="551" w:firstLine="120"/>
        <w:jc w:val="left"/>
        <w:rPr>
          <w:sz w:val="24"/>
          <w:highlight w:val="none"/>
        </w:rPr>
      </w:pPr>
      <w:r>
        <w:rPr>
          <w:spacing w:val="-2"/>
          <w:sz w:val="24"/>
          <w:highlight w:val="none"/>
        </w:rPr>
        <w:t>我方理解你方不负担我们的任何投标费用，我方不要求你方对未中标原因作任何</w:t>
      </w:r>
      <w:r>
        <w:rPr>
          <w:sz w:val="24"/>
          <w:highlight w:val="none"/>
        </w:rPr>
        <w:t>解释，也不退回投标文件。</w:t>
      </w:r>
    </w:p>
    <w:p w14:paraId="10F6A827">
      <w:pPr>
        <w:pStyle w:val="70"/>
        <w:numPr>
          <w:ilvl w:val="0"/>
          <w:numId w:val="47"/>
        </w:numPr>
        <w:tabs>
          <w:tab w:val="left" w:pos="1279"/>
        </w:tabs>
        <w:spacing w:before="2" w:line="316" w:lineRule="auto"/>
        <w:ind w:right="551" w:firstLine="240"/>
        <w:jc w:val="both"/>
        <w:rPr>
          <w:sz w:val="24"/>
          <w:highlight w:val="none"/>
        </w:rPr>
      </w:pPr>
      <w:r>
        <w:rPr>
          <w:sz w:val="24"/>
          <w:highlight w:val="none"/>
        </w:rPr>
        <w:t>我方完全接受并响应招标文件、答疑文件、评标办法、招标控制限价等关于本项目相关文件的要求，严格遵守招标过程的时间安排、程序安排等细节，对此无任何异议。</w:t>
      </w:r>
    </w:p>
    <w:p w14:paraId="14872647">
      <w:pPr>
        <w:pStyle w:val="16"/>
        <w:spacing w:line="304" w:lineRule="exact"/>
        <w:ind w:left="805"/>
        <w:rPr>
          <w:highlight w:val="none"/>
        </w:rPr>
      </w:pPr>
      <w:r>
        <w:rPr>
          <w:highlight w:val="none"/>
        </w:rPr>
        <w:t>注：投标报价应与工程量清单的报价汇总表数字一致。精确到分。</w:t>
      </w:r>
    </w:p>
    <w:p w14:paraId="72CB9864">
      <w:pPr>
        <w:pStyle w:val="16"/>
        <w:rPr>
          <w:highlight w:val="none"/>
        </w:rPr>
      </w:pPr>
    </w:p>
    <w:p w14:paraId="5A014501">
      <w:pPr>
        <w:pStyle w:val="16"/>
        <w:tabs>
          <w:tab w:val="left" w:pos="1033"/>
          <w:tab w:val="left" w:pos="1633"/>
          <w:tab w:val="left" w:pos="6553"/>
        </w:tabs>
        <w:spacing w:before="194" w:line="316" w:lineRule="auto"/>
        <w:ind w:left="553" w:right="2550"/>
        <w:rPr>
          <w:highlight w:val="none"/>
        </w:rPr>
      </w:pPr>
      <w:r>
        <w:rPr>
          <w:highlight w:val="none"/>
        </w:rPr>
        <w:t>投</w:t>
      </w:r>
      <w:r>
        <w:rPr>
          <w:highlight w:val="none"/>
        </w:rPr>
        <w:tab/>
      </w:r>
      <w:r>
        <w:rPr>
          <w:highlight w:val="none"/>
        </w:rPr>
        <w:t>标</w:t>
      </w:r>
      <w:r>
        <w:rPr>
          <w:highlight w:val="none"/>
        </w:rPr>
        <w:tab/>
      </w:r>
      <w:r>
        <w:rPr>
          <w:highlight w:val="none"/>
        </w:rPr>
        <w:t>人：</w:t>
      </w:r>
      <w:r>
        <w:rPr>
          <w:highlight w:val="none"/>
          <w:u w:val="single"/>
        </w:rPr>
        <w:t xml:space="preserve"> </w:t>
      </w:r>
      <w:r>
        <w:rPr>
          <w:highlight w:val="none"/>
          <w:u w:val="single"/>
        </w:rPr>
        <w:tab/>
      </w:r>
      <w:r>
        <w:rPr>
          <w:highlight w:val="none"/>
          <w:u w:val="single"/>
        </w:rPr>
        <w:t>（盖章</w:t>
      </w:r>
      <w:r>
        <w:rPr>
          <w:spacing w:val="-17"/>
          <w:highlight w:val="none"/>
          <w:u w:val="single"/>
        </w:rPr>
        <w:t xml:space="preserve">） </w:t>
      </w:r>
      <w:r>
        <w:rPr>
          <w:highlight w:val="none"/>
        </w:rPr>
        <w:t>单 位 地 址：</w:t>
      </w:r>
    </w:p>
    <w:p w14:paraId="69679423">
      <w:pPr>
        <w:pStyle w:val="16"/>
        <w:tabs>
          <w:tab w:val="left" w:pos="6553"/>
        </w:tabs>
        <w:spacing w:line="316" w:lineRule="auto"/>
        <w:ind w:left="553" w:right="1830"/>
        <w:rPr>
          <w:highlight w:val="none"/>
        </w:rPr>
      </w:pPr>
      <w:r>
        <w:rPr>
          <w:highlight w:val="none"/>
        </w:rPr>
        <w:t>法定代表人或委托代理人：</w:t>
      </w:r>
      <w:r>
        <w:rPr>
          <w:highlight w:val="none"/>
          <w:u w:val="single"/>
        </w:rPr>
        <w:t xml:space="preserve"> </w:t>
      </w:r>
      <w:r>
        <w:rPr>
          <w:highlight w:val="none"/>
          <w:u w:val="single"/>
        </w:rPr>
        <w:tab/>
      </w:r>
      <w:r>
        <w:rPr>
          <w:highlight w:val="none"/>
          <w:u w:val="single"/>
        </w:rPr>
        <w:t>（签字或盖章</w:t>
      </w:r>
      <w:r>
        <w:rPr>
          <w:spacing w:val="-17"/>
          <w:highlight w:val="none"/>
          <w:u w:val="single"/>
        </w:rPr>
        <w:t xml:space="preserve">） </w:t>
      </w:r>
      <w:r>
        <w:rPr>
          <w:highlight w:val="none"/>
        </w:rPr>
        <w:t>邮 政 编 码：</w:t>
      </w:r>
    </w:p>
    <w:p w14:paraId="685F1873">
      <w:pPr>
        <w:pStyle w:val="16"/>
        <w:spacing w:line="305" w:lineRule="exact"/>
        <w:ind w:left="553"/>
        <w:rPr>
          <w:highlight w:val="none"/>
        </w:rPr>
      </w:pPr>
      <w:r>
        <w:rPr>
          <w:highlight w:val="none"/>
        </w:rPr>
        <w:t>电话：</w:t>
      </w:r>
    </w:p>
    <w:p w14:paraId="3A4FC463">
      <w:pPr>
        <w:pStyle w:val="16"/>
        <w:tabs>
          <w:tab w:val="left" w:pos="1633"/>
          <w:tab w:val="left" w:pos="2713"/>
          <w:tab w:val="left" w:pos="3313"/>
          <w:tab w:val="left" w:pos="3913"/>
        </w:tabs>
        <w:spacing w:before="95"/>
        <w:ind w:left="553"/>
        <w:rPr>
          <w:highlight w:val="none"/>
        </w:rPr>
      </w:pPr>
      <w:r>
        <w:rPr>
          <w:highlight w:val="none"/>
        </w:rPr>
        <w:t>日</w:t>
      </w:r>
      <w:r>
        <w:rPr>
          <w:highlight w:val="none"/>
        </w:rPr>
        <w:tab/>
      </w:r>
      <w:r>
        <w:rPr>
          <w:highlight w:val="none"/>
        </w:rPr>
        <w:t>期：</w:t>
      </w:r>
      <w:r>
        <w:rPr>
          <w:highlight w:val="none"/>
        </w:rPr>
        <w:tab/>
      </w:r>
      <w:r>
        <w:rPr>
          <w:highlight w:val="none"/>
        </w:rPr>
        <w:t>年</w:t>
      </w:r>
      <w:r>
        <w:rPr>
          <w:highlight w:val="none"/>
        </w:rPr>
        <w:tab/>
      </w:r>
      <w:r>
        <w:rPr>
          <w:highlight w:val="none"/>
        </w:rPr>
        <w:t>月</w:t>
      </w:r>
      <w:r>
        <w:rPr>
          <w:highlight w:val="none"/>
        </w:rPr>
        <w:tab/>
      </w:r>
      <w:r>
        <w:rPr>
          <w:highlight w:val="none"/>
        </w:rPr>
        <w:t>日</w:t>
      </w:r>
    </w:p>
    <w:p w14:paraId="3797024A">
      <w:pPr>
        <w:rPr>
          <w:highlight w:val="none"/>
        </w:rPr>
        <w:sectPr>
          <w:pgSz w:w="11910" w:h="16840"/>
          <w:pgMar w:top="1420" w:right="920" w:bottom="1420" w:left="920" w:header="0" w:footer="1229" w:gutter="0"/>
          <w:cols w:space="720" w:num="1"/>
        </w:sectPr>
      </w:pPr>
    </w:p>
    <w:p w14:paraId="16B8911E">
      <w:pPr>
        <w:pStyle w:val="5"/>
        <w:spacing w:before="44"/>
        <w:ind w:left="835" w:right="837"/>
        <w:jc w:val="center"/>
        <w:rPr>
          <w:rFonts w:ascii="宋体" w:eastAsia="宋体"/>
          <w:highlight w:val="none"/>
          <w:u w:val="none"/>
        </w:rPr>
      </w:pPr>
      <w:bookmarkStart w:id="279" w:name="（二）投标函附录"/>
      <w:bookmarkEnd w:id="279"/>
      <w:bookmarkStart w:id="280" w:name="二、法定代表人身份证明"/>
      <w:bookmarkEnd w:id="280"/>
      <w:r>
        <w:rPr>
          <w:rFonts w:hint="eastAsia" w:ascii="宋体" w:eastAsia="宋体"/>
          <w:highlight w:val="none"/>
          <w:u w:val="none"/>
        </w:rPr>
        <w:t>（二）投标函附录</w:t>
      </w:r>
    </w:p>
    <w:p w14:paraId="120B7780">
      <w:pPr>
        <w:pStyle w:val="16"/>
        <w:spacing w:before="11"/>
        <w:rPr>
          <w:b/>
          <w:sz w:val="33"/>
          <w:highlight w:val="none"/>
        </w:rPr>
      </w:pPr>
    </w:p>
    <w:p w14:paraId="0CB321A7">
      <w:pPr>
        <w:pStyle w:val="16"/>
        <w:tabs>
          <w:tab w:val="left" w:pos="5052"/>
        </w:tabs>
        <w:ind w:left="553"/>
        <w:rPr>
          <w:rFonts w:ascii="Times New Roman" w:eastAsia="Times New Roman"/>
          <w:highlight w:val="none"/>
        </w:rPr>
      </w:pPr>
      <w:r>
        <w:rPr>
          <w:spacing w:val="-1"/>
          <w:highlight w:val="none"/>
        </w:rPr>
        <w:t>工</w:t>
      </w:r>
      <w:r>
        <w:rPr>
          <w:highlight w:val="none"/>
        </w:rPr>
        <w:t>程名称：</w:t>
      </w:r>
      <w:r>
        <w:rPr>
          <w:rFonts w:ascii="Times New Roman" w:eastAsia="Times New Roman"/>
          <w:highlight w:val="none"/>
          <w:u w:val="single"/>
        </w:rPr>
        <w:t xml:space="preserve"> </w:t>
      </w:r>
      <w:r>
        <w:rPr>
          <w:rFonts w:ascii="Times New Roman" w:eastAsia="Times New Roman"/>
          <w:highlight w:val="none"/>
          <w:u w:val="single"/>
        </w:rPr>
        <w:tab/>
      </w:r>
    </w:p>
    <w:p w14:paraId="624B1991">
      <w:pPr>
        <w:pStyle w:val="16"/>
        <w:spacing w:before="2" w:after="1"/>
        <w:rPr>
          <w:rFonts w:ascii="Times New Roman"/>
          <w:sz w:val="27"/>
          <w:highlight w:val="none"/>
        </w:rPr>
      </w:pPr>
    </w:p>
    <w:tbl>
      <w:tblPr>
        <w:tblStyle w:val="41"/>
        <w:tblW w:w="0" w:type="auto"/>
        <w:tblInd w:w="4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8"/>
      </w:tblGrid>
      <w:tr w14:paraId="7F6CA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178" w:type="dxa"/>
          </w:tcPr>
          <w:p w14:paraId="2B897712">
            <w:pPr>
              <w:pStyle w:val="71"/>
              <w:spacing w:before="130"/>
              <w:ind w:left="2167" w:right="2160"/>
              <w:jc w:val="center"/>
              <w:rPr>
                <w:sz w:val="24"/>
                <w:highlight w:val="none"/>
              </w:rPr>
            </w:pPr>
            <w:r>
              <w:rPr>
                <w:sz w:val="24"/>
                <w:highlight w:val="none"/>
              </w:rPr>
              <w:t>招标文件中规定的实质性要求和条件响应情况</w:t>
            </w:r>
          </w:p>
        </w:tc>
      </w:tr>
      <w:tr w14:paraId="7AE64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1" w:hRule="atLeast"/>
        </w:trPr>
        <w:tc>
          <w:tcPr>
            <w:tcW w:w="9178" w:type="dxa"/>
          </w:tcPr>
          <w:p w14:paraId="26F892DC">
            <w:pPr>
              <w:pStyle w:val="71"/>
              <w:rPr>
                <w:rFonts w:ascii="Times New Roman"/>
                <w:sz w:val="24"/>
                <w:highlight w:val="none"/>
              </w:rPr>
            </w:pPr>
          </w:p>
        </w:tc>
      </w:tr>
      <w:tr w14:paraId="3A02E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9178" w:type="dxa"/>
          </w:tcPr>
          <w:p w14:paraId="115DCB70">
            <w:pPr>
              <w:pStyle w:val="71"/>
              <w:spacing w:before="8"/>
              <w:rPr>
                <w:rFonts w:ascii="Times New Roman"/>
                <w:sz w:val="26"/>
                <w:highlight w:val="none"/>
              </w:rPr>
            </w:pPr>
          </w:p>
          <w:p w14:paraId="167A6091">
            <w:pPr>
              <w:pStyle w:val="71"/>
              <w:spacing w:line="242" w:lineRule="auto"/>
              <w:ind w:left="106" w:right="-29" w:firstLine="480"/>
              <w:jc w:val="both"/>
              <w:rPr>
                <w:sz w:val="24"/>
                <w:highlight w:val="none"/>
              </w:rPr>
            </w:pPr>
            <w:r>
              <w:rPr>
                <w:sz w:val="24"/>
                <w:highlight w:val="none"/>
              </w:rPr>
              <w:t>备注：投标人应承诺是否响应招标文件中规定的实质性要求和条件，并在此基础上，可做出其他有利于</w:t>
            </w:r>
            <w:r>
              <w:rPr>
                <w:rFonts w:hint="eastAsia"/>
                <w:sz w:val="24"/>
                <w:highlight w:val="none"/>
                <w:lang w:eastAsia="zh-CN"/>
              </w:rPr>
              <w:t>招标人</w:t>
            </w:r>
            <w:r>
              <w:rPr>
                <w:sz w:val="24"/>
                <w:highlight w:val="none"/>
              </w:rPr>
              <w:t>的承诺。如投标人不承诺完全响应招标文件中规定的实质性要求和条件，应对不响应部分的内容予以具体说明。如投标人不填写实质性要求</w:t>
            </w:r>
            <w:r>
              <w:rPr>
                <w:spacing w:val="-5"/>
                <w:sz w:val="24"/>
                <w:highlight w:val="none"/>
              </w:rPr>
              <w:t>和条件的响应情况，则视为投标人承诺完全响应招标文件中规定的实质性要求和条件。</w:t>
            </w:r>
          </w:p>
        </w:tc>
      </w:tr>
    </w:tbl>
    <w:p w14:paraId="0D96BECC">
      <w:pPr>
        <w:pStyle w:val="16"/>
        <w:rPr>
          <w:rFonts w:ascii="Times New Roman"/>
          <w:sz w:val="26"/>
          <w:highlight w:val="none"/>
        </w:rPr>
      </w:pPr>
    </w:p>
    <w:p w14:paraId="51628384">
      <w:pPr>
        <w:pStyle w:val="16"/>
        <w:tabs>
          <w:tab w:val="left" w:pos="7832"/>
          <w:tab w:val="left" w:pos="8072"/>
        </w:tabs>
        <w:spacing w:before="168" w:line="364" w:lineRule="auto"/>
        <w:ind w:left="1592" w:right="551" w:firstLine="2400"/>
        <w:rPr>
          <w:highlight w:val="none"/>
        </w:rPr>
      </w:pPr>
      <w:r>
        <w:rPr>
          <w:highlight w:val="none"/>
        </w:rPr>
        <w:t>投标人：</w:t>
      </w:r>
      <w:r>
        <w:rPr>
          <w:highlight w:val="none"/>
          <w:u w:val="single"/>
        </w:rPr>
        <w:t xml:space="preserve"> </w:t>
      </w:r>
      <w:r>
        <w:rPr>
          <w:highlight w:val="none"/>
          <w:u w:val="single"/>
        </w:rPr>
        <w:tab/>
      </w:r>
      <w:r>
        <w:rPr>
          <w:highlight w:val="none"/>
          <w:u w:val="single"/>
        </w:rPr>
        <w:tab/>
      </w:r>
      <w:r>
        <w:rPr>
          <w:highlight w:val="none"/>
        </w:rPr>
        <w:t>（盖单位章</w:t>
      </w:r>
      <w:r>
        <w:rPr>
          <w:spacing w:val="-17"/>
          <w:highlight w:val="none"/>
        </w:rPr>
        <w:t xml:space="preserve">） </w:t>
      </w:r>
      <w:r>
        <w:rPr>
          <w:highlight w:val="none"/>
        </w:rPr>
        <w:t>法定代表人或其授权委托人：</w:t>
      </w:r>
      <w:r>
        <w:rPr>
          <w:highlight w:val="none"/>
          <w:u w:val="single"/>
        </w:rPr>
        <w:t xml:space="preserve"> </w:t>
      </w:r>
      <w:r>
        <w:rPr>
          <w:highlight w:val="none"/>
          <w:u w:val="single"/>
        </w:rPr>
        <w:tab/>
      </w:r>
      <w:r>
        <w:rPr>
          <w:highlight w:val="none"/>
        </w:rPr>
        <w:t>（签字或盖章</w:t>
      </w:r>
      <w:r>
        <w:rPr>
          <w:spacing w:val="-17"/>
          <w:highlight w:val="none"/>
        </w:rPr>
        <w:t>）</w:t>
      </w:r>
    </w:p>
    <w:p w14:paraId="156AB2A3">
      <w:pPr>
        <w:pStyle w:val="16"/>
        <w:tabs>
          <w:tab w:val="left" w:pos="360"/>
          <w:tab w:val="left" w:pos="960"/>
          <w:tab w:val="left" w:pos="1560"/>
        </w:tabs>
        <w:spacing w:before="157"/>
        <w:ind w:right="551"/>
        <w:jc w:val="right"/>
        <w:rPr>
          <w:highlight w:val="none"/>
        </w:rPr>
      </w:pPr>
      <w:r>
        <w:rPr>
          <w:rFonts w:ascii="Times New Roman" w:eastAsia="Times New Roman"/>
          <w:highlight w:val="none"/>
          <w:u w:val="single"/>
        </w:rPr>
        <w:t xml:space="preserve"> </w:t>
      </w:r>
      <w:r>
        <w:rPr>
          <w:rFonts w:ascii="Times New Roman" w:eastAsia="Times New Roman"/>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w:t>
      </w:r>
    </w:p>
    <w:p w14:paraId="1FDCA2B6">
      <w:pPr>
        <w:jc w:val="right"/>
        <w:rPr>
          <w:highlight w:val="none"/>
        </w:rPr>
        <w:sectPr>
          <w:pgSz w:w="11910" w:h="16840"/>
          <w:pgMar w:top="1420" w:right="920" w:bottom="1420" w:left="920" w:header="0" w:footer="1229" w:gutter="0"/>
          <w:cols w:space="720" w:num="1"/>
        </w:sectPr>
      </w:pPr>
    </w:p>
    <w:p w14:paraId="11ECC09C">
      <w:pPr>
        <w:pStyle w:val="16"/>
        <w:spacing w:before="9"/>
        <w:rPr>
          <w:sz w:val="10"/>
          <w:highlight w:val="none"/>
        </w:rPr>
      </w:pPr>
    </w:p>
    <w:p w14:paraId="77BBF0CA">
      <w:pPr>
        <w:pStyle w:val="79"/>
        <w:spacing w:before="120" w:after="120"/>
        <w:rPr>
          <w:rFonts w:ascii="宋体" w:hAnsi="宋体" w:eastAsia="宋体"/>
          <w:b/>
          <w:bCs/>
          <w:sz w:val="28"/>
          <w:szCs w:val="28"/>
          <w:highlight w:val="none"/>
        </w:rPr>
      </w:pPr>
      <w:bookmarkStart w:id="281" w:name="三、授权委托书"/>
      <w:bookmarkEnd w:id="281"/>
      <w:r>
        <w:rPr>
          <w:rFonts w:hint="eastAsia" w:ascii="宋体" w:hAnsi="宋体" w:eastAsia="宋体"/>
          <w:b/>
          <w:bCs/>
          <w:sz w:val="28"/>
          <w:szCs w:val="28"/>
          <w:highlight w:val="none"/>
        </w:rPr>
        <w:t>（</w:t>
      </w:r>
      <w:r>
        <w:rPr>
          <w:rFonts w:hint="eastAsia" w:ascii="宋体" w:hAnsi="宋体" w:eastAsia="宋体"/>
          <w:b/>
          <w:bCs/>
          <w:sz w:val="28"/>
          <w:szCs w:val="28"/>
          <w:highlight w:val="none"/>
          <w:lang w:val="en-US"/>
        </w:rPr>
        <w:t>三</w:t>
      </w:r>
      <w:r>
        <w:rPr>
          <w:rFonts w:hint="eastAsia" w:ascii="宋体" w:hAnsi="宋体" w:eastAsia="宋体"/>
          <w:b/>
          <w:bCs/>
          <w:sz w:val="28"/>
          <w:szCs w:val="28"/>
          <w:highlight w:val="none"/>
        </w:rPr>
        <w:t>）开标一览表</w:t>
      </w:r>
    </w:p>
    <w:p w14:paraId="51D2B11C">
      <w:pPr>
        <w:spacing w:line="360" w:lineRule="auto"/>
        <w:ind w:firstLine="440" w:firstLineChars="200"/>
        <w:rPr>
          <w:highlight w:val="none"/>
        </w:rPr>
      </w:pPr>
      <w:r>
        <w:rPr>
          <w:rFonts w:hint="eastAsia"/>
          <w:highlight w:val="none"/>
        </w:rPr>
        <w:t>项目名称：</w:t>
      </w:r>
    </w:p>
    <w:p w14:paraId="4979D1CC">
      <w:pPr>
        <w:spacing w:line="360" w:lineRule="auto"/>
        <w:ind w:firstLine="440" w:firstLineChars="200"/>
        <w:rPr>
          <w:rFonts w:hint="eastAsia"/>
          <w:highlight w:val="none"/>
        </w:rPr>
      </w:pPr>
      <w:r>
        <w:rPr>
          <w:rFonts w:hint="eastAsia"/>
          <w:highlight w:val="none"/>
        </w:rPr>
        <w:t>项目编号：</w:t>
      </w:r>
    </w:p>
    <w:p w14:paraId="4B91859D">
      <w:pPr>
        <w:spacing w:line="360" w:lineRule="auto"/>
        <w:ind w:firstLine="440" w:firstLineChars="200"/>
        <w:rPr>
          <w:rFonts w:hint="default" w:eastAsia="宋体"/>
          <w:highlight w:val="none"/>
          <w:u w:val="none"/>
          <w:lang w:val="en-US" w:eastAsia="zh-CN"/>
        </w:rPr>
      </w:pPr>
      <w:r>
        <w:rPr>
          <w:rFonts w:hint="eastAsia"/>
          <w:highlight w:val="none"/>
          <w:lang w:val="en-US" w:eastAsia="zh-CN"/>
        </w:rPr>
        <w:t>第</w:t>
      </w:r>
      <w:r>
        <w:rPr>
          <w:rFonts w:hint="eastAsia"/>
          <w:highlight w:val="none"/>
          <w:u w:val="single"/>
          <w:lang w:val="en-US" w:eastAsia="zh-CN"/>
        </w:rPr>
        <w:t xml:space="preserve">   </w:t>
      </w:r>
      <w:r>
        <w:rPr>
          <w:rFonts w:hint="eastAsia"/>
          <w:highlight w:val="none"/>
          <w:lang w:val="en-US" w:eastAsia="zh-CN"/>
        </w:rPr>
        <w:t>包：</w:t>
      </w:r>
      <w:r>
        <w:rPr>
          <w:rFonts w:hint="eastAsia"/>
          <w:highlight w:val="none"/>
          <w:u w:val="single"/>
          <w:lang w:val="en-US" w:eastAsia="zh-CN"/>
        </w:rPr>
        <w:t xml:space="preserve">                                    </w:t>
      </w:r>
      <w:r>
        <w:rPr>
          <w:rFonts w:hint="eastAsia"/>
          <w:highlight w:val="none"/>
          <w:u w:val="none"/>
          <w:lang w:val="en-US" w:eastAsia="zh-CN"/>
        </w:rPr>
        <w:t>（包名称）</w:t>
      </w:r>
    </w:p>
    <w:tbl>
      <w:tblPr>
        <w:tblStyle w:val="41"/>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6377"/>
      </w:tblGrid>
      <w:tr w14:paraId="711B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83" w:type="dxa"/>
            <w:vMerge w:val="restart"/>
            <w:vAlign w:val="center"/>
          </w:tcPr>
          <w:p w14:paraId="77506924">
            <w:pPr>
              <w:jc w:val="center"/>
              <w:rPr>
                <w:highlight w:val="none"/>
              </w:rPr>
            </w:pPr>
            <w:r>
              <w:rPr>
                <w:rFonts w:hint="eastAsia"/>
                <w:highlight w:val="none"/>
              </w:rPr>
              <w:t>投标总报价</w:t>
            </w:r>
          </w:p>
          <w:p w14:paraId="464EF6FC">
            <w:pPr>
              <w:jc w:val="center"/>
              <w:rPr>
                <w:highlight w:val="none"/>
              </w:rPr>
            </w:pPr>
            <w:r>
              <w:rPr>
                <w:rFonts w:hint="eastAsia"/>
                <w:highlight w:val="none"/>
              </w:rPr>
              <w:t>（元）</w:t>
            </w:r>
          </w:p>
        </w:tc>
        <w:tc>
          <w:tcPr>
            <w:tcW w:w="6377" w:type="dxa"/>
            <w:vAlign w:val="center"/>
          </w:tcPr>
          <w:p w14:paraId="7BB3EF48">
            <w:pPr>
              <w:rPr>
                <w:highlight w:val="none"/>
              </w:rPr>
            </w:pPr>
            <w:r>
              <w:rPr>
                <w:rFonts w:hint="eastAsia"/>
                <w:highlight w:val="none"/>
              </w:rPr>
              <w:t>小写：</w:t>
            </w:r>
          </w:p>
        </w:tc>
      </w:tr>
      <w:tr w14:paraId="3913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83" w:type="dxa"/>
            <w:vMerge w:val="continue"/>
            <w:vAlign w:val="center"/>
          </w:tcPr>
          <w:p w14:paraId="6FE33334">
            <w:pPr>
              <w:jc w:val="center"/>
              <w:rPr>
                <w:highlight w:val="none"/>
              </w:rPr>
            </w:pPr>
          </w:p>
        </w:tc>
        <w:tc>
          <w:tcPr>
            <w:tcW w:w="6377" w:type="dxa"/>
            <w:vAlign w:val="center"/>
          </w:tcPr>
          <w:p w14:paraId="5500D0C7">
            <w:pPr>
              <w:rPr>
                <w:highlight w:val="none"/>
              </w:rPr>
            </w:pPr>
            <w:r>
              <w:rPr>
                <w:rFonts w:hint="eastAsia"/>
                <w:highlight w:val="none"/>
              </w:rPr>
              <w:t>大写：</w:t>
            </w:r>
          </w:p>
        </w:tc>
      </w:tr>
      <w:tr w14:paraId="3C87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83" w:type="dxa"/>
            <w:vAlign w:val="center"/>
          </w:tcPr>
          <w:p w14:paraId="54E84112">
            <w:pPr>
              <w:jc w:val="center"/>
              <w:rPr>
                <w:highlight w:val="none"/>
              </w:rPr>
            </w:pPr>
            <w:r>
              <w:rPr>
                <w:rFonts w:hint="eastAsia"/>
                <w:highlight w:val="none"/>
              </w:rPr>
              <w:t>质量要求</w:t>
            </w:r>
          </w:p>
        </w:tc>
        <w:tc>
          <w:tcPr>
            <w:tcW w:w="6377" w:type="dxa"/>
            <w:vAlign w:val="center"/>
          </w:tcPr>
          <w:p w14:paraId="1C7CFAE6">
            <w:pPr>
              <w:rPr>
                <w:highlight w:val="none"/>
              </w:rPr>
            </w:pPr>
          </w:p>
        </w:tc>
      </w:tr>
      <w:tr w14:paraId="4DA4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283" w:type="dxa"/>
            <w:vAlign w:val="center"/>
          </w:tcPr>
          <w:p w14:paraId="711F7C32">
            <w:pPr>
              <w:jc w:val="center"/>
              <w:rPr>
                <w:highlight w:val="none"/>
              </w:rPr>
            </w:pPr>
            <w:r>
              <w:rPr>
                <w:rFonts w:hint="eastAsia"/>
                <w:highlight w:val="none"/>
              </w:rPr>
              <w:t>工期（日历天）</w:t>
            </w:r>
          </w:p>
        </w:tc>
        <w:tc>
          <w:tcPr>
            <w:tcW w:w="6377" w:type="dxa"/>
            <w:vAlign w:val="center"/>
          </w:tcPr>
          <w:p w14:paraId="1154E557">
            <w:pPr>
              <w:rPr>
                <w:highlight w:val="none"/>
              </w:rPr>
            </w:pPr>
          </w:p>
        </w:tc>
      </w:tr>
      <w:tr w14:paraId="7C65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283" w:type="dxa"/>
            <w:vAlign w:val="center"/>
          </w:tcPr>
          <w:p w14:paraId="195B01F8">
            <w:pPr>
              <w:jc w:val="center"/>
              <w:rPr>
                <w:rFonts w:hint="default" w:eastAsia="宋体"/>
                <w:highlight w:val="none"/>
                <w:lang w:val="en-US" w:eastAsia="zh-CN"/>
              </w:rPr>
            </w:pPr>
            <w:r>
              <w:rPr>
                <w:rFonts w:hint="eastAsia"/>
                <w:highlight w:val="none"/>
                <w:lang w:val="en-US" w:eastAsia="zh-CN"/>
              </w:rPr>
              <w:t>项目经理</w:t>
            </w:r>
          </w:p>
        </w:tc>
        <w:tc>
          <w:tcPr>
            <w:tcW w:w="6377" w:type="dxa"/>
            <w:vAlign w:val="center"/>
          </w:tcPr>
          <w:p w14:paraId="750DCB6F">
            <w:pPr>
              <w:rPr>
                <w:highlight w:val="none"/>
              </w:rPr>
            </w:pPr>
          </w:p>
        </w:tc>
      </w:tr>
    </w:tbl>
    <w:p w14:paraId="299652A9">
      <w:pPr>
        <w:spacing w:line="360" w:lineRule="auto"/>
        <w:ind w:firstLine="330" w:firstLineChars="150"/>
        <w:rPr>
          <w:highlight w:val="none"/>
        </w:rPr>
      </w:pPr>
      <w:r>
        <w:rPr>
          <w:rFonts w:hint="eastAsia"/>
          <w:highlight w:val="none"/>
        </w:rPr>
        <w:t>注：1、以上表内报价内容以元为单位，保留小数点后两位。</w:t>
      </w:r>
    </w:p>
    <w:p w14:paraId="3859749A">
      <w:pPr>
        <w:pStyle w:val="16"/>
        <w:jc w:val="both"/>
        <w:rPr>
          <w:highlight w:val="none"/>
        </w:rPr>
      </w:pPr>
    </w:p>
    <w:p w14:paraId="78F03DCA">
      <w:pPr>
        <w:pStyle w:val="36"/>
        <w:spacing w:before="0" w:beforeAutospacing="0" w:after="0" w:afterAutospacing="0" w:line="480" w:lineRule="auto"/>
        <w:ind w:firstLine="3600" w:firstLineChars="1500"/>
        <w:rPr>
          <w:sz w:val="24"/>
          <w:szCs w:val="24"/>
          <w:highlight w:val="none"/>
        </w:rPr>
      </w:pPr>
      <w:r>
        <w:rPr>
          <w:rFonts w:hint="eastAsia"/>
          <w:sz w:val="24"/>
          <w:szCs w:val="24"/>
          <w:highlight w:val="none"/>
        </w:rPr>
        <w:t>投标人名称：</w:t>
      </w:r>
      <w:r>
        <w:rPr>
          <w:rFonts w:hint="eastAsia"/>
          <w:sz w:val="24"/>
          <w:szCs w:val="24"/>
          <w:highlight w:val="none"/>
          <w:u w:val="single"/>
        </w:rPr>
        <w:t xml:space="preserve">                    （</w:t>
      </w:r>
      <w:r>
        <w:rPr>
          <w:rFonts w:hint="eastAsia"/>
          <w:sz w:val="24"/>
          <w:szCs w:val="24"/>
          <w:highlight w:val="none"/>
        </w:rPr>
        <w:t>盖章）</w:t>
      </w:r>
    </w:p>
    <w:p w14:paraId="7B46529C">
      <w:pPr>
        <w:pStyle w:val="36"/>
        <w:spacing w:before="0" w:beforeAutospacing="0" w:after="0" w:afterAutospacing="0" w:line="480" w:lineRule="auto"/>
        <w:ind w:firstLine="3600" w:firstLineChars="1500"/>
        <w:rPr>
          <w:sz w:val="24"/>
          <w:szCs w:val="24"/>
          <w:highlight w:val="none"/>
        </w:rPr>
      </w:pPr>
      <w:r>
        <w:rPr>
          <w:rFonts w:hint="eastAsia"/>
          <w:sz w:val="24"/>
          <w:szCs w:val="24"/>
          <w:highlight w:val="none"/>
        </w:rPr>
        <w:t>法定代表人或委托代理人：</w:t>
      </w:r>
      <w:r>
        <w:rPr>
          <w:rFonts w:hint="eastAsia"/>
          <w:sz w:val="24"/>
          <w:szCs w:val="24"/>
          <w:highlight w:val="none"/>
          <w:u w:val="single"/>
        </w:rPr>
        <w:t xml:space="preserve">         </w:t>
      </w:r>
      <w:r>
        <w:rPr>
          <w:rFonts w:hint="eastAsia"/>
          <w:sz w:val="24"/>
          <w:szCs w:val="24"/>
          <w:highlight w:val="none"/>
        </w:rPr>
        <w:t>（签字或盖章）</w:t>
      </w:r>
    </w:p>
    <w:p w14:paraId="4440FE64">
      <w:pPr>
        <w:jc w:val="center"/>
        <w:rPr>
          <w:sz w:val="24"/>
          <w:szCs w:val="24"/>
          <w:highlight w:val="none"/>
        </w:rPr>
      </w:pPr>
      <w:r>
        <w:rPr>
          <w:rFonts w:hint="eastAsia"/>
          <w:sz w:val="24"/>
          <w:szCs w:val="24"/>
          <w:highlight w:val="none"/>
          <w:lang w:val="en-US"/>
        </w:rPr>
        <w:t xml:space="preserve">         </w:t>
      </w:r>
      <w:r>
        <w:rPr>
          <w:rFonts w:hint="eastAsia"/>
          <w:sz w:val="24"/>
          <w:szCs w:val="24"/>
          <w:highlight w:val="none"/>
        </w:rPr>
        <w:t>日期：      年  　月  　日</w:t>
      </w:r>
    </w:p>
    <w:p w14:paraId="0336BDD7">
      <w:pPr>
        <w:rPr>
          <w:highlight w:val="none"/>
        </w:rPr>
      </w:pPr>
      <w:r>
        <w:rPr>
          <w:rFonts w:hint="eastAsia"/>
          <w:highlight w:val="none"/>
        </w:rPr>
        <w:br w:type="page"/>
      </w:r>
    </w:p>
    <w:p w14:paraId="649BB33F">
      <w:pPr>
        <w:rPr>
          <w:highlight w:val="none"/>
        </w:rPr>
        <w:sectPr>
          <w:pgSz w:w="11910" w:h="16840"/>
          <w:pgMar w:top="1580" w:right="920" w:bottom="1420" w:left="920" w:header="0" w:footer="1229" w:gutter="0"/>
          <w:cols w:space="720" w:num="1"/>
        </w:sectPr>
      </w:pPr>
    </w:p>
    <w:p w14:paraId="187EDE26">
      <w:pPr>
        <w:pStyle w:val="5"/>
        <w:spacing w:before="44"/>
        <w:ind w:left="836" w:right="836"/>
        <w:jc w:val="center"/>
        <w:rPr>
          <w:rFonts w:ascii="宋体" w:eastAsia="宋体"/>
          <w:highlight w:val="none"/>
          <w:u w:val="none"/>
        </w:rPr>
      </w:pPr>
      <w:bookmarkStart w:id="282" w:name="四、已标价的工程量清单"/>
      <w:bookmarkEnd w:id="282"/>
      <w:r>
        <w:rPr>
          <w:rFonts w:hint="eastAsia" w:ascii="宋体" w:eastAsia="宋体"/>
          <w:highlight w:val="none"/>
          <w:u w:val="none"/>
          <w:lang w:val="en-US" w:eastAsia="zh-CN"/>
        </w:rPr>
        <w:t>二</w:t>
      </w:r>
      <w:r>
        <w:rPr>
          <w:rFonts w:hint="eastAsia" w:ascii="宋体" w:eastAsia="宋体"/>
          <w:highlight w:val="none"/>
          <w:u w:val="none"/>
        </w:rPr>
        <w:t>、已标价的工程量清单</w:t>
      </w:r>
    </w:p>
    <w:p w14:paraId="0C65DEF3">
      <w:pPr>
        <w:jc w:val="both"/>
        <w:rPr>
          <w:rFonts w:hint="eastAsia"/>
          <w:b/>
          <w:bCs/>
          <w:highlight w:val="none"/>
          <w:lang w:val="en-US" w:eastAsia="zh-CN"/>
        </w:rPr>
      </w:pPr>
    </w:p>
    <w:p w14:paraId="3E909B47">
      <w:pPr>
        <w:jc w:val="both"/>
        <w:rPr>
          <w:rFonts w:hint="eastAsia"/>
          <w:b/>
          <w:bCs/>
          <w:highlight w:val="none"/>
          <w:lang w:val="en-US" w:eastAsia="zh-CN"/>
        </w:rPr>
      </w:pPr>
      <w:r>
        <w:rPr>
          <w:rFonts w:hint="eastAsia"/>
          <w:b/>
          <w:bCs/>
          <w:highlight w:val="none"/>
          <w:lang w:val="en-US" w:eastAsia="zh-CN"/>
        </w:rPr>
        <w:t>第1包：秦渡街道西南郊水厂二期一阶段项目清表及垃圾清运工程第1包</w:t>
      </w:r>
    </w:p>
    <w:tbl>
      <w:tblPr>
        <w:tblStyle w:val="41"/>
        <w:tblW w:w="8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1906"/>
        <w:gridCol w:w="1906"/>
        <w:gridCol w:w="1906"/>
      </w:tblGrid>
      <w:tr w14:paraId="2F30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CD7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9A5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村落</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51B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清表工程量(m³)</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AD97">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单价（元）</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F9A2">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总价（元）</w:t>
            </w:r>
          </w:p>
        </w:tc>
      </w:tr>
      <w:tr w14:paraId="6C2A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23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2E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辛家庄村</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AF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4284.2</w:t>
            </w:r>
          </w:p>
        </w:tc>
        <w:tc>
          <w:tcPr>
            <w:tcW w:w="1906" w:type="dxa"/>
            <w:vMerge w:val="restart"/>
            <w:tcBorders>
              <w:top w:val="single" w:color="000000" w:sz="4" w:space="0"/>
              <w:left w:val="single" w:color="000000" w:sz="4" w:space="0"/>
              <w:right w:val="single" w:color="000000" w:sz="4" w:space="0"/>
            </w:tcBorders>
            <w:shd w:val="clear" w:color="auto" w:fill="auto"/>
            <w:noWrap/>
            <w:vAlign w:val="center"/>
          </w:tcPr>
          <w:p w14:paraId="5F6361A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06" w:type="dxa"/>
            <w:vMerge w:val="restart"/>
            <w:tcBorders>
              <w:top w:val="single" w:color="000000" w:sz="4" w:space="0"/>
              <w:left w:val="single" w:color="000000" w:sz="4" w:space="0"/>
              <w:right w:val="single" w:color="000000" w:sz="4" w:space="0"/>
            </w:tcBorders>
            <w:shd w:val="clear" w:color="auto" w:fill="auto"/>
            <w:noWrap/>
            <w:vAlign w:val="center"/>
          </w:tcPr>
          <w:p w14:paraId="4C05FD2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D596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73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3D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第五桥村</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61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8095.69</w:t>
            </w:r>
          </w:p>
        </w:tc>
        <w:tc>
          <w:tcPr>
            <w:tcW w:w="1906" w:type="dxa"/>
            <w:vMerge w:val="continue"/>
            <w:tcBorders>
              <w:left w:val="single" w:color="000000" w:sz="4" w:space="0"/>
              <w:right w:val="single" w:color="000000" w:sz="4" w:space="0"/>
            </w:tcBorders>
            <w:shd w:val="clear" w:color="auto" w:fill="auto"/>
            <w:noWrap/>
            <w:vAlign w:val="center"/>
          </w:tcPr>
          <w:p w14:paraId="3FB201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06" w:type="dxa"/>
            <w:vMerge w:val="continue"/>
            <w:tcBorders>
              <w:left w:val="single" w:color="000000" w:sz="4" w:space="0"/>
              <w:right w:val="single" w:color="000000" w:sz="4" w:space="0"/>
            </w:tcBorders>
            <w:shd w:val="clear" w:color="auto" w:fill="auto"/>
            <w:noWrap/>
            <w:vAlign w:val="center"/>
          </w:tcPr>
          <w:p w14:paraId="42556F9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B27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9B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FC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西西村</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42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696.97</w:t>
            </w:r>
          </w:p>
        </w:tc>
        <w:tc>
          <w:tcPr>
            <w:tcW w:w="1906" w:type="dxa"/>
            <w:vMerge w:val="continue"/>
            <w:tcBorders>
              <w:left w:val="single" w:color="000000" w:sz="4" w:space="0"/>
              <w:right w:val="single" w:color="000000" w:sz="4" w:space="0"/>
            </w:tcBorders>
            <w:shd w:val="clear" w:color="auto" w:fill="auto"/>
            <w:noWrap/>
            <w:vAlign w:val="center"/>
          </w:tcPr>
          <w:p w14:paraId="66FA040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06" w:type="dxa"/>
            <w:vMerge w:val="continue"/>
            <w:tcBorders>
              <w:left w:val="single" w:color="000000" w:sz="4" w:space="0"/>
              <w:right w:val="single" w:color="000000" w:sz="4" w:space="0"/>
            </w:tcBorders>
            <w:shd w:val="clear" w:color="auto" w:fill="auto"/>
            <w:noWrap/>
            <w:vAlign w:val="center"/>
          </w:tcPr>
          <w:p w14:paraId="05A25B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FE1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69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BE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骞王村</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52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3964.22</w:t>
            </w:r>
          </w:p>
        </w:tc>
        <w:tc>
          <w:tcPr>
            <w:tcW w:w="1906" w:type="dxa"/>
            <w:vMerge w:val="continue"/>
            <w:tcBorders>
              <w:left w:val="single" w:color="000000" w:sz="4" w:space="0"/>
              <w:right w:val="single" w:color="000000" w:sz="4" w:space="0"/>
            </w:tcBorders>
            <w:shd w:val="clear" w:color="auto" w:fill="auto"/>
            <w:noWrap/>
            <w:vAlign w:val="center"/>
          </w:tcPr>
          <w:p w14:paraId="16C3FCD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06" w:type="dxa"/>
            <w:vMerge w:val="continue"/>
            <w:tcBorders>
              <w:left w:val="single" w:color="000000" w:sz="4" w:space="0"/>
              <w:right w:val="single" w:color="000000" w:sz="4" w:space="0"/>
            </w:tcBorders>
            <w:shd w:val="clear" w:color="auto" w:fill="auto"/>
            <w:noWrap/>
            <w:vAlign w:val="center"/>
          </w:tcPr>
          <w:p w14:paraId="2B9BC7D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1CF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20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1D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北沙河寨村</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7B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9055.18</w:t>
            </w:r>
          </w:p>
        </w:tc>
        <w:tc>
          <w:tcPr>
            <w:tcW w:w="1906" w:type="dxa"/>
            <w:vMerge w:val="continue"/>
            <w:tcBorders>
              <w:left w:val="single" w:color="000000" w:sz="4" w:space="0"/>
              <w:right w:val="single" w:color="000000" w:sz="4" w:space="0"/>
            </w:tcBorders>
            <w:shd w:val="clear" w:color="auto" w:fill="auto"/>
            <w:noWrap/>
            <w:vAlign w:val="center"/>
          </w:tcPr>
          <w:p w14:paraId="699E25A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06" w:type="dxa"/>
            <w:vMerge w:val="continue"/>
            <w:tcBorders>
              <w:left w:val="single" w:color="000000" w:sz="4" w:space="0"/>
              <w:right w:val="single" w:color="000000" w:sz="4" w:space="0"/>
            </w:tcBorders>
            <w:shd w:val="clear" w:color="auto" w:fill="auto"/>
            <w:noWrap/>
            <w:vAlign w:val="center"/>
          </w:tcPr>
          <w:p w14:paraId="168A97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68E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89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4D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乔庄村</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13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1900.52</w:t>
            </w:r>
          </w:p>
        </w:tc>
        <w:tc>
          <w:tcPr>
            <w:tcW w:w="1906" w:type="dxa"/>
            <w:vMerge w:val="continue"/>
            <w:tcBorders>
              <w:left w:val="single" w:color="000000" w:sz="4" w:space="0"/>
              <w:right w:val="single" w:color="000000" w:sz="4" w:space="0"/>
            </w:tcBorders>
            <w:shd w:val="clear" w:color="auto" w:fill="auto"/>
            <w:noWrap/>
            <w:vAlign w:val="center"/>
          </w:tcPr>
          <w:p w14:paraId="4016F3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06" w:type="dxa"/>
            <w:vMerge w:val="continue"/>
            <w:tcBorders>
              <w:left w:val="single" w:color="000000" w:sz="4" w:space="0"/>
              <w:right w:val="single" w:color="000000" w:sz="4" w:space="0"/>
            </w:tcBorders>
            <w:shd w:val="clear" w:color="auto" w:fill="auto"/>
            <w:noWrap/>
            <w:vAlign w:val="center"/>
          </w:tcPr>
          <w:p w14:paraId="79152D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CAB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F8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E1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南沙河寨村</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A5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1928.03</w:t>
            </w:r>
          </w:p>
        </w:tc>
        <w:tc>
          <w:tcPr>
            <w:tcW w:w="1906" w:type="dxa"/>
            <w:vMerge w:val="continue"/>
            <w:tcBorders>
              <w:left w:val="single" w:color="000000" w:sz="4" w:space="0"/>
              <w:bottom w:val="single" w:color="000000" w:sz="4" w:space="0"/>
              <w:right w:val="single" w:color="000000" w:sz="4" w:space="0"/>
            </w:tcBorders>
            <w:shd w:val="clear" w:color="auto" w:fill="auto"/>
            <w:noWrap/>
            <w:vAlign w:val="center"/>
          </w:tcPr>
          <w:p w14:paraId="59B1846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06" w:type="dxa"/>
            <w:vMerge w:val="continue"/>
            <w:tcBorders>
              <w:left w:val="single" w:color="000000" w:sz="4" w:space="0"/>
              <w:bottom w:val="single" w:color="000000" w:sz="4" w:space="0"/>
              <w:right w:val="single" w:color="000000" w:sz="4" w:space="0"/>
            </w:tcBorders>
            <w:shd w:val="clear" w:color="auto" w:fill="auto"/>
            <w:noWrap/>
            <w:vAlign w:val="center"/>
          </w:tcPr>
          <w:p w14:paraId="0B4A843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14D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70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11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4E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29924.8</w:t>
            </w:r>
          </w:p>
        </w:tc>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29C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7B5D0549">
      <w:pPr>
        <w:spacing w:line="364" w:lineRule="auto"/>
        <w:rPr>
          <w:highlight w:val="none"/>
        </w:rPr>
      </w:pPr>
    </w:p>
    <w:p w14:paraId="71CDD610">
      <w:pPr>
        <w:spacing w:line="364" w:lineRule="auto"/>
        <w:rPr>
          <w:highlight w:val="none"/>
        </w:rPr>
      </w:pPr>
      <w:r>
        <w:rPr>
          <w:rFonts w:hint="eastAsia"/>
          <w:b/>
          <w:bCs/>
          <w:highlight w:val="none"/>
          <w:lang w:val="en-US" w:eastAsia="zh-CN"/>
        </w:rPr>
        <w:t>第2包：</w:t>
      </w:r>
      <w:r>
        <w:rPr>
          <w:rFonts w:hint="eastAsia"/>
          <w:b/>
          <w:bCs/>
          <w:sz w:val="21"/>
          <w:szCs w:val="21"/>
          <w:highlight w:val="none"/>
          <w:shd w:val="clear" w:color="auto" w:fill="FFFFFF"/>
          <w:lang w:val="en-US" w:eastAsia="zh-CN" w:bidi="ar"/>
        </w:rPr>
        <w:t>秦渡街道西南郊水厂二期一阶段项目清表及垃圾清运工程第2包</w:t>
      </w:r>
    </w:p>
    <w:tbl>
      <w:tblPr>
        <w:tblStyle w:val="41"/>
        <w:tblW w:w="8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1906"/>
        <w:gridCol w:w="1906"/>
        <w:gridCol w:w="1906"/>
      </w:tblGrid>
      <w:tr w14:paraId="0A42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C34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DE7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村落</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C31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清表工程量(m³)</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1FD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单价（元）</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254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总价（元）</w:t>
            </w:r>
          </w:p>
        </w:tc>
      </w:tr>
      <w:tr w14:paraId="14E4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B6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74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正庄村</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81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8238.27</w:t>
            </w:r>
          </w:p>
        </w:tc>
        <w:tc>
          <w:tcPr>
            <w:tcW w:w="1906" w:type="dxa"/>
            <w:vMerge w:val="restart"/>
            <w:tcBorders>
              <w:top w:val="single" w:color="000000" w:sz="4" w:space="0"/>
              <w:left w:val="single" w:color="000000" w:sz="4" w:space="0"/>
              <w:right w:val="single" w:color="000000" w:sz="4" w:space="0"/>
            </w:tcBorders>
            <w:shd w:val="clear" w:color="auto" w:fill="auto"/>
            <w:noWrap/>
            <w:vAlign w:val="center"/>
          </w:tcPr>
          <w:p w14:paraId="53825F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06" w:type="dxa"/>
            <w:vMerge w:val="restart"/>
            <w:tcBorders>
              <w:top w:val="single" w:color="000000" w:sz="4" w:space="0"/>
              <w:left w:val="single" w:color="000000" w:sz="4" w:space="0"/>
              <w:right w:val="single" w:color="000000" w:sz="4" w:space="0"/>
            </w:tcBorders>
            <w:shd w:val="clear" w:color="auto" w:fill="auto"/>
            <w:noWrap/>
            <w:vAlign w:val="center"/>
          </w:tcPr>
          <w:p w14:paraId="0577B4A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3092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F1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68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东谷子磑村</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60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3132.2</w:t>
            </w:r>
          </w:p>
        </w:tc>
        <w:tc>
          <w:tcPr>
            <w:tcW w:w="1906" w:type="dxa"/>
            <w:vMerge w:val="continue"/>
            <w:tcBorders>
              <w:left w:val="single" w:color="000000" w:sz="4" w:space="0"/>
              <w:right w:val="single" w:color="000000" w:sz="4" w:space="0"/>
            </w:tcBorders>
            <w:shd w:val="clear" w:color="auto" w:fill="auto"/>
            <w:noWrap/>
            <w:vAlign w:val="center"/>
          </w:tcPr>
          <w:p w14:paraId="7309A90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06" w:type="dxa"/>
            <w:vMerge w:val="continue"/>
            <w:tcBorders>
              <w:left w:val="single" w:color="000000" w:sz="4" w:space="0"/>
              <w:right w:val="single" w:color="000000" w:sz="4" w:space="0"/>
            </w:tcBorders>
            <w:shd w:val="clear" w:color="auto" w:fill="auto"/>
            <w:noWrap/>
            <w:vAlign w:val="center"/>
          </w:tcPr>
          <w:p w14:paraId="58FB21B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BC5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88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1A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南谷子磑村</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90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933.47</w:t>
            </w:r>
          </w:p>
        </w:tc>
        <w:tc>
          <w:tcPr>
            <w:tcW w:w="1906" w:type="dxa"/>
            <w:vMerge w:val="continue"/>
            <w:tcBorders>
              <w:left w:val="single" w:color="000000" w:sz="4" w:space="0"/>
              <w:right w:val="single" w:color="000000" w:sz="4" w:space="0"/>
            </w:tcBorders>
            <w:shd w:val="clear" w:color="auto" w:fill="auto"/>
            <w:noWrap/>
            <w:vAlign w:val="center"/>
          </w:tcPr>
          <w:p w14:paraId="11AB81D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06" w:type="dxa"/>
            <w:vMerge w:val="continue"/>
            <w:tcBorders>
              <w:left w:val="single" w:color="000000" w:sz="4" w:space="0"/>
              <w:right w:val="single" w:color="000000" w:sz="4" w:space="0"/>
            </w:tcBorders>
            <w:shd w:val="clear" w:color="auto" w:fill="auto"/>
            <w:noWrap/>
            <w:vAlign w:val="center"/>
          </w:tcPr>
          <w:p w14:paraId="63C224F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ADC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A9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AF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北谷子磑村</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33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7483.11</w:t>
            </w:r>
          </w:p>
        </w:tc>
        <w:tc>
          <w:tcPr>
            <w:tcW w:w="1906" w:type="dxa"/>
            <w:vMerge w:val="continue"/>
            <w:tcBorders>
              <w:left w:val="single" w:color="000000" w:sz="4" w:space="0"/>
              <w:right w:val="single" w:color="000000" w:sz="4" w:space="0"/>
            </w:tcBorders>
            <w:shd w:val="clear" w:color="auto" w:fill="auto"/>
            <w:noWrap/>
            <w:vAlign w:val="center"/>
          </w:tcPr>
          <w:p w14:paraId="4D102F4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06" w:type="dxa"/>
            <w:vMerge w:val="continue"/>
            <w:tcBorders>
              <w:left w:val="single" w:color="000000" w:sz="4" w:space="0"/>
              <w:right w:val="single" w:color="000000" w:sz="4" w:space="0"/>
            </w:tcBorders>
            <w:shd w:val="clear" w:color="auto" w:fill="auto"/>
            <w:noWrap/>
            <w:vAlign w:val="center"/>
          </w:tcPr>
          <w:p w14:paraId="015DE96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6BC6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24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40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辛家庄村</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C3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1895.43</w:t>
            </w:r>
          </w:p>
        </w:tc>
        <w:tc>
          <w:tcPr>
            <w:tcW w:w="1906" w:type="dxa"/>
            <w:vMerge w:val="continue"/>
            <w:tcBorders>
              <w:left w:val="single" w:color="000000" w:sz="4" w:space="0"/>
              <w:bottom w:val="single" w:color="000000" w:sz="4" w:space="0"/>
              <w:right w:val="single" w:color="000000" w:sz="4" w:space="0"/>
            </w:tcBorders>
            <w:shd w:val="clear" w:color="auto" w:fill="auto"/>
            <w:noWrap/>
            <w:vAlign w:val="center"/>
          </w:tcPr>
          <w:p w14:paraId="2BBE981F">
            <w:pPr>
              <w:jc w:val="center"/>
              <w:rPr>
                <w:rFonts w:hint="eastAsia" w:ascii="宋体" w:hAnsi="宋体" w:eastAsia="宋体" w:cs="宋体"/>
                <w:i w:val="0"/>
                <w:iCs w:val="0"/>
                <w:color w:val="000000"/>
                <w:sz w:val="24"/>
                <w:szCs w:val="24"/>
                <w:highlight w:val="none"/>
                <w:u w:val="none"/>
              </w:rPr>
            </w:pPr>
          </w:p>
        </w:tc>
        <w:tc>
          <w:tcPr>
            <w:tcW w:w="1906" w:type="dxa"/>
            <w:vMerge w:val="continue"/>
            <w:tcBorders>
              <w:left w:val="single" w:color="000000" w:sz="4" w:space="0"/>
              <w:bottom w:val="single" w:color="000000" w:sz="4" w:space="0"/>
              <w:right w:val="single" w:color="000000" w:sz="4" w:space="0"/>
            </w:tcBorders>
            <w:shd w:val="clear" w:color="auto" w:fill="auto"/>
            <w:noWrap/>
            <w:vAlign w:val="center"/>
          </w:tcPr>
          <w:p w14:paraId="654B448C">
            <w:pPr>
              <w:jc w:val="center"/>
              <w:rPr>
                <w:rFonts w:hint="eastAsia" w:ascii="宋体" w:hAnsi="宋体" w:eastAsia="宋体" w:cs="宋体"/>
                <w:i w:val="0"/>
                <w:iCs w:val="0"/>
                <w:color w:val="000000"/>
                <w:sz w:val="24"/>
                <w:szCs w:val="24"/>
                <w:highlight w:val="none"/>
                <w:u w:val="none"/>
              </w:rPr>
            </w:pPr>
          </w:p>
        </w:tc>
      </w:tr>
      <w:tr w14:paraId="627AF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28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13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3BB1">
            <w:pPr>
              <w:jc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21682.</w:t>
            </w:r>
            <w:r>
              <w:rPr>
                <w:rFonts w:hint="eastAsia" w:cs="宋体"/>
                <w:i w:val="0"/>
                <w:iCs w:val="0"/>
                <w:color w:val="000000"/>
                <w:kern w:val="0"/>
                <w:sz w:val="24"/>
                <w:szCs w:val="24"/>
                <w:highlight w:val="none"/>
                <w:u w:val="none"/>
                <w:lang w:val="en-US" w:eastAsia="zh-CN" w:bidi="ar"/>
              </w:rPr>
              <w:t>48</w:t>
            </w:r>
          </w:p>
        </w:tc>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7CDC">
            <w:pPr>
              <w:jc w:val="center"/>
              <w:rPr>
                <w:rFonts w:hint="eastAsia" w:ascii="宋体" w:hAnsi="宋体" w:eastAsia="宋体" w:cs="宋体"/>
                <w:i w:val="0"/>
                <w:iCs w:val="0"/>
                <w:color w:val="000000"/>
                <w:sz w:val="24"/>
                <w:szCs w:val="24"/>
                <w:highlight w:val="none"/>
                <w:u w:val="none"/>
              </w:rPr>
            </w:pPr>
          </w:p>
        </w:tc>
      </w:tr>
    </w:tbl>
    <w:p w14:paraId="729B6990">
      <w:pPr>
        <w:spacing w:line="364" w:lineRule="auto"/>
        <w:rPr>
          <w:highlight w:val="none"/>
        </w:rPr>
        <w:sectPr>
          <w:pgSz w:w="11910" w:h="16840"/>
          <w:pgMar w:top="1420" w:right="920" w:bottom="1420" w:left="920" w:header="0" w:footer="1229" w:gutter="0"/>
          <w:cols w:space="720" w:num="1"/>
        </w:sectPr>
      </w:pPr>
    </w:p>
    <w:p w14:paraId="15ABB1AC">
      <w:pPr>
        <w:pStyle w:val="5"/>
        <w:spacing w:before="44"/>
        <w:ind w:left="835" w:right="837"/>
        <w:jc w:val="center"/>
        <w:rPr>
          <w:rFonts w:ascii="宋体" w:eastAsia="宋体"/>
          <w:highlight w:val="none"/>
          <w:u w:val="none"/>
        </w:rPr>
      </w:pPr>
      <w:r>
        <w:rPr>
          <w:rFonts w:hint="eastAsia" w:ascii="宋体" w:eastAsia="宋体"/>
          <w:highlight w:val="none"/>
          <w:u w:val="none"/>
          <w:lang w:val="en-US" w:eastAsia="zh-CN"/>
        </w:rPr>
        <w:t>三</w:t>
      </w:r>
      <w:r>
        <w:rPr>
          <w:rFonts w:hint="eastAsia" w:ascii="宋体" w:eastAsia="宋体"/>
          <w:highlight w:val="none"/>
          <w:u w:val="none"/>
        </w:rPr>
        <w:t>、其它证明材料</w:t>
      </w:r>
    </w:p>
    <w:p w14:paraId="6FDC1BD0">
      <w:pPr>
        <w:pStyle w:val="16"/>
        <w:spacing w:before="11"/>
        <w:rPr>
          <w:b/>
          <w:sz w:val="29"/>
          <w:highlight w:val="none"/>
        </w:rPr>
      </w:pPr>
    </w:p>
    <w:p w14:paraId="2C832C1F">
      <w:pPr>
        <w:pStyle w:val="70"/>
        <w:numPr>
          <w:ilvl w:val="0"/>
          <w:numId w:val="48"/>
        </w:numPr>
        <w:tabs>
          <w:tab w:val="left" w:pos="1155"/>
        </w:tabs>
        <w:spacing w:before="1"/>
        <w:ind w:hanging="602"/>
        <w:rPr>
          <w:sz w:val="24"/>
          <w:highlight w:val="none"/>
        </w:rPr>
      </w:pPr>
      <w:r>
        <w:rPr>
          <w:sz w:val="24"/>
          <w:highlight w:val="none"/>
        </w:rPr>
        <w:t>投标人提供证明其企业实力的其他证明材料</w:t>
      </w:r>
    </w:p>
    <w:p w14:paraId="4EF5324C">
      <w:pPr>
        <w:pStyle w:val="70"/>
        <w:numPr>
          <w:ilvl w:val="0"/>
          <w:numId w:val="48"/>
        </w:numPr>
        <w:tabs>
          <w:tab w:val="left" w:pos="1155"/>
        </w:tabs>
        <w:spacing w:before="172"/>
        <w:ind w:hanging="602"/>
        <w:rPr>
          <w:sz w:val="24"/>
          <w:highlight w:val="none"/>
        </w:rPr>
      </w:pPr>
      <w:r>
        <w:rPr>
          <w:sz w:val="24"/>
          <w:highlight w:val="none"/>
        </w:rPr>
        <w:t>中小企业声明函、监狱企业、福利企业声明函（格式具体见附件）</w:t>
      </w:r>
    </w:p>
    <w:p w14:paraId="17551E16">
      <w:pPr>
        <w:rPr>
          <w:sz w:val="24"/>
          <w:highlight w:val="none"/>
        </w:rPr>
        <w:sectPr>
          <w:pgSz w:w="11910" w:h="16840"/>
          <w:pgMar w:top="1420" w:right="920" w:bottom="1420" w:left="920" w:header="0" w:footer="1229" w:gutter="0"/>
          <w:cols w:space="720" w:num="1"/>
        </w:sectPr>
      </w:pPr>
    </w:p>
    <w:p w14:paraId="58D0C7BA">
      <w:pPr>
        <w:pStyle w:val="3"/>
        <w:spacing w:before="31"/>
        <w:rPr>
          <w:highlight w:val="none"/>
        </w:rPr>
      </w:pPr>
      <w:r>
        <w:rPr>
          <w:spacing w:val="-29"/>
          <w:highlight w:val="none"/>
        </w:rPr>
        <w:t xml:space="preserve">附件 </w:t>
      </w:r>
      <w:r>
        <w:rPr>
          <w:highlight w:val="none"/>
        </w:rPr>
        <w:t>1：</w:t>
      </w:r>
    </w:p>
    <w:p w14:paraId="7D6F6BCF">
      <w:pPr>
        <w:pStyle w:val="16"/>
        <w:spacing w:before="12"/>
        <w:rPr>
          <w:b/>
          <w:sz w:val="48"/>
          <w:highlight w:val="none"/>
        </w:rPr>
      </w:pPr>
      <w:r>
        <w:rPr>
          <w:highlight w:val="none"/>
        </w:rPr>
        <w:br w:type="column"/>
      </w:r>
    </w:p>
    <w:p w14:paraId="1E6EC05D">
      <w:pPr>
        <w:ind w:left="553"/>
        <w:rPr>
          <w:b/>
          <w:sz w:val="36"/>
          <w:highlight w:val="none"/>
        </w:rPr>
      </w:pPr>
      <w:r>
        <w:rPr>
          <w:b/>
          <w:sz w:val="36"/>
          <w:highlight w:val="none"/>
        </w:rPr>
        <w:t>中小企业声明函</w:t>
      </w:r>
    </w:p>
    <w:p w14:paraId="2C558A82">
      <w:pPr>
        <w:rPr>
          <w:sz w:val="36"/>
          <w:highlight w:val="none"/>
        </w:rPr>
        <w:sectPr>
          <w:pgSz w:w="11910" w:h="16840"/>
          <w:pgMar w:top="1420" w:right="920" w:bottom="1420" w:left="920" w:header="0" w:footer="1229" w:gutter="0"/>
          <w:cols w:equalWidth="0" w:num="2">
            <w:col w:w="1796" w:space="1417"/>
            <w:col w:w="6857"/>
          </w:cols>
        </w:sectPr>
      </w:pPr>
    </w:p>
    <w:p w14:paraId="5427D99A">
      <w:pPr>
        <w:pStyle w:val="16"/>
        <w:rPr>
          <w:b/>
          <w:sz w:val="20"/>
          <w:highlight w:val="none"/>
        </w:rPr>
      </w:pPr>
    </w:p>
    <w:p w14:paraId="2F9D9EF0">
      <w:pPr>
        <w:pStyle w:val="16"/>
        <w:rPr>
          <w:b/>
          <w:sz w:val="20"/>
          <w:highlight w:val="none"/>
        </w:rPr>
      </w:pPr>
    </w:p>
    <w:p w14:paraId="72BEE35A">
      <w:pPr>
        <w:pStyle w:val="16"/>
        <w:spacing w:before="195" w:line="484" w:lineRule="auto"/>
        <w:ind w:left="553" w:right="551" w:firstLine="480"/>
        <w:jc w:val="both"/>
        <w:rPr>
          <w:highlight w:val="none"/>
        </w:rPr>
      </w:pPr>
      <w:r>
        <w:rPr>
          <w:highlight w:val="none"/>
        </w:rPr>
        <w:t>本公司（联合体）郑重声明，根据《政府采购促进中小企业发展管理办法》（财库﹝2020﹞46 号</w:t>
      </w:r>
      <w:r>
        <w:rPr>
          <w:spacing w:val="-5"/>
          <w:highlight w:val="none"/>
        </w:rPr>
        <w:t>）</w:t>
      </w:r>
      <w:r>
        <w:rPr>
          <w:spacing w:val="-3"/>
          <w:highlight w:val="none"/>
        </w:rPr>
        <w:t>的规定，本公司</w:t>
      </w:r>
      <w:r>
        <w:rPr>
          <w:highlight w:val="none"/>
        </w:rPr>
        <w:t>（联合体</w:t>
      </w:r>
      <w:r>
        <w:rPr>
          <w:spacing w:val="-5"/>
          <w:highlight w:val="none"/>
        </w:rPr>
        <w:t>）</w:t>
      </w:r>
      <w:r>
        <w:rPr>
          <w:spacing w:val="-3"/>
          <w:highlight w:val="none"/>
        </w:rPr>
        <w:t>参加</w:t>
      </w:r>
      <w:r>
        <w:rPr>
          <w:highlight w:val="none"/>
          <w:u w:val="single"/>
        </w:rPr>
        <w:t>（单位名称</w:t>
      </w:r>
      <w:r>
        <w:rPr>
          <w:spacing w:val="-5"/>
          <w:highlight w:val="none"/>
          <w:u w:val="single"/>
        </w:rPr>
        <w:t>）</w:t>
      </w:r>
      <w:r>
        <w:rPr>
          <w:spacing w:val="-5"/>
          <w:highlight w:val="none"/>
        </w:rPr>
        <w:t>的</w:t>
      </w:r>
      <w:r>
        <w:rPr>
          <w:highlight w:val="none"/>
          <w:u w:val="single"/>
        </w:rPr>
        <w:t>（项目名称</w:t>
      </w:r>
      <w:r>
        <w:rPr>
          <w:spacing w:val="-5"/>
          <w:highlight w:val="none"/>
          <w:u w:val="single"/>
        </w:rPr>
        <w:t>）</w:t>
      </w:r>
      <w:r>
        <w:rPr>
          <w:spacing w:val="-8"/>
          <w:highlight w:val="none"/>
        </w:rPr>
        <w:t>采购</w:t>
      </w:r>
      <w:r>
        <w:rPr>
          <w:highlight w:val="none"/>
        </w:rPr>
        <w:t>活动，工程的施工单位全部为符合政策要求的中小企业（或者：服务全部由符合政策要求的中小企业承接）。相关企业（含联合体中的中小企业、签订分包意向协议的中小企业）的具体情况如下：</w:t>
      </w:r>
    </w:p>
    <w:p w14:paraId="39242002">
      <w:pPr>
        <w:pStyle w:val="70"/>
        <w:numPr>
          <w:ilvl w:val="0"/>
          <w:numId w:val="49"/>
        </w:numPr>
        <w:tabs>
          <w:tab w:val="left" w:pos="795"/>
        </w:tabs>
        <w:spacing w:before="163"/>
        <w:ind w:hanging="242"/>
        <w:rPr>
          <w:sz w:val="24"/>
          <w:highlight w:val="none"/>
        </w:rPr>
      </w:pPr>
      <w:r>
        <w:rPr>
          <w:rFonts w:ascii="Times New Roman" w:eastAsia="Times New Roman"/>
          <w:sz w:val="24"/>
          <w:highlight w:val="none"/>
          <w:u w:val="single"/>
        </w:rPr>
        <w:t xml:space="preserve">  </w:t>
      </w:r>
      <w:r>
        <w:rPr>
          <w:sz w:val="24"/>
          <w:highlight w:val="none"/>
          <w:u w:val="single"/>
        </w:rPr>
        <w:t>（标的名称）</w:t>
      </w:r>
      <w:r>
        <w:rPr>
          <w:spacing w:val="-1"/>
          <w:sz w:val="24"/>
          <w:highlight w:val="none"/>
        </w:rPr>
        <w:t xml:space="preserve"> ，属于</w:t>
      </w:r>
      <w:r>
        <w:rPr>
          <w:sz w:val="24"/>
          <w:highlight w:val="none"/>
          <w:u w:val="single"/>
        </w:rPr>
        <w:t>（采购文件中明确的所属行业）</w:t>
      </w:r>
      <w:r>
        <w:rPr>
          <w:sz w:val="24"/>
          <w:highlight w:val="none"/>
        </w:rPr>
        <w:t>；承建（承接）企业为</w:t>
      </w:r>
      <w:r>
        <w:rPr>
          <w:sz w:val="24"/>
          <w:highlight w:val="none"/>
          <w:u w:val="single"/>
        </w:rPr>
        <w:t>（企</w:t>
      </w:r>
    </w:p>
    <w:p w14:paraId="0F2EEF65">
      <w:pPr>
        <w:pStyle w:val="16"/>
        <w:spacing w:before="12"/>
        <w:rPr>
          <w:sz w:val="18"/>
          <w:highlight w:val="none"/>
        </w:rPr>
      </w:pPr>
    </w:p>
    <w:p w14:paraId="60CCAB9E">
      <w:pPr>
        <w:pStyle w:val="16"/>
        <w:tabs>
          <w:tab w:val="left" w:pos="3193"/>
          <w:tab w:val="left" w:pos="5353"/>
          <w:tab w:val="left" w:pos="7753"/>
        </w:tabs>
        <w:spacing w:before="74"/>
        <w:ind w:left="553"/>
        <w:rPr>
          <w:rFonts w:hint="eastAsia"/>
          <w:highlight w:val="none"/>
          <w:u w:val="single"/>
          <w:lang w:val="en-US" w:eastAsia="zh-CN"/>
        </w:rPr>
      </w:pPr>
      <w:r>
        <w:rPr>
          <w:highlight w:val="none"/>
          <w:u w:val="single"/>
        </w:rPr>
        <w:t>业名称）</w:t>
      </w:r>
      <w:r>
        <w:rPr>
          <w:highlight w:val="none"/>
        </w:rPr>
        <w:t>，从业人员</w:t>
      </w:r>
      <w:r>
        <w:rPr>
          <w:highlight w:val="none"/>
          <w:u w:val="single"/>
        </w:rPr>
        <w:t xml:space="preserve"> </w:t>
      </w:r>
      <w:r>
        <w:rPr>
          <w:highlight w:val="none"/>
          <w:u w:val="single"/>
        </w:rPr>
        <w:tab/>
      </w:r>
      <w:r>
        <w:rPr>
          <w:highlight w:val="none"/>
        </w:rPr>
        <w:t>人，营业收入为</w:t>
      </w:r>
      <w:r>
        <w:rPr>
          <w:highlight w:val="none"/>
          <w:u w:val="single"/>
        </w:rPr>
        <w:t xml:space="preserve"> </w:t>
      </w:r>
      <w:r>
        <w:rPr>
          <w:highlight w:val="none"/>
          <w:u w:val="single"/>
        </w:rPr>
        <w:tab/>
      </w:r>
      <w:r>
        <w:rPr>
          <w:highlight w:val="none"/>
        </w:rPr>
        <w:t>万元，资产总额为</w:t>
      </w:r>
      <w:r>
        <w:rPr>
          <w:highlight w:val="none"/>
          <w:u w:val="single"/>
        </w:rPr>
        <w:t xml:space="preserve"> </w:t>
      </w:r>
      <w:r>
        <w:rPr>
          <w:highlight w:val="none"/>
          <w:u w:val="single"/>
        </w:rPr>
        <w:tab/>
      </w:r>
      <w:r>
        <w:rPr>
          <w:highlight w:val="none"/>
        </w:rPr>
        <w:t>万元，属于</w:t>
      </w:r>
      <w:r>
        <w:rPr>
          <w:rFonts w:hint="eastAsia"/>
          <w:highlight w:val="none"/>
          <w:u w:val="single"/>
          <w:lang w:val="en-US" w:eastAsia="zh-CN"/>
        </w:rPr>
        <w:t xml:space="preserve">    </w:t>
      </w:r>
    </w:p>
    <w:p w14:paraId="44DA89EA">
      <w:pPr>
        <w:pStyle w:val="16"/>
        <w:tabs>
          <w:tab w:val="left" w:pos="3193"/>
          <w:tab w:val="left" w:pos="5353"/>
          <w:tab w:val="left" w:pos="7753"/>
        </w:tabs>
        <w:spacing w:before="74"/>
        <w:ind w:left="553"/>
        <w:rPr>
          <w:highlight w:val="none"/>
          <w:u w:val="single"/>
        </w:rPr>
      </w:pPr>
    </w:p>
    <w:p w14:paraId="25245B52">
      <w:pPr>
        <w:pStyle w:val="16"/>
        <w:tabs>
          <w:tab w:val="left" w:pos="3193"/>
          <w:tab w:val="left" w:pos="5353"/>
          <w:tab w:val="left" w:pos="7753"/>
        </w:tabs>
        <w:spacing w:before="74"/>
        <w:ind w:left="553"/>
        <w:rPr>
          <w:highlight w:val="none"/>
        </w:rPr>
      </w:pPr>
      <w:r>
        <w:rPr>
          <w:highlight w:val="none"/>
          <w:u w:val="single"/>
        </w:rPr>
        <w:t>（中型企业、小型企业、微型企业）</w:t>
      </w:r>
      <w:r>
        <w:rPr>
          <w:highlight w:val="none"/>
        </w:rPr>
        <w:t>；</w:t>
      </w:r>
    </w:p>
    <w:p w14:paraId="0A3B0760">
      <w:pPr>
        <w:pStyle w:val="16"/>
        <w:spacing w:before="9"/>
        <w:rPr>
          <w:highlight w:val="none"/>
        </w:rPr>
      </w:pPr>
    </w:p>
    <w:p w14:paraId="1AE1F59C">
      <w:pPr>
        <w:pStyle w:val="70"/>
        <w:numPr>
          <w:ilvl w:val="0"/>
          <w:numId w:val="49"/>
        </w:numPr>
        <w:tabs>
          <w:tab w:val="left" w:pos="795"/>
        </w:tabs>
        <w:ind w:hanging="242"/>
        <w:rPr>
          <w:sz w:val="24"/>
          <w:highlight w:val="none"/>
        </w:rPr>
      </w:pPr>
      <w:r>
        <w:rPr>
          <w:rFonts w:ascii="Times New Roman" w:eastAsia="Times New Roman"/>
          <w:sz w:val="24"/>
          <w:highlight w:val="none"/>
          <w:u w:val="single"/>
        </w:rPr>
        <w:t xml:space="preserve">  </w:t>
      </w:r>
      <w:r>
        <w:rPr>
          <w:sz w:val="24"/>
          <w:highlight w:val="none"/>
          <w:u w:val="single"/>
        </w:rPr>
        <w:t>（标的名称）</w:t>
      </w:r>
      <w:r>
        <w:rPr>
          <w:spacing w:val="-1"/>
          <w:sz w:val="24"/>
          <w:highlight w:val="none"/>
        </w:rPr>
        <w:t xml:space="preserve"> ，属于</w:t>
      </w:r>
      <w:r>
        <w:rPr>
          <w:sz w:val="24"/>
          <w:highlight w:val="none"/>
          <w:u w:val="single"/>
        </w:rPr>
        <w:t>（采购文件中明确的所属行业）</w:t>
      </w:r>
      <w:r>
        <w:rPr>
          <w:sz w:val="24"/>
          <w:highlight w:val="none"/>
        </w:rPr>
        <w:t>；承建（承接）企业为</w:t>
      </w:r>
      <w:r>
        <w:rPr>
          <w:sz w:val="24"/>
          <w:highlight w:val="none"/>
          <w:u w:val="single"/>
        </w:rPr>
        <w:t>（企</w:t>
      </w:r>
    </w:p>
    <w:p w14:paraId="766DC6BE">
      <w:pPr>
        <w:pStyle w:val="16"/>
        <w:spacing w:before="12"/>
        <w:rPr>
          <w:sz w:val="18"/>
          <w:highlight w:val="none"/>
        </w:rPr>
      </w:pPr>
    </w:p>
    <w:p w14:paraId="202096AA">
      <w:pPr>
        <w:pStyle w:val="16"/>
        <w:tabs>
          <w:tab w:val="left" w:pos="3193"/>
          <w:tab w:val="left" w:pos="5353"/>
          <w:tab w:val="left" w:pos="7753"/>
        </w:tabs>
        <w:spacing w:before="74"/>
        <w:ind w:left="553"/>
        <w:rPr>
          <w:rFonts w:hint="eastAsia"/>
          <w:highlight w:val="none"/>
          <w:u w:val="single"/>
          <w:lang w:val="en-US" w:eastAsia="zh-CN"/>
        </w:rPr>
      </w:pPr>
      <w:r>
        <w:rPr>
          <w:highlight w:val="none"/>
          <w:u w:val="single"/>
        </w:rPr>
        <w:t>业名称）</w:t>
      </w:r>
      <w:r>
        <w:rPr>
          <w:highlight w:val="none"/>
        </w:rPr>
        <w:t>，从业人员</w:t>
      </w:r>
      <w:r>
        <w:rPr>
          <w:highlight w:val="none"/>
          <w:u w:val="single"/>
        </w:rPr>
        <w:t xml:space="preserve"> </w:t>
      </w:r>
      <w:r>
        <w:rPr>
          <w:highlight w:val="none"/>
          <w:u w:val="single"/>
        </w:rPr>
        <w:tab/>
      </w:r>
      <w:r>
        <w:rPr>
          <w:highlight w:val="none"/>
        </w:rPr>
        <w:t>人，营业收入为</w:t>
      </w:r>
      <w:r>
        <w:rPr>
          <w:highlight w:val="none"/>
          <w:u w:val="single"/>
        </w:rPr>
        <w:t xml:space="preserve"> </w:t>
      </w:r>
      <w:r>
        <w:rPr>
          <w:highlight w:val="none"/>
          <w:u w:val="single"/>
        </w:rPr>
        <w:tab/>
      </w:r>
      <w:r>
        <w:rPr>
          <w:highlight w:val="none"/>
        </w:rPr>
        <w:t>万元，资产总额为</w:t>
      </w:r>
      <w:r>
        <w:rPr>
          <w:highlight w:val="none"/>
          <w:u w:val="single"/>
        </w:rPr>
        <w:t xml:space="preserve"> </w:t>
      </w:r>
      <w:r>
        <w:rPr>
          <w:highlight w:val="none"/>
          <w:u w:val="single"/>
        </w:rPr>
        <w:tab/>
      </w:r>
      <w:r>
        <w:rPr>
          <w:highlight w:val="none"/>
        </w:rPr>
        <w:t>万元，属于</w:t>
      </w:r>
      <w:r>
        <w:rPr>
          <w:rFonts w:hint="eastAsia"/>
          <w:highlight w:val="none"/>
          <w:u w:val="single"/>
          <w:lang w:val="en-US" w:eastAsia="zh-CN"/>
        </w:rPr>
        <w:t xml:space="preserve">    </w:t>
      </w:r>
    </w:p>
    <w:p w14:paraId="1D0120E8">
      <w:pPr>
        <w:pStyle w:val="16"/>
        <w:tabs>
          <w:tab w:val="left" w:pos="3193"/>
          <w:tab w:val="left" w:pos="5353"/>
          <w:tab w:val="left" w:pos="7753"/>
        </w:tabs>
        <w:spacing w:before="74"/>
        <w:ind w:left="553"/>
        <w:rPr>
          <w:highlight w:val="none"/>
          <w:u w:val="single"/>
        </w:rPr>
      </w:pPr>
    </w:p>
    <w:p w14:paraId="0FA35F14">
      <w:pPr>
        <w:pStyle w:val="16"/>
        <w:tabs>
          <w:tab w:val="left" w:pos="3193"/>
          <w:tab w:val="left" w:pos="5353"/>
          <w:tab w:val="left" w:pos="7753"/>
        </w:tabs>
        <w:spacing w:before="74"/>
        <w:ind w:left="553"/>
        <w:rPr>
          <w:highlight w:val="none"/>
        </w:rPr>
      </w:pPr>
      <w:r>
        <w:rPr>
          <w:highlight w:val="none"/>
          <w:u w:val="single"/>
        </w:rPr>
        <w:t>（中型企业、小型企业、微型企业）</w:t>
      </w:r>
      <w:r>
        <w:rPr>
          <w:highlight w:val="none"/>
        </w:rPr>
        <w:t>；</w:t>
      </w:r>
    </w:p>
    <w:p w14:paraId="2C4C343E">
      <w:pPr>
        <w:pStyle w:val="16"/>
        <w:spacing w:before="8"/>
        <w:rPr>
          <w:highlight w:val="none"/>
        </w:rPr>
      </w:pPr>
    </w:p>
    <w:p w14:paraId="08FC2E0E">
      <w:pPr>
        <w:pStyle w:val="16"/>
        <w:spacing w:before="8"/>
        <w:rPr>
          <w:highlight w:val="none"/>
        </w:rPr>
      </w:pPr>
    </w:p>
    <w:p w14:paraId="3CAD47EA">
      <w:pPr>
        <w:pStyle w:val="16"/>
        <w:spacing w:before="1" w:line="487" w:lineRule="auto"/>
        <w:ind w:left="553" w:right="630"/>
        <w:rPr>
          <w:highlight w:val="none"/>
        </w:rPr>
      </w:pPr>
      <w:r>
        <w:rPr>
          <w:highlight w:val="none"/>
        </w:rPr>
        <w:t>以上企业，不属于大企业的分支机构，不存在控股股东为大企业的情形，也不存在与大企业的负责人为同一人的情形。</w:t>
      </w:r>
    </w:p>
    <w:p w14:paraId="11FD56A9">
      <w:pPr>
        <w:pStyle w:val="16"/>
        <w:spacing w:line="307" w:lineRule="exact"/>
        <w:ind w:left="553"/>
        <w:rPr>
          <w:highlight w:val="none"/>
        </w:rPr>
      </w:pPr>
      <w:r>
        <w:rPr>
          <w:highlight w:val="none"/>
        </w:rPr>
        <w:t>本企业对上述声明内容的真实性负责。如有虚假，将依法承担相应责任。</w:t>
      </w:r>
    </w:p>
    <w:p w14:paraId="292317A8">
      <w:pPr>
        <w:pStyle w:val="16"/>
        <w:rPr>
          <w:highlight w:val="none"/>
        </w:rPr>
      </w:pPr>
    </w:p>
    <w:p w14:paraId="682C0792">
      <w:pPr>
        <w:pStyle w:val="16"/>
        <w:rPr>
          <w:highlight w:val="none"/>
        </w:rPr>
      </w:pPr>
    </w:p>
    <w:p w14:paraId="00D6E16C">
      <w:pPr>
        <w:pStyle w:val="16"/>
        <w:spacing w:before="5"/>
        <w:rPr>
          <w:sz w:val="25"/>
          <w:highlight w:val="none"/>
        </w:rPr>
      </w:pPr>
    </w:p>
    <w:p w14:paraId="5B01B960">
      <w:pPr>
        <w:pStyle w:val="16"/>
        <w:spacing w:line="487" w:lineRule="auto"/>
        <w:ind w:left="5833" w:right="2070"/>
        <w:rPr>
          <w:highlight w:val="none"/>
        </w:rPr>
      </w:pPr>
      <w:r>
        <w:rPr>
          <w:highlight w:val="none"/>
        </w:rPr>
        <w:t>企业名称（盖章）： 日 期：</w:t>
      </w:r>
    </w:p>
    <w:p w14:paraId="5A2B9C95">
      <w:pPr>
        <w:spacing w:line="487" w:lineRule="auto"/>
        <w:rPr>
          <w:highlight w:val="none"/>
        </w:rPr>
        <w:sectPr>
          <w:type w:val="continuous"/>
          <w:pgSz w:w="11910" w:h="16840"/>
          <w:pgMar w:top="1380" w:right="920" w:bottom="280" w:left="920" w:header="720" w:footer="720" w:gutter="0"/>
          <w:cols w:space="720" w:num="1"/>
        </w:sectPr>
      </w:pPr>
    </w:p>
    <w:p w14:paraId="79C13E72">
      <w:pPr>
        <w:pStyle w:val="3"/>
        <w:spacing w:before="31"/>
        <w:rPr>
          <w:highlight w:val="none"/>
        </w:rPr>
      </w:pPr>
      <w:r>
        <w:rPr>
          <w:spacing w:val="-29"/>
          <w:highlight w:val="none"/>
        </w:rPr>
        <w:t xml:space="preserve">附件 </w:t>
      </w:r>
      <w:r>
        <w:rPr>
          <w:highlight w:val="none"/>
        </w:rPr>
        <w:t>2：</w:t>
      </w:r>
    </w:p>
    <w:p w14:paraId="2BBBEEDE">
      <w:pPr>
        <w:pStyle w:val="16"/>
        <w:spacing w:before="12"/>
        <w:rPr>
          <w:b/>
          <w:sz w:val="44"/>
          <w:highlight w:val="none"/>
        </w:rPr>
      </w:pPr>
      <w:r>
        <w:rPr>
          <w:highlight w:val="none"/>
        </w:rPr>
        <w:br w:type="column"/>
      </w:r>
    </w:p>
    <w:p w14:paraId="3C3E19D0">
      <w:pPr>
        <w:ind w:left="553"/>
        <w:rPr>
          <w:b/>
          <w:sz w:val="44"/>
          <w:highlight w:val="none"/>
        </w:rPr>
      </w:pPr>
      <w:r>
        <w:rPr>
          <w:b/>
          <w:sz w:val="44"/>
          <w:highlight w:val="none"/>
        </w:rPr>
        <w:t>《监狱企业声明函》</w:t>
      </w:r>
    </w:p>
    <w:p w14:paraId="01CEBB23">
      <w:pPr>
        <w:rPr>
          <w:sz w:val="44"/>
          <w:highlight w:val="none"/>
        </w:rPr>
        <w:sectPr>
          <w:footerReference r:id="rId13" w:type="default"/>
          <w:pgSz w:w="11910" w:h="16840"/>
          <w:pgMar w:top="1420" w:right="920" w:bottom="1420" w:left="920" w:header="0" w:footer="1229" w:gutter="0"/>
          <w:pgNumType w:start="110"/>
          <w:cols w:equalWidth="0" w:num="2">
            <w:col w:w="1796" w:space="695"/>
            <w:col w:w="7579"/>
          </w:cols>
        </w:sectPr>
      </w:pPr>
    </w:p>
    <w:p w14:paraId="4E3DD26A">
      <w:pPr>
        <w:pStyle w:val="16"/>
        <w:rPr>
          <w:b/>
          <w:sz w:val="20"/>
          <w:highlight w:val="none"/>
        </w:rPr>
      </w:pPr>
    </w:p>
    <w:p w14:paraId="0544A7D7">
      <w:pPr>
        <w:pStyle w:val="16"/>
        <w:rPr>
          <w:b/>
          <w:sz w:val="20"/>
          <w:highlight w:val="none"/>
        </w:rPr>
      </w:pPr>
    </w:p>
    <w:p w14:paraId="18451BC2">
      <w:pPr>
        <w:pStyle w:val="16"/>
        <w:tabs>
          <w:tab w:val="left" w:pos="6037"/>
          <w:tab w:val="left" w:pos="6853"/>
          <w:tab w:val="left" w:pos="7477"/>
        </w:tabs>
        <w:spacing w:before="67" w:line="364" w:lineRule="auto"/>
        <w:ind w:left="553" w:right="551" w:firstLine="475"/>
        <w:jc w:val="right"/>
        <w:rPr>
          <w:highlight w:val="none"/>
        </w:rPr>
      </w:pPr>
      <w:r>
        <w:rPr>
          <w:highlight w:val="none"/>
        </w:rPr>
        <w:t>本公司郑重声明，根据《财政部司法部关于政府采购支持监狱企业发展有关问题的通知》（财库〔2014〕68</w:t>
      </w:r>
      <w:r>
        <w:rPr>
          <w:spacing w:val="-61"/>
          <w:highlight w:val="none"/>
        </w:rPr>
        <w:t xml:space="preserve"> </w:t>
      </w:r>
      <w:r>
        <w:rPr>
          <w:highlight w:val="none"/>
        </w:rPr>
        <w:t>号）的规定，本公司为</w:t>
      </w:r>
      <w:r>
        <w:rPr>
          <w:highlight w:val="none"/>
          <w:u w:val="single"/>
        </w:rPr>
        <w:t xml:space="preserve"> </w:t>
      </w:r>
      <w:r>
        <w:rPr>
          <w:highlight w:val="none"/>
          <w:u w:val="single"/>
        </w:rPr>
        <w:tab/>
      </w:r>
      <w:r>
        <w:rPr>
          <w:highlight w:val="none"/>
          <w:u w:val="single"/>
        </w:rPr>
        <w:tab/>
      </w:r>
      <w:r>
        <w:rPr>
          <w:highlight w:val="none"/>
        </w:rPr>
        <w:t>（请填写：监狱）企业。本单位为符合条件的监狱企业</w:t>
      </w:r>
      <w:r>
        <w:rPr>
          <w:spacing w:val="-36"/>
          <w:highlight w:val="none"/>
        </w:rPr>
        <w:t>，</w:t>
      </w:r>
      <w:r>
        <w:rPr>
          <w:highlight w:val="none"/>
        </w:rPr>
        <w:t>且本单位参加</w:t>
      </w:r>
      <w:r>
        <w:rPr>
          <w:highlight w:val="none"/>
          <w:u w:val="single"/>
        </w:rPr>
        <w:t xml:space="preserve"> </w:t>
      </w:r>
      <w:r>
        <w:rPr>
          <w:highlight w:val="none"/>
          <w:u w:val="single"/>
        </w:rPr>
        <w:tab/>
      </w:r>
      <w:r>
        <w:rPr>
          <w:highlight w:val="none"/>
        </w:rPr>
        <w:t>单位的</w:t>
      </w:r>
      <w:r>
        <w:rPr>
          <w:highlight w:val="none"/>
          <w:u w:val="single"/>
        </w:rPr>
        <w:t xml:space="preserve"> </w:t>
      </w:r>
      <w:r>
        <w:rPr>
          <w:highlight w:val="none"/>
          <w:u w:val="single"/>
        </w:rPr>
        <w:tab/>
      </w:r>
      <w:r>
        <w:rPr>
          <w:highlight w:val="none"/>
        </w:rPr>
        <w:t>项目采购活动</w:t>
      </w:r>
    </w:p>
    <w:p w14:paraId="11DC5625">
      <w:pPr>
        <w:pStyle w:val="16"/>
        <w:spacing w:before="2"/>
        <w:ind w:left="553"/>
        <w:rPr>
          <w:highlight w:val="none"/>
        </w:rPr>
      </w:pPr>
      <w:r>
        <w:rPr>
          <w:highlight w:val="none"/>
        </w:rPr>
        <w:t>提供本单位制造的货物（由本单位承担工程/提供服务）。</w:t>
      </w:r>
    </w:p>
    <w:p w14:paraId="204D76E8">
      <w:pPr>
        <w:pStyle w:val="16"/>
        <w:spacing w:before="160"/>
        <w:ind w:left="1033"/>
        <w:rPr>
          <w:highlight w:val="none"/>
        </w:rPr>
      </w:pPr>
      <w:r>
        <w:rPr>
          <w:highlight w:val="none"/>
        </w:rPr>
        <w:t>本公司对上述声明的真实性负责，若有虚假，将依法承担相应责任。</w:t>
      </w:r>
    </w:p>
    <w:p w14:paraId="716D793F">
      <w:pPr>
        <w:pStyle w:val="16"/>
        <w:rPr>
          <w:highlight w:val="none"/>
        </w:rPr>
      </w:pPr>
    </w:p>
    <w:p w14:paraId="03D133DD">
      <w:pPr>
        <w:pStyle w:val="16"/>
        <w:rPr>
          <w:highlight w:val="none"/>
        </w:rPr>
      </w:pPr>
    </w:p>
    <w:p w14:paraId="4D65F0ED">
      <w:pPr>
        <w:pStyle w:val="16"/>
        <w:rPr>
          <w:highlight w:val="none"/>
        </w:rPr>
      </w:pPr>
    </w:p>
    <w:p w14:paraId="7F8A2473">
      <w:pPr>
        <w:pStyle w:val="16"/>
        <w:rPr>
          <w:highlight w:val="none"/>
        </w:rPr>
      </w:pPr>
    </w:p>
    <w:p w14:paraId="3029F9B6">
      <w:pPr>
        <w:pStyle w:val="16"/>
        <w:spacing w:before="1"/>
        <w:rPr>
          <w:sz w:val="17"/>
          <w:highlight w:val="none"/>
        </w:rPr>
      </w:pPr>
    </w:p>
    <w:p w14:paraId="1941EEF1">
      <w:pPr>
        <w:pStyle w:val="16"/>
        <w:tabs>
          <w:tab w:val="left" w:pos="7832"/>
          <w:tab w:val="left" w:pos="8072"/>
        </w:tabs>
        <w:spacing w:line="364" w:lineRule="auto"/>
        <w:ind w:left="3632" w:right="551" w:firstLine="360"/>
        <w:jc w:val="right"/>
        <w:rPr>
          <w:highlight w:val="none"/>
        </w:rPr>
      </w:pPr>
      <w:r>
        <w:rPr>
          <w:highlight w:val="none"/>
        </w:rPr>
        <w:t>投标人：</w:t>
      </w:r>
      <w:r>
        <w:rPr>
          <w:highlight w:val="none"/>
          <w:u w:val="single"/>
        </w:rPr>
        <w:t xml:space="preserve"> </w:t>
      </w:r>
      <w:r>
        <w:rPr>
          <w:highlight w:val="none"/>
          <w:u w:val="single"/>
        </w:rPr>
        <w:tab/>
      </w:r>
      <w:r>
        <w:rPr>
          <w:highlight w:val="none"/>
          <w:u w:val="single"/>
        </w:rPr>
        <w:tab/>
      </w:r>
      <w:r>
        <w:rPr>
          <w:highlight w:val="none"/>
        </w:rPr>
        <w:t>（盖单位章</w:t>
      </w:r>
      <w:r>
        <w:rPr>
          <w:spacing w:val="-17"/>
          <w:highlight w:val="none"/>
        </w:rPr>
        <w:t>）</w:t>
      </w:r>
      <w:r>
        <w:rPr>
          <w:highlight w:val="none"/>
        </w:rPr>
        <w:t>法定代表人：</w:t>
      </w:r>
      <w:r>
        <w:rPr>
          <w:highlight w:val="none"/>
          <w:u w:val="single"/>
        </w:rPr>
        <w:t xml:space="preserve"> </w:t>
      </w:r>
      <w:r>
        <w:rPr>
          <w:highlight w:val="none"/>
          <w:u w:val="single"/>
        </w:rPr>
        <w:tab/>
      </w:r>
      <w:r>
        <w:rPr>
          <w:highlight w:val="none"/>
        </w:rPr>
        <w:t>（签字或盖章</w:t>
      </w:r>
      <w:r>
        <w:rPr>
          <w:spacing w:val="-17"/>
          <w:highlight w:val="none"/>
        </w:rPr>
        <w:t>）</w:t>
      </w:r>
    </w:p>
    <w:p w14:paraId="0650B48E">
      <w:pPr>
        <w:pStyle w:val="16"/>
        <w:tabs>
          <w:tab w:val="left" w:pos="7352"/>
          <w:tab w:val="left" w:pos="8192"/>
          <w:tab w:val="left" w:pos="9272"/>
        </w:tabs>
        <w:spacing w:before="78"/>
        <w:ind w:left="6632"/>
        <w:rPr>
          <w:highlight w:val="none"/>
        </w:rPr>
      </w:pPr>
      <w:r>
        <w:rPr>
          <w:rFonts w:ascii="Times New Roman" w:eastAsia="Times New Roman"/>
          <w:highlight w:val="none"/>
          <w:u w:val="single"/>
        </w:rPr>
        <w:t xml:space="preserve"> </w:t>
      </w:r>
      <w:r>
        <w:rPr>
          <w:rFonts w:ascii="Times New Roman" w:eastAsia="Times New Roman"/>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w:t>
      </w:r>
    </w:p>
    <w:p w14:paraId="175868D1">
      <w:pPr>
        <w:pStyle w:val="16"/>
        <w:rPr>
          <w:sz w:val="26"/>
          <w:highlight w:val="none"/>
        </w:rPr>
      </w:pPr>
    </w:p>
    <w:p w14:paraId="4B30B8F6">
      <w:pPr>
        <w:pStyle w:val="16"/>
        <w:spacing w:before="7"/>
        <w:rPr>
          <w:b/>
          <w:sz w:val="25"/>
          <w:highlight w:val="none"/>
        </w:rPr>
      </w:pPr>
    </w:p>
    <w:p w14:paraId="1D6592FE">
      <w:pPr>
        <w:ind w:firstLine="773" w:firstLineChars="350"/>
        <w:rPr>
          <w:b/>
          <w:highlight w:val="none"/>
        </w:rPr>
      </w:pPr>
      <w:r>
        <w:rPr>
          <w:b/>
          <w:highlight w:val="none"/>
        </w:rPr>
        <w:t>注：</w:t>
      </w:r>
    </w:p>
    <w:p w14:paraId="76AFDD44">
      <w:pPr>
        <w:ind w:firstLine="442" w:firstLineChars="200"/>
        <w:rPr>
          <w:b/>
          <w:highlight w:val="none"/>
        </w:rPr>
      </w:pPr>
      <w:r>
        <w:rPr>
          <w:rFonts w:hint="eastAsia"/>
          <w:b/>
          <w:highlight w:val="none"/>
        </w:rPr>
        <w:t>1、</w:t>
      </w:r>
      <w:r>
        <w:rPr>
          <w:b/>
          <w:highlight w:val="none"/>
        </w:rPr>
        <w:t>非监狱企业无需在响应文件中提供。如为监狱企业应在响应文件的封面右上角明确注明相关信息以便方便认可。</w:t>
      </w:r>
    </w:p>
    <w:p w14:paraId="2CC673B0">
      <w:pPr>
        <w:ind w:firstLine="442" w:firstLineChars="200"/>
        <w:rPr>
          <w:highlight w:val="none"/>
        </w:rPr>
      </w:pPr>
      <w:r>
        <w:rPr>
          <w:rFonts w:hint="eastAsia"/>
          <w:b/>
          <w:highlight w:val="none"/>
        </w:rPr>
        <w:t>2、</w:t>
      </w:r>
      <w:r>
        <w:rPr>
          <w:b/>
          <w:highlight w:val="none"/>
        </w:rPr>
        <w:t>投标人提供《监狱企业声明函》的需保证其真实性，如经查实存在虚假证明的情况，由投标人承担相应责任</w:t>
      </w:r>
      <w:r>
        <w:rPr>
          <w:highlight w:val="none"/>
        </w:rPr>
        <w:t>。</w:t>
      </w:r>
    </w:p>
    <w:p w14:paraId="5D53D6A0">
      <w:pPr>
        <w:spacing w:line="345" w:lineRule="auto"/>
        <w:rPr>
          <w:highlight w:val="none"/>
        </w:rPr>
        <w:sectPr>
          <w:type w:val="continuous"/>
          <w:pgSz w:w="11910" w:h="16840"/>
          <w:pgMar w:top="1380" w:right="920" w:bottom="280" w:left="920" w:header="720" w:footer="720" w:gutter="0"/>
          <w:cols w:space="720" w:num="1"/>
        </w:sectPr>
      </w:pPr>
    </w:p>
    <w:p w14:paraId="761F6606">
      <w:pPr>
        <w:pStyle w:val="3"/>
        <w:spacing w:before="31"/>
        <w:rPr>
          <w:highlight w:val="none"/>
        </w:rPr>
      </w:pPr>
      <w:r>
        <w:rPr>
          <w:spacing w:val="-29"/>
          <w:highlight w:val="none"/>
        </w:rPr>
        <w:t xml:space="preserve">附件 </w:t>
      </w:r>
      <w:r>
        <w:rPr>
          <w:spacing w:val="-9"/>
          <w:highlight w:val="none"/>
        </w:rPr>
        <w:t>3：</w:t>
      </w:r>
    </w:p>
    <w:p w14:paraId="11801B92">
      <w:pPr>
        <w:pStyle w:val="16"/>
        <w:spacing w:before="12"/>
        <w:rPr>
          <w:b/>
          <w:sz w:val="44"/>
          <w:highlight w:val="none"/>
        </w:rPr>
      </w:pPr>
      <w:r>
        <w:rPr>
          <w:highlight w:val="none"/>
        </w:rPr>
        <w:br w:type="column"/>
      </w:r>
    </w:p>
    <w:p w14:paraId="24D72949">
      <w:pPr>
        <w:ind w:left="365"/>
        <w:rPr>
          <w:b/>
          <w:sz w:val="44"/>
          <w:highlight w:val="none"/>
        </w:rPr>
      </w:pPr>
      <w:r>
        <w:rPr>
          <w:b/>
          <w:sz w:val="44"/>
          <w:highlight w:val="none"/>
        </w:rPr>
        <w:t>《残疾人福利性单位声明函》</w:t>
      </w:r>
    </w:p>
    <w:p w14:paraId="671CD5EA">
      <w:pPr>
        <w:rPr>
          <w:sz w:val="44"/>
          <w:highlight w:val="none"/>
        </w:rPr>
        <w:sectPr>
          <w:pgSz w:w="11910" w:h="16840"/>
          <w:pgMar w:top="1420" w:right="920" w:bottom="1420" w:left="920" w:header="0" w:footer="1229" w:gutter="0"/>
          <w:cols w:equalWidth="0" w:num="2">
            <w:col w:w="1756" w:space="40"/>
            <w:col w:w="8274"/>
          </w:cols>
        </w:sectPr>
      </w:pPr>
    </w:p>
    <w:p w14:paraId="717FAD3D">
      <w:pPr>
        <w:pStyle w:val="16"/>
        <w:rPr>
          <w:b/>
          <w:sz w:val="20"/>
          <w:highlight w:val="none"/>
        </w:rPr>
      </w:pPr>
    </w:p>
    <w:p w14:paraId="68D1B3B8">
      <w:pPr>
        <w:pStyle w:val="16"/>
        <w:rPr>
          <w:b/>
          <w:sz w:val="20"/>
          <w:highlight w:val="none"/>
        </w:rPr>
      </w:pPr>
    </w:p>
    <w:p w14:paraId="0AD6F98C">
      <w:pPr>
        <w:pStyle w:val="16"/>
        <w:spacing w:before="5"/>
        <w:rPr>
          <w:b/>
          <w:sz w:val="18"/>
          <w:highlight w:val="none"/>
        </w:rPr>
      </w:pPr>
    </w:p>
    <w:p w14:paraId="247D6B2A">
      <w:pPr>
        <w:pStyle w:val="16"/>
        <w:tabs>
          <w:tab w:val="left" w:pos="4184"/>
          <w:tab w:val="left" w:pos="5634"/>
        </w:tabs>
        <w:spacing w:before="66" w:line="487" w:lineRule="auto"/>
        <w:ind w:left="553" w:right="551" w:firstLine="480"/>
        <w:jc w:val="both"/>
        <w:rPr>
          <w:highlight w:val="none"/>
        </w:rPr>
      </w:pPr>
      <w:r>
        <w:rPr>
          <w:highlight w:val="none"/>
        </w:rPr>
        <w:t>本单位郑重声明，根据《财政部、民政部、中国残疾人联合会关于促进残疾人就业政府采购政策的通知</w:t>
      </w:r>
      <w:r>
        <w:rPr>
          <w:spacing w:val="-34"/>
          <w:highlight w:val="none"/>
        </w:rPr>
        <w:t>》</w:t>
      </w:r>
      <w:r>
        <w:rPr>
          <w:highlight w:val="none"/>
        </w:rPr>
        <w:t>（财</w:t>
      </w:r>
      <w:r>
        <w:rPr>
          <w:spacing w:val="-17"/>
          <w:highlight w:val="none"/>
        </w:rPr>
        <w:t>库</w:t>
      </w:r>
      <w:r>
        <w:rPr>
          <w:highlight w:val="none"/>
        </w:rPr>
        <w:t>〔2017</w:t>
      </w:r>
      <w:r>
        <w:rPr>
          <w:spacing w:val="-17"/>
          <w:highlight w:val="none"/>
        </w:rPr>
        <w:t>〕</w:t>
      </w:r>
      <w:r>
        <w:rPr>
          <w:highlight w:val="none"/>
        </w:rPr>
        <w:t>141</w:t>
      </w:r>
      <w:r>
        <w:rPr>
          <w:spacing w:val="-60"/>
          <w:highlight w:val="none"/>
        </w:rPr>
        <w:t xml:space="preserve"> </w:t>
      </w:r>
      <w:r>
        <w:rPr>
          <w:highlight w:val="none"/>
        </w:rPr>
        <w:t>号</w:t>
      </w:r>
      <w:r>
        <w:rPr>
          <w:spacing w:val="-17"/>
          <w:highlight w:val="none"/>
        </w:rPr>
        <w:t>）</w:t>
      </w:r>
      <w:r>
        <w:rPr>
          <w:highlight w:val="none"/>
        </w:rPr>
        <w:t>的规定</w:t>
      </w:r>
      <w:r>
        <w:rPr>
          <w:spacing w:val="-17"/>
          <w:highlight w:val="none"/>
        </w:rPr>
        <w:t>，</w:t>
      </w:r>
      <w:r>
        <w:rPr>
          <w:highlight w:val="none"/>
        </w:rPr>
        <w:t>本单位为符合条件的残疾</w:t>
      </w:r>
      <w:r>
        <w:rPr>
          <w:spacing w:val="-16"/>
          <w:highlight w:val="none"/>
        </w:rPr>
        <w:t>人</w:t>
      </w:r>
      <w:r>
        <w:rPr>
          <w:highlight w:val="none"/>
        </w:rPr>
        <w:t>福利性单位，且本单位参加</w:t>
      </w:r>
      <w:r>
        <w:rPr>
          <w:highlight w:val="none"/>
          <w:u w:val="single"/>
        </w:rPr>
        <w:t xml:space="preserve"> </w:t>
      </w:r>
      <w:r>
        <w:rPr>
          <w:highlight w:val="none"/>
          <w:u w:val="single"/>
        </w:rPr>
        <w:tab/>
      </w:r>
      <w:r>
        <w:rPr>
          <w:highlight w:val="none"/>
        </w:rPr>
        <w:t>单位的</w:t>
      </w:r>
      <w:r>
        <w:rPr>
          <w:highlight w:val="none"/>
          <w:u w:val="single"/>
        </w:rPr>
        <w:t xml:space="preserve"> </w:t>
      </w:r>
      <w:r>
        <w:rPr>
          <w:highlight w:val="none"/>
          <w:u w:val="single"/>
        </w:rPr>
        <w:tab/>
      </w:r>
      <w:r>
        <w:rPr>
          <w:highlight w:val="none"/>
        </w:rPr>
        <w:t>项目采购活动提供本单位制造的货物</w:t>
      </w:r>
    </w:p>
    <w:p w14:paraId="623A8854">
      <w:pPr>
        <w:pStyle w:val="16"/>
        <w:spacing w:line="487" w:lineRule="auto"/>
        <w:ind w:left="553" w:right="494"/>
        <w:rPr>
          <w:highlight w:val="none"/>
        </w:rPr>
      </w:pPr>
      <w:r>
        <w:rPr>
          <w:highlight w:val="none"/>
        </w:rPr>
        <w:t>（由本单位承担工程/提供服务），或者提供其他残疾人福利性单位制造的货物（不包括使用非残疾人福利性单位注册商标的货物）。</w:t>
      </w:r>
    </w:p>
    <w:p w14:paraId="3FF2C885">
      <w:pPr>
        <w:pStyle w:val="16"/>
        <w:spacing w:line="307" w:lineRule="exact"/>
        <w:ind w:left="1028"/>
        <w:rPr>
          <w:highlight w:val="none"/>
        </w:rPr>
      </w:pPr>
      <w:r>
        <w:rPr>
          <w:highlight w:val="none"/>
        </w:rPr>
        <w:t>本单位对上述声明的真实性负责。如有虚假，将依法承担相应责任。</w:t>
      </w:r>
    </w:p>
    <w:p w14:paraId="0EA25DF1">
      <w:pPr>
        <w:pStyle w:val="16"/>
        <w:rPr>
          <w:highlight w:val="none"/>
        </w:rPr>
      </w:pPr>
    </w:p>
    <w:p w14:paraId="57567832">
      <w:pPr>
        <w:pStyle w:val="16"/>
        <w:rPr>
          <w:highlight w:val="none"/>
        </w:rPr>
      </w:pPr>
    </w:p>
    <w:p w14:paraId="204F69F1">
      <w:pPr>
        <w:pStyle w:val="16"/>
        <w:rPr>
          <w:highlight w:val="none"/>
        </w:rPr>
      </w:pPr>
    </w:p>
    <w:p w14:paraId="7E9DCCDE">
      <w:pPr>
        <w:pStyle w:val="16"/>
        <w:spacing w:before="12"/>
        <w:rPr>
          <w:sz w:val="19"/>
          <w:highlight w:val="none"/>
        </w:rPr>
      </w:pPr>
    </w:p>
    <w:p w14:paraId="77F213E6">
      <w:pPr>
        <w:pStyle w:val="16"/>
        <w:tabs>
          <w:tab w:val="left" w:pos="7832"/>
          <w:tab w:val="left" w:pos="8072"/>
        </w:tabs>
        <w:spacing w:line="364" w:lineRule="auto"/>
        <w:ind w:left="3632" w:right="551" w:firstLine="360"/>
        <w:rPr>
          <w:highlight w:val="none"/>
        </w:rPr>
      </w:pPr>
      <w:r>
        <w:rPr>
          <w:highlight w:val="none"/>
        </w:rPr>
        <w:t>投标人：</w:t>
      </w:r>
      <w:r>
        <w:rPr>
          <w:highlight w:val="none"/>
          <w:u w:val="single"/>
        </w:rPr>
        <w:t xml:space="preserve"> </w:t>
      </w:r>
      <w:r>
        <w:rPr>
          <w:highlight w:val="none"/>
          <w:u w:val="single"/>
        </w:rPr>
        <w:tab/>
      </w:r>
      <w:r>
        <w:rPr>
          <w:highlight w:val="none"/>
          <w:u w:val="single"/>
        </w:rPr>
        <w:tab/>
      </w:r>
      <w:r>
        <w:rPr>
          <w:highlight w:val="none"/>
        </w:rPr>
        <w:t>（盖单位章</w:t>
      </w:r>
      <w:r>
        <w:rPr>
          <w:spacing w:val="-17"/>
          <w:highlight w:val="none"/>
        </w:rPr>
        <w:t xml:space="preserve">） </w:t>
      </w:r>
      <w:r>
        <w:rPr>
          <w:highlight w:val="none"/>
        </w:rPr>
        <w:t>法定代表人：</w:t>
      </w:r>
      <w:r>
        <w:rPr>
          <w:highlight w:val="none"/>
          <w:u w:val="single"/>
        </w:rPr>
        <w:t xml:space="preserve"> </w:t>
      </w:r>
      <w:r>
        <w:rPr>
          <w:highlight w:val="none"/>
          <w:u w:val="single"/>
        </w:rPr>
        <w:tab/>
      </w:r>
      <w:r>
        <w:rPr>
          <w:highlight w:val="none"/>
        </w:rPr>
        <w:t>（签字或盖章</w:t>
      </w:r>
      <w:r>
        <w:rPr>
          <w:spacing w:val="-17"/>
          <w:highlight w:val="none"/>
        </w:rPr>
        <w:t>）</w:t>
      </w:r>
    </w:p>
    <w:p w14:paraId="7310AE8B">
      <w:pPr>
        <w:pStyle w:val="16"/>
        <w:tabs>
          <w:tab w:val="left" w:pos="7352"/>
          <w:tab w:val="left" w:pos="8192"/>
          <w:tab w:val="left" w:pos="9272"/>
        </w:tabs>
        <w:spacing w:before="157"/>
        <w:ind w:left="6632"/>
        <w:rPr>
          <w:highlight w:val="none"/>
        </w:rPr>
      </w:pPr>
      <w:r>
        <w:rPr>
          <w:rFonts w:ascii="Times New Roman" w:eastAsia="Times New Roman"/>
          <w:highlight w:val="none"/>
          <w:u w:val="single"/>
        </w:rPr>
        <w:t xml:space="preserve"> </w:t>
      </w:r>
      <w:r>
        <w:rPr>
          <w:rFonts w:ascii="Times New Roman" w:eastAsia="Times New Roman"/>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w:t>
      </w:r>
    </w:p>
    <w:p w14:paraId="37725571">
      <w:pPr>
        <w:pStyle w:val="16"/>
        <w:rPr>
          <w:sz w:val="26"/>
          <w:highlight w:val="none"/>
        </w:rPr>
      </w:pPr>
    </w:p>
    <w:p w14:paraId="4E4C1B0B">
      <w:pPr>
        <w:pStyle w:val="16"/>
        <w:rPr>
          <w:sz w:val="26"/>
          <w:highlight w:val="none"/>
        </w:rPr>
      </w:pPr>
    </w:p>
    <w:p w14:paraId="0D37012A">
      <w:pPr>
        <w:pStyle w:val="16"/>
        <w:rPr>
          <w:sz w:val="26"/>
          <w:highlight w:val="none"/>
        </w:rPr>
      </w:pPr>
    </w:p>
    <w:p w14:paraId="66F36E60">
      <w:pPr>
        <w:pStyle w:val="16"/>
        <w:rPr>
          <w:sz w:val="26"/>
          <w:highlight w:val="none"/>
        </w:rPr>
      </w:pPr>
    </w:p>
    <w:p w14:paraId="0906B825">
      <w:pPr>
        <w:spacing w:line="360" w:lineRule="auto"/>
        <w:ind w:firstLine="442" w:firstLineChars="200"/>
        <w:rPr>
          <w:b/>
          <w:highlight w:val="none"/>
        </w:rPr>
      </w:pPr>
      <w:r>
        <w:rPr>
          <w:b/>
          <w:highlight w:val="none"/>
        </w:rPr>
        <w:t>注：</w:t>
      </w:r>
    </w:p>
    <w:p w14:paraId="265D4CC9">
      <w:pPr>
        <w:spacing w:line="360" w:lineRule="auto"/>
        <w:ind w:firstLine="442" w:firstLineChars="200"/>
        <w:rPr>
          <w:b/>
          <w:highlight w:val="none"/>
        </w:rPr>
      </w:pPr>
      <w:r>
        <w:rPr>
          <w:rFonts w:hint="eastAsia"/>
          <w:b/>
          <w:highlight w:val="none"/>
        </w:rPr>
        <w:t>1、</w:t>
      </w:r>
      <w:r>
        <w:rPr>
          <w:b/>
          <w:highlight w:val="none"/>
        </w:rPr>
        <w:t>非残疾人福利性单位无需在响应文件中提供。如为残疾人福利性单位应在响应文件的封面右上角明确注明相关信息以便方便认可。</w:t>
      </w:r>
    </w:p>
    <w:p w14:paraId="0413B9AB">
      <w:pPr>
        <w:spacing w:line="360" w:lineRule="auto"/>
        <w:ind w:firstLine="442" w:firstLineChars="200"/>
        <w:rPr>
          <w:b/>
          <w:highlight w:val="none"/>
        </w:rPr>
      </w:pPr>
      <w:r>
        <w:rPr>
          <w:rFonts w:hint="eastAsia"/>
          <w:b/>
          <w:highlight w:val="none"/>
        </w:rPr>
        <w:t>2、</w:t>
      </w:r>
      <w:r>
        <w:rPr>
          <w:b/>
          <w:highlight w:val="none"/>
        </w:rPr>
        <w:t>投标人企业所提供的《残疾人福利性单位声明函》，由其自行承担相应的法律责任。</w:t>
      </w:r>
    </w:p>
    <w:p w14:paraId="03D9DB33">
      <w:pPr>
        <w:spacing w:line="345" w:lineRule="auto"/>
        <w:rPr>
          <w:highlight w:val="none"/>
        </w:rPr>
        <w:sectPr>
          <w:type w:val="continuous"/>
          <w:pgSz w:w="11910" w:h="16840"/>
          <w:pgMar w:top="1380" w:right="920" w:bottom="280" w:left="920" w:header="720" w:footer="720" w:gutter="0"/>
          <w:cols w:space="720" w:num="1"/>
        </w:sectPr>
      </w:pPr>
    </w:p>
    <w:p w14:paraId="5D035741">
      <w:pPr>
        <w:pStyle w:val="3"/>
        <w:spacing w:before="31"/>
        <w:rPr>
          <w:highlight w:val="none"/>
        </w:rPr>
      </w:pPr>
      <w:r>
        <w:rPr>
          <w:highlight w:val="none"/>
        </w:rPr>
        <w:t>附件 4</w:t>
      </w:r>
    </w:p>
    <w:p w14:paraId="2AE401E5">
      <w:pPr>
        <w:pStyle w:val="16"/>
        <w:rPr>
          <w:b/>
          <w:sz w:val="20"/>
          <w:highlight w:val="none"/>
        </w:rPr>
      </w:pPr>
    </w:p>
    <w:p w14:paraId="1829AF9E">
      <w:pPr>
        <w:pStyle w:val="16"/>
        <w:rPr>
          <w:b/>
          <w:sz w:val="20"/>
          <w:highlight w:val="none"/>
        </w:rPr>
      </w:pPr>
    </w:p>
    <w:p w14:paraId="7F32E320">
      <w:pPr>
        <w:pStyle w:val="16"/>
        <w:spacing w:before="4"/>
        <w:rPr>
          <w:b/>
          <w:sz w:val="16"/>
          <w:highlight w:val="none"/>
        </w:rPr>
      </w:pPr>
    </w:p>
    <w:p w14:paraId="0B0D258C">
      <w:pPr>
        <w:spacing w:before="37"/>
        <w:ind w:left="835" w:right="837"/>
        <w:jc w:val="center"/>
        <w:rPr>
          <w:b/>
          <w:sz w:val="44"/>
          <w:highlight w:val="none"/>
        </w:rPr>
      </w:pPr>
      <w:r>
        <w:rPr>
          <w:b/>
          <w:sz w:val="44"/>
          <w:highlight w:val="none"/>
        </w:rPr>
        <w:t>《福利性单位声明函》</w:t>
      </w:r>
    </w:p>
    <w:p w14:paraId="7CBA4678">
      <w:pPr>
        <w:pStyle w:val="16"/>
        <w:spacing w:before="7"/>
        <w:rPr>
          <w:b/>
          <w:sz w:val="63"/>
          <w:highlight w:val="none"/>
        </w:rPr>
      </w:pPr>
    </w:p>
    <w:p w14:paraId="4FDAB91C">
      <w:pPr>
        <w:pStyle w:val="16"/>
        <w:tabs>
          <w:tab w:val="left" w:pos="7820"/>
          <w:tab w:val="left" w:pos="9272"/>
        </w:tabs>
        <w:spacing w:line="487" w:lineRule="auto"/>
        <w:ind w:left="553" w:right="551" w:firstLine="480"/>
        <w:jc w:val="both"/>
        <w:rPr>
          <w:highlight w:val="none"/>
        </w:rPr>
      </w:pPr>
      <w:r>
        <w:rPr>
          <w:highlight w:val="none"/>
        </w:rPr>
        <w:t>本单位郑重声明，根据陕西省《关于政府采购优先购买福利性企业产品和服务的意见》规定，本单位为符合条件的福利性单位，且本单位参加</w:t>
      </w:r>
      <w:r>
        <w:rPr>
          <w:highlight w:val="none"/>
          <w:u w:val="single"/>
        </w:rPr>
        <w:t xml:space="preserve"> </w:t>
      </w:r>
      <w:r>
        <w:rPr>
          <w:highlight w:val="none"/>
          <w:u w:val="single"/>
        </w:rPr>
        <w:tab/>
      </w:r>
      <w:r>
        <w:rPr>
          <w:highlight w:val="none"/>
        </w:rPr>
        <w:t>单位的</w:t>
      </w:r>
      <w:r>
        <w:rPr>
          <w:highlight w:val="none"/>
          <w:u w:val="single"/>
        </w:rPr>
        <w:t xml:space="preserve"> </w:t>
      </w:r>
      <w:r>
        <w:rPr>
          <w:highlight w:val="none"/>
          <w:u w:val="single"/>
        </w:rPr>
        <w:tab/>
      </w:r>
      <w:r>
        <w:rPr>
          <w:spacing w:val="-17"/>
          <w:highlight w:val="none"/>
        </w:rPr>
        <w:t>项</w:t>
      </w:r>
      <w:r>
        <w:rPr>
          <w:highlight w:val="none"/>
        </w:rPr>
        <w:t>目采购活动提供本单位制造的货</w:t>
      </w:r>
      <w:r>
        <w:rPr>
          <w:spacing w:val="-15"/>
          <w:highlight w:val="none"/>
        </w:rPr>
        <w:t>物</w:t>
      </w:r>
      <w:r>
        <w:rPr>
          <w:highlight w:val="none"/>
        </w:rPr>
        <w:t>（由本单位承担工程/提供服务</w:t>
      </w:r>
      <w:r>
        <w:rPr>
          <w:spacing w:val="-14"/>
          <w:highlight w:val="none"/>
        </w:rPr>
        <w:t>），</w:t>
      </w:r>
      <w:r>
        <w:rPr>
          <w:highlight w:val="none"/>
        </w:rPr>
        <w:t>或者提供其他</w:t>
      </w:r>
      <w:r>
        <w:rPr>
          <w:spacing w:val="-16"/>
          <w:highlight w:val="none"/>
        </w:rPr>
        <w:t>福</w:t>
      </w:r>
      <w:r>
        <w:rPr>
          <w:highlight w:val="none"/>
        </w:rPr>
        <w:t>利性单位制造的货物（不包括使用非福利性单位注册商标的货物）。</w:t>
      </w:r>
    </w:p>
    <w:p w14:paraId="1679B873">
      <w:pPr>
        <w:pStyle w:val="16"/>
        <w:spacing w:line="307" w:lineRule="exact"/>
        <w:ind w:left="1028"/>
        <w:rPr>
          <w:highlight w:val="none"/>
        </w:rPr>
      </w:pPr>
      <w:r>
        <w:rPr>
          <w:highlight w:val="none"/>
        </w:rPr>
        <w:t>本单位对上述声明的真实性负责。如有虚假，将依法承担相应责任。</w:t>
      </w:r>
    </w:p>
    <w:p w14:paraId="7FB37F1E">
      <w:pPr>
        <w:pStyle w:val="16"/>
        <w:rPr>
          <w:highlight w:val="none"/>
        </w:rPr>
      </w:pPr>
    </w:p>
    <w:p w14:paraId="4D7F9B7C">
      <w:pPr>
        <w:pStyle w:val="16"/>
        <w:rPr>
          <w:highlight w:val="none"/>
        </w:rPr>
      </w:pPr>
    </w:p>
    <w:p w14:paraId="7D4ABA1A">
      <w:pPr>
        <w:pStyle w:val="16"/>
        <w:rPr>
          <w:highlight w:val="none"/>
        </w:rPr>
      </w:pPr>
    </w:p>
    <w:p w14:paraId="05301E8F">
      <w:pPr>
        <w:pStyle w:val="16"/>
        <w:rPr>
          <w:highlight w:val="none"/>
        </w:rPr>
      </w:pPr>
    </w:p>
    <w:p w14:paraId="7666D81A">
      <w:pPr>
        <w:pStyle w:val="16"/>
        <w:rPr>
          <w:highlight w:val="none"/>
        </w:rPr>
      </w:pPr>
    </w:p>
    <w:p w14:paraId="1DEA7BB8">
      <w:pPr>
        <w:pStyle w:val="16"/>
        <w:spacing w:before="9"/>
        <w:rPr>
          <w:sz w:val="20"/>
          <w:highlight w:val="none"/>
        </w:rPr>
      </w:pPr>
    </w:p>
    <w:p w14:paraId="32ACC442">
      <w:pPr>
        <w:pStyle w:val="16"/>
        <w:tabs>
          <w:tab w:val="left" w:pos="7832"/>
          <w:tab w:val="left" w:pos="8072"/>
        </w:tabs>
        <w:spacing w:line="364" w:lineRule="auto"/>
        <w:ind w:left="3632" w:right="551" w:firstLine="360"/>
        <w:rPr>
          <w:highlight w:val="none"/>
        </w:rPr>
      </w:pPr>
      <w:r>
        <w:rPr>
          <w:highlight w:val="none"/>
        </w:rPr>
        <w:t>投标人：</w:t>
      </w:r>
      <w:r>
        <w:rPr>
          <w:highlight w:val="none"/>
          <w:u w:val="single"/>
        </w:rPr>
        <w:t xml:space="preserve"> </w:t>
      </w:r>
      <w:r>
        <w:rPr>
          <w:highlight w:val="none"/>
          <w:u w:val="single"/>
        </w:rPr>
        <w:tab/>
      </w:r>
      <w:r>
        <w:rPr>
          <w:highlight w:val="none"/>
          <w:u w:val="single"/>
        </w:rPr>
        <w:tab/>
      </w:r>
      <w:r>
        <w:rPr>
          <w:highlight w:val="none"/>
        </w:rPr>
        <w:t>（盖单位章</w:t>
      </w:r>
      <w:r>
        <w:rPr>
          <w:spacing w:val="-17"/>
          <w:highlight w:val="none"/>
        </w:rPr>
        <w:t xml:space="preserve">） </w:t>
      </w:r>
      <w:r>
        <w:rPr>
          <w:highlight w:val="none"/>
        </w:rPr>
        <w:t>法定代表人：</w:t>
      </w:r>
      <w:r>
        <w:rPr>
          <w:highlight w:val="none"/>
          <w:u w:val="single"/>
        </w:rPr>
        <w:t xml:space="preserve"> </w:t>
      </w:r>
      <w:r>
        <w:rPr>
          <w:highlight w:val="none"/>
          <w:u w:val="single"/>
        </w:rPr>
        <w:tab/>
      </w:r>
      <w:r>
        <w:rPr>
          <w:highlight w:val="none"/>
        </w:rPr>
        <w:t>（签字或盖章</w:t>
      </w:r>
      <w:r>
        <w:rPr>
          <w:spacing w:val="-17"/>
          <w:highlight w:val="none"/>
        </w:rPr>
        <w:t>）</w:t>
      </w:r>
    </w:p>
    <w:p w14:paraId="0CF5C96E">
      <w:pPr>
        <w:pStyle w:val="16"/>
        <w:tabs>
          <w:tab w:val="left" w:pos="7352"/>
          <w:tab w:val="left" w:pos="8192"/>
          <w:tab w:val="left" w:pos="9272"/>
        </w:tabs>
        <w:spacing w:before="157"/>
        <w:ind w:left="6632"/>
        <w:rPr>
          <w:highlight w:val="none"/>
        </w:rPr>
      </w:pPr>
      <w:r>
        <w:rPr>
          <w:rFonts w:ascii="Times New Roman" w:eastAsia="Times New Roman"/>
          <w:highlight w:val="none"/>
          <w:u w:val="single"/>
        </w:rPr>
        <w:t xml:space="preserve"> </w:t>
      </w:r>
      <w:r>
        <w:rPr>
          <w:rFonts w:ascii="Times New Roman" w:eastAsia="Times New Roman"/>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w:t>
      </w:r>
    </w:p>
    <w:p w14:paraId="2A261090">
      <w:pPr>
        <w:pStyle w:val="16"/>
        <w:rPr>
          <w:sz w:val="26"/>
          <w:highlight w:val="none"/>
        </w:rPr>
      </w:pPr>
    </w:p>
    <w:p w14:paraId="6418F917">
      <w:pPr>
        <w:pStyle w:val="16"/>
        <w:rPr>
          <w:sz w:val="26"/>
          <w:highlight w:val="none"/>
        </w:rPr>
      </w:pPr>
    </w:p>
    <w:p w14:paraId="326EA7F4">
      <w:pPr>
        <w:pStyle w:val="16"/>
        <w:rPr>
          <w:sz w:val="26"/>
          <w:highlight w:val="none"/>
        </w:rPr>
      </w:pPr>
    </w:p>
    <w:p w14:paraId="4D2B2C10">
      <w:pPr>
        <w:pStyle w:val="16"/>
        <w:rPr>
          <w:sz w:val="26"/>
          <w:highlight w:val="none"/>
        </w:rPr>
      </w:pPr>
    </w:p>
    <w:p w14:paraId="6C0074B8">
      <w:pPr>
        <w:spacing w:line="360" w:lineRule="auto"/>
        <w:ind w:firstLine="442" w:firstLineChars="200"/>
        <w:rPr>
          <w:b/>
          <w:highlight w:val="none"/>
        </w:rPr>
      </w:pPr>
      <w:r>
        <w:rPr>
          <w:b/>
          <w:highlight w:val="none"/>
        </w:rPr>
        <w:t>注：</w:t>
      </w:r>
    </w:p>
    <w:p w14:paraId="1C506D0C">
      <w:pPr>
        <w:spacing w:line="360" w:lineRule="auto"/>
        <w:ind w:firstLine="442" w:firstLineChars="200"/>
        <w:rPr>
          <w:b/>
          <w:highlight w:val="none"/>
        </w:rPr>
      </w:pPr>
      <w:r>
        <w:rPr>
          <w:rFonts w:hint="eastAsia"/>
          <w:b/>
          <w:highlight w:val="none"/>
        </w:rPr>
        <w:t>1、</w:t>
      </w:r>
      <w:r>
        <w:rPr>
          <w:b/>
          <w:highlight w:val="none"/>
        </w:rPr>
        <w:t>非福利性单位无需在响应文件中提供。如为福利性单位应在响应文件的封面右上角明确注明相关信息以便方便认可。</w:t>
      </w:r>
    </w:p>
    <w:p w14:paraId="42754EBB">
      <w:pPr>
        <w:spacing w:line="360" w:lineRule="auto"/>
        <w:ind w:firstLine="442" w:firstLineChars="200"/>
        <w:rPr>
          <w:rFonts w:hint="eastAsia" w:eastAsia="宋体"/>
          <w:highlight w:val="none"/>
          <w:lang w:eastAsia="zh-CN"/>
        </w:rPr>
        <w:sectPr>
          <w:pgSz w:w="11910" w:h="16840"/>
          <w:pgMar w:top="1420" w:right="920" w:bottom="1420" w:left="920" w:header="0" w:footer="1229" w:gutter="0"/>
          <w:cols w:space="720" w:num="1"/>
        </w:sectPr>
      </w:pPr>
      <w:r>
        <w:rPr>
          <w:rFonts w:hint="eastAsia"/>
          <w:b/>
          <w:highlight w:val="none"/>
        </w:rPr>
        <w:t>2、</w:t>
      </w:r>
      <w:r>
        <w:rPr>
          <w:b/>
          <w:highlight w:val="none"/>
        </w:rPr>
        <w:t>投标人企业所提供的《福利性单位声明函》，由其自行承担相应的法律责任</w:t>
      </w:r>
      <w:r>
        <w:rPr>
          <w:rFonts w:hint="eastAsia"/>
          <w:b/>
          <w:highlight w:val="none"/>
          <w:lang w:eastAsia="zh-CN"/>
        </w:rPr>
        <w:t>。</w:t>
      </w:r>
    </w:p>
    <w:p w14:paraId="54111869">
      <w:pPr>
        <w:pStyle w:val="16"/>
        <w:tabs>
          <w:tab w:val="left" w:pos="6433"/>
        </w:tabs>
        <w:spacing w:line="487" w:lineRule="auto"/>
        <w:ind w:right="2070"/>
        <w:rPr>
          <w:highlight w:val="none"/>
        </w:rPr>
      </w:pPr>
    </w:p>
    <w:sectPr>
      <w:type w:val="continuous"/>
      <w:pgSz w:w="11910" w:h="16840"/>
      <w:pgMar w:top="1380" w:right="920" w:bottom="280" w:left="9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auto"/>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B5CCD">
    <w:pPr>
      <w:pStyle w:val="16"/>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A996">
    <w:pPr>
      <w:pStyle w:val="16"/>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3668395</wp:posOffset>
              </wp:positionH>
              <wp:positionV relativeFrom="page">
                <wp:posOffset>9772015</wp:posOffset>
              </wp:positionV>
              <wp:extent cx="222250" cy="152400"/>
              <wp:effectExtent l="0" t="0" r="0" b="0"/>
              <wp:wrapNone/>
              <wp:docPr id="10" name="文本框 15"/>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14:paraId="64F1BCF1">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114</w:t>
                          </w:r>
                          <w:r>
                            <w:fldChar w:fldCharType="end"/>
                          </w:r>
                        </w:p>
                      </w:txbxContent>
                    </wps:txbx>
                    <wps:bodyPr lIns="0" tIns="0" rIns="0" bIns="0" upright="1"/>
                  </wps:wsp>
                </a:graphicData>
              </a:graphic>
            </wp:anchor>
          </w:drawing>
        </mc:Choice>
        <mc:Fallback>
          <w:pict>
            <v:shape id="文本框 15" o:spid="_x0000_s1026" o:spt="202" type="#_x0000_t202" style="position:absolute;left:0pt;margin-left:288.85pt;margin-top:769.45pt;height:12pt;width:17.5pt;mso-position-horizontal-relative:page;mso-position-vertical-relative:page;z-index:-251650048;mso-width-relative:page;mso-height-relative:page;" filled="f" stroked="f" coordsize="21600,21600" o:gfxdata="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t3LWNsAAAANAQAADwAAAAAAAAABACAAAAAiAAAAZHJzL2Rvd25yZXYueG1sUEsB&#10;AhQAFAAAAAgAh07iQMIyd5G5AQAAcwMAAA4AAAAAAAAAAQAgAAAAKgEAAGRycy9lMm9Eb2MueG1s&#10;UEsFBgAAAAAGAAYAWQEAAFUFAAAAAA==&#10;">
              <v:fill on="f" focussize="0,0"/>
              <v:stroke on="f"/>
              <v:imagedata o:title=""/>
              <o:lock v:ext="edit" aspectratio="f"/>
              <v:textbox inset="0mm,0mm,0mm,0mm">
                <w:txbxContent>
                  <w:p w14:paraId="64F1BCF1">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0AB6D">
    <w:pPr>
      <w:pStyle w:val="16"/>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3697605</wp:posOffset>
              </wp:positionH>
              <wp:positionV relativeFrom="page">
                <wp:posOffset>9924415</wp:posOffset>
              </wp:positionV>
              <wp:extent cx="166370" cy="152400"/>
              <wp:effectExtent l="0" t="0" r="0" b="0"/>
              <wp:wrapNone/>
              <wp:docPr id="11" name="文本框 2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6678936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15</w:t>
                          </w:r>
                          <w:r>
                            <w:fldChar w:fldCharType="end"/>
                          </w:r>
                        </w:p>
                      </w:txbxContent>
                    </wps:txbx>
                    <wps:bodyPr lIns="0" tIns="0" rIns="0" bIns="0" upright="1"/>
                  </wps:wsp>
                </a:graphicData>
              </a:graphic>
            </wp:anchor>
          </w:drawing>
        </mc:Choice>
        <mc:Fallback>
          <w:pict>
            <v:shape id="文本框 24" o:spid="_x0000_s1026" o:spt="202" type="#_x0000_t202" style="position:absolute;left:0pt;margin-left:291.15pt;margin-top:781.45pt;height:12pt;width:13.1pt;mso-position-horizontal-relative:page;mso-position-vertical-relative:page;z-index:-251648000;mso-width-relative:page;mso-height-relative:page;" filled="f" stroked="f" coordsize="21600,21600" o:gfxdata="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mYDU/aAAAADQEAAA8AAAAAAAAAAQAgAAAAIgAAAGRycy9kb3ducmV2LnhtbFBL&#10;AQIUABQAAAAIAIdO4kA1i8L2uwEAAHMDAAAOAAAAAAAAAAEAIAAAACkBAABkcnMvZTJvRG9jLnht&#10;bFBLBQYAAAAABgAGAFkBAABWBQAAAAA=&#10;">
              <v:fill on="f" focussize="0,0"/>
              <v:stroke on="f"/>
              <v:imagedata o:title=""/>
              <o:lock v:ext="edit" aspectratio="f"/>
              <v:textbox inset="0mm,0mm,0mm,0mm">
                <w:txbxContent>
                  <w:p w14:paraId="6678936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D4891">
    <w:pPr>
      <w:pStyle w:val="1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9924415</wp:posOffset>
              </wp:positionV>
              <wp:extent cx="16637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5E9A012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45pt;height:12pt;width:13.1pt;mso-position-horizontal-relative:page;mso-position-vertical-relative:page;z-index:-251657216;mso-width-relative:page;mso-height-relative:page;" filled="f" stroked="f" coordsize="21600,21600" o:gfxdata="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ZgNT9oAAAANAQAADwAAAAAAAAABACAAAAAiAAAAZHJzL2Rvd25yZXYueG1sUEsB&#10;AhQAFAAAAAgAh07iQFv0DZq6AQAAcQMAAA4AAAAAAAAAAQAgAAAAKQEAAGRycy9lMm9Eb2MueG1s&#10;UEsFBgAAAAAGAAYAWQEAAFUFAAAAAA==&#10;">
              <v:fill on="f" focussize="0,0"/>
              <v:stroke on="f"/>
              <v:imagedata o:title=""/>
              <o:lock v:ext="edit" aspectratio="f"/>
              <v:textbox inset="0mm,0mm,0mm,0mm">
                <w:txbxContent>
                  <w:p w14:paraId="5E9A012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C8682">
    <w:pPr>
      <w:pStyle w:val="16"/>
      <w:spacing w:line="14" w:lineRule="auto"/>
      <w:rPr>
        <w:sz w:val="12"/>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9924415</wp:posOffset>
              </wp:positionV>
              <wp:extent cx="172085" cy="152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72085" cy="152400"/>
                      </a:xfrm>
                      <a:prstGeom prst="rect">
                        <a:avLst/>
                      </a:prstGeom>
                      <a:noFill/>
                      <a:ln>
                        <a:noFill/>
                      </a:ln>
                    </wps:spPr>
                    <wps:txbx>
                      <w:txbxContent>
                        <w:p w14:paraId="6FBDD51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45pt;height:12pt;width:13.55pt;mso-position-horizontal-relative:page;mso-position-vertical-relative:page;z-index:-251656192;mso-width-relative:page;mso-height-relative:page;" filled="f" stroked="f" coordsize="21600,21600" o:gfxdata="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aJqENsAAAANAQAADwAAAAAAAAABACAAAAAiAAAAZHJzL2Rvd25yZXYueG1sUEsB&#10;AhQAFAAAAAgAh07iQFfickC5AQAAcQMAAA4AAAAAAAAAAQAgAAAAKgEAAGRycy9lMm9Eb2MueG1s&#10;UEsFBgAAAAAGAAYAWQEAAFUFAAAAAA==&#10;">
              <v:fill on="f" focussize="0,0"/>
              <v:stroke on="f"/>
              <v:imagedata o:title=""/>
              <o:lock v:ext="edit" aspectratio="f"/>
              <v:textbox inset="0mm,0mm,0mm,0mm">
                <w:txbxContent>
                  <w:p w14:paraId="6FBDD51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5276114"/>
    </w:sdtPr>
    <w:sdtContent>
      <w:p w14:paraId="12AD252E">
        <w:pPr>
          <w:pStyle w:val="25"/>
          <w:jc w:val="center"/>
        </w:pPr>
        <w:r>
          <w:rPr>
            <w:lang w:val="en-US"/>
          </w:rPr>
          <w:fldChar w:fldCharType="begin"/>
        </w:r>
        <w:r>
          <w:instrText xml:space="preserve">PAGE   \* MERGEFORMAT</w:instrText>
        </w:r>
        <w:r>
          <w:rPr>
            <w:lang w:val="en-US"/>
          </w:rPr>
          <w:fldChar w:fldCharType="separate"/>
        </w:r>
        <w:r>
          <w:t>86</w:t>
        </w:r>
        <w:r>
          <w:fldChar w:fldCharType="end"/>
        </w:r>
      </w:p>
    </w:sdtContent>
  </w:sdt>
  <w:p w14:paraId="3A00B27C">
    <w:pPr>
      <w:pStyle w:val="25"/>
    </w:pPr>
  </w:p>
  <w:p w14:paraId="69DBABC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DD86B">
    <w:pPr>
      <w:pStyle w:val="1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9772015</wp:posOffset>
              </wp:positionV>
              <wp:extent cx="166370" cy="1524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412ACA7C">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90</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91.15pt;margin-top:769.45pt;height:12pt;width:13.1pt;mso-position-horizontal-relative:page;mso-position-vertical-relative:page;z-index:-251654144;mso-width-relative:page;mso-height-relative:page;" filled="f" stroked="f" coordsize="21600,21600" o:gfxdata="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e4jKdoAAAANAQAADwAAAAAAAAABACAAAAAiAAAAZHJzL2Rvd25yZXYueG1sUEsB&#10;AhQAFAAAAAgAh07iQONyktm6AQAAcgMAAA4AAAAAAAAAAQAgAAAAKQEAAGRycy9lMm9Eb2MueG1s&#10;UEsFBgAAAAAGAAYAWQEAAFUFAAAAAA==&#10;">
              <v:fill on="f" focussize="0,0"/>
              <v:stroke on="f"/>
              <v:imagedata o:title=""/>
              <o:lock v:ext="edit" aspectratio="f"/>
              <v:textbox inset="0mm,0mm,0mm,0mm">
                <w:txbxContent>
                  <w:p w14:paraId="412ACA7C">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AFAFE">
    <w:pPr>
      <w:pStyle w:val="16"/>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3697605</wp:posOffset>
              </wp:positionH>
              <wp:positionV relativeFrom="page">
                <wp:posOffset>9772015</wp:posOffset>
              </wp:positionV>
              <wp:extent cx="166370" cy="1524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3535F4F1">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90</w:t>
                          </w:r>
                          <w:r>
                            <w:fldChar w:fldCharType="end"/>
                          </w:r>
                        </w:p>
                      </w:txbxContent>
                    </wps:txbx>
                    <wps:bodyPr lIns="0" tIns="0" rIns="0" bIns="0" upright="1"/>
                  </wps:wsp>
                </a:graphicData>
              </a:graphic>
            </wp:anchor>
          </w:drawing>
        </mc:Choice>
        <mc:Fallback>
          <w:pict>
            <v:shape id="文本框 12" o:spid="_x0000_s1026" o:spt="202" type="#_x0000_t202" style="position:absolute;left:0pt;margin-left:291.15pt;margin-top:769.45pt;height:12pt;width:13.1pt;mso-position-horizontal-relative:page;mso-position-vertical-relative:page;z-index:-251653120;mso-width-relative:page;mso-height-relative:page;" filled="f" stroked="f" coordsize="21600,21600" o:gfxdata="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HuIynaAAAADQEAAA8AAAAAAAAAAQAgAAAAIgAAAGRycy9kb3ducmV2LnhtbFBL&#10;AQIUABQAAAAIAIdO4kD6Y/ikuwEAAHIDAAAOAAAAAAAAAAEAIAAAACkBAABkcnMvZTJvRG9jLnht&#10;bFBLBQYAAAAABgAGAFkBAABWBQAAAAA=&#10;">
              <v:fill on="f" focussize="0,0"/>
              <v:stroke on="f"/>
              <v:imagedata o:title=""/>
              <o:lock v:ext="edit" aspectratio="f"/>
              <v:textbox inset="0mm,0mm,0mm,0mm">
                <w:txbxContent>
                  <w:p w14:paraId="3535F4F1">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ADA5E">
    <w:pPr>
      <w:pStyle w:val="16"/>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3697605</wp:posOffset>
              </wp:positionH>
              <wp:positionV relativeFrom="page">
                <wp:posOffset>9772015</wp:posOffset>
              </wp:positionV>
              <wp:extent cx="166370" cy="1524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4C2D68EC">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94</w:t>
                          </w:r>
                          <w:r>
                            <w:fldChar w:fldCharType="end"/>
                          </w:r>
                        </w:p>
                      </w:txbxContent>
                    </wps:txbx>
                    <wps:bodyPr lIns="0" tIns="0" rIns="0" bIns="0" upright="1"/>
                  </wps:wsp>
                </a:graphicData>
              </a:graphic>
            </wp:anchor>
          </w:drawing>
        </mc:Choice>
        <mc:Fallback>
          <w:pict>
            <v:shape id="文本框 13" o:spid="_x0000_s1026" o:spt="202" type="#_x0000_t202" style="position:absolute;left:0pt;margin-left:291.15pt;margin-top:769.45pt;height:12pt;width:13.1pt;mso-position-horizontal-relative:page;mso-position-vertical-relative:page;z-index:-251652096;mso-width-relative:page;mso-height-relative:page;" filled="f" stroked="f" coordsize="21600,21600" o:gfxdata="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HuIynaAAAADQEAAA8AAAAAAAAAAQAgAAAAIgAAAGRycy9kb3ducmV2LnhtbFBL&#10;AQIUABQAAAAIAIdO4kCZ69l6uwEAAHIDAAAOAAAAAAAAAAEAIAAAACkBAABkcnMvZTJvRG9jLnht&#10;bFBLBQYAAAAABgAGAFkBAABWBQAAAAA=&#10;">
              <v:fill on="f" focussize="0,0"/>
              <v:stroke on="f"/>
              <v:imagedata o:title=""/>
              <o:lock v:ext="edit" aspectratio="f"/>
              <v:textbox inset="0mm,0mm,0mm,0mm">
                <w:txbxContent>
                  <w:p w14:paraId="4C2D68EC">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8BFC">
    <w:pPr>
      <w:pStyle w:val="16"/>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3668395</wp:posOffset>
              </wp:positionH>
              <wp:positionV relativeFrom="page">
                <wp:posOffset>9772015</wp:posOffset>
              </wp:positionV>
              <wp:extent cx="222250" cy="152400"/>
              <wp:effectExtent l="0" t="0" r="0" b="0"/>
              <wp:wrapNone/>
              <wp:docPr id="9" name="文本框 14"/>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14:paraId="4843F4E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113</w:t>
                          </w:r>
                          <w:r>
                            <w:fldChar w:fldCharType="end"/>
                          </w:r>
                        </w:p>
                      </w:txbxContent>
                    </wps:txbx>
                    <wps:bodyPr lIns="0" tIns="0" rIns="0" bIns="0" upright="1"/>
                  </wps:wsp>
                </a:graphicData>
              </a:graphic>
            </wp:anchor>
          </w:drawing>
        </mc:Choice>
        <mc:Fallback>
          <w:pict>
            <v:shape id="文本框 14" o:spid="_x0000_s1026" o:spt="202" type="#_x0000_t202" style="position:absolute;left:0pt;margin-left:288.85pt;margin-top:769.45pt;height:12pt;width:17.5pt;mso-position-horizontal-relative:page;mso-position-vertical-relative:page;z-index:-251651072;mso-width-relative:page;mso-height-relative:page;" filled="f" stroked="f" coordsize="21600,21600" o:gfxdata="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7dy1jbAAAADQEAAA8AAAAAAAAAAQAgAAAAIgAAAGRycy9kb3ducmV2LnhtbFBL&#10;AQIUABQAAAAIAIdO4kCQTcHhugEAAHIDAAAOAAAAAAAAAAEAIAAAACoBAABkcnMvZTJvRG9jLnht&#10;bFBLBQYAAAAABgAGAFkBAABWBQAAAAA=&#10;">
              <v:fill on="f" focussize="0,0"/>
              <v:stroke on="f"/>
              <v:imagedata o:title=""/>
              <o:lock v:ext="edit" aspectratio="f"/>
              <v:textbox inset="0mm,0mm,0mm,0mm">
                <w:txbxContent>
                  <w:p w14:paraId="4843F4E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91B76">
    <w:pPr>
      <w:pStyle w:val="26"/>
      <w:pBdr>
        <w:bottom w:val="none" w:color="auto" w:sz="0" w:space="0"/>
      </w:pBdr>
    </w:pPr>
  </w:p>
  <w:p w14:paraId="0AC118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3"/>
      <w:numFmt w:val="decimal"/>
      <w:lvlText w:val="（%1）"/>
      <w:lvlJc w:val="left"/>
      <w:pPr>
        <w:ind w:left="106" w:hanging="604"/>
      </w:pPr>
      <w:rPr>
        <w:rFonts w:hint="default" w:ascii="宋体" w:hAnsi="宋体" w:eastAsia="宋体" w:cs="宋体"/>
        <w:w w:val="100"/>
        <w:sz w:val="22"/>
        <w:szCs w:val="22"/>
        <w:lang w:val="zh-CN" w:eastAsia="zh-CN" w:bidi="zh-CN"/>
      </w:rPr>
    </w:lvl>
    <w:lvl w:ilvl="1" w:tentative="0">
      <w:start w:val="0"/>
      <w:numFmt w:val="bullet"/>
      <w:lvlText w:val="•"/>
      <w:lvlJc w:val="left"/>
      <w:pPr>
        <w:ind w:left="796" w:hanging="604"/>
      </w:pPr>
      <w:rPr>
        <w:rFonts w:hint="default"/>
        <w:lang w:val="zh-CN" w:eastAsia="zh-CN" w:bidi="zh-CN"/>
      </w:rPr>
    </w:lvl>
    <w:lvl w:ilvl="2" w:tentative="0">
      <w:start w:val="0"/>
      <w:numFmt w:val="bullet"/>
      <w:lvlText w:val="•"/>
      <w:lvlJc w:val="left"/>
      <w:pPr>
        <w:ind w:left="1493" w:hanging="604"/>
      </w:pPr>
      <w:rPr>
        <w:rFonts w:hint="default"/>
        <w:lang w:val="zh-CN" w:eastAsia="zh-CN" w:bidi="zh-CN"/>
      </w:rPr>
    </w:lvl>
    <w:lvl w:ilvl="3" w:tentative="0">
      <w:start w:val="0"/>
      <w:numFmt w:val="bullet"/>
      <w:lvlText w:val="•"/>
      <w:lvlJc w:val="left"/>
      <w:pPr>
        <w:ind w:left="2189" w:hanging="604"/>
      </w:pPr>
      <w:rPr>
        <w:rFonts w:hint="default"/>
        <w:lang w:val="zh-CN" w:eastAsia="zh-CN" w:bidi="zh-CN"/>
      </w:rPr>
    </w:lvl>
    <w:lvl w:ilvl="4" w:tentative="0">
      <w:start w:val="0"/>
      <w:numFmt w:val="bullet"/>
      <w:lvlText w:val="•"/>
      <w:lvlJc w:val="left"/>
      <w:pPr>
        <w:ind w:left="2886" w:hanging="604"/>
      </w:pPr>
      <w:rPr>
        <w:rFonts w:hint="default"/>
        <w:lang w:val="zh-CN" w:eastAsia="zh-CN" w:bidi="zh-CN"/>
      </w:rPr>
    </w:lvl>
    <w:lvl w:ilvl="5" w:tentative="0">
      <w:start w:val="0"/>
      <w:numFmt w:val="bullet"/>
      <w:lvlText w:val="•"/>
      <w:lvlJc w:val="left"/>
      <w:pPr>
        <w:ind w:left="3583" w:hanging="604"/>
      </w:pPr>
      <w:rPr>
        <w:rFonts w:hint="default"/>
        <w:lang w:val="zh-CN" w:eastAsia="zh-CN" w:bidi="zh-CN"/>
      </w:rPr>
    </w:lvl>
    <w:lvl w:ilvl="6" w:tentative="0">
      <w:start w:val="0"/>
      <w:numFmt w:val="bullet"/>
      <w:lvlText w:val="•"/>
      <w:lvlJc w:val="left"/>
      <w:pPr>
        <w:ind w:left="4279" w:hanging="604"/>
      </w:pPr>
      <w:rPr>
        <w:rFonts w:hint="default"/>
        <w:lang w:val="zh-CN" w:eastAsia="zh-CN" w:bidi="zh-CN"/>
      </w:rPr>
    </w:lvl>
    <w:lvl w:ilvl="7" w:tentative="0">
      <w:start w:val="0"/>
      <w:numFmt w:val="bullet"/>
      <w:lvlText w:val="•"/>
      <w:lvlJc w:val="left"/>
      <w:pPr>
        <w:ind w:left="4976" w:hanging="604"/>
      </w:pPr>
      <w:rPr>
        <w:rFonts w:hint="default"/>
        <w:lang w:val="zh-CN" w:eastAsia="zh-CN" w:bidi="zh-CN"/>
      </w:rPr>
    </w:lvl>
    <w:lvl w:ilvl="8" w:tentative="0">
      <w:start w:val="0"/>
      <w:numFmt w:val="bullet"/>
      <w:lvlText w:val="•"/>
      <w:lvlJc w:val="left"/>
      <w:pPr>
        <w:ind w:left="5672" w:hanging="604"/>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673" w:hanging="601"/>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704" w:hanging="601"/>
      </w:pPr>
      <w:rPr>
        <w:rFonts w:hint="default"/>
        <w:lang w:val="zh-CN" w:eastAsia="zh-CN" w:bidi="zh-CN"/>
      </w:rPr>
    </w:lvl>
    <w:lvl w:ilvl="2" w:tentative="0">
      <w:start w:val="0"/>
      <w:numFmt w:val="bullet"/>
      <w:lvlText w:val="•"/>
      <w:lvlJc w:val="left"/>
      <w:pPr>
        <w:ind w:left="2729" w:hanging="601"/>
      </w:pPr>
      <w:rPr>
        <w:rFonts w:hint="default"/>
        <w:lang w:val="zh-CN" w:eastAsia="zh-CN" w:bidi="zh-CN"/>
      </w:rPr>
    </w:lvl>
    <w:lvl w:ilvl="3" w:tentative="0">
      <w:start w:val="0"/>
      <w:numFmt w:val="bullet"/>
      <w:lvlText w:val="•"/>
      <w:lvlJc w:val="left"/>
      <w:pPr>
        <w:ind w:left="375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827" w:hanging="601"/>
      </w:pPr>
      <w:rPr>
        <w:rFonts w:hint="default"/>
        <w:lang w:val="zh-CN" w:eastAsia="zh-CN" w:bidi="zh-CN"/>
      </w:rPr>
    </w:lvl>
    <w:lvl w:ilvl="7" w:tentative="0">
      <w:start w:val="0"/>
      <w:numFmt w:val="bullet"/>
      <w:lvlText w:val="•"/>
      <w:lvlJc w:val="left"/>
      <w:pPr>
        <w:ind w:left="7852" w:hanging="601"/>
      </w:pPr>
      <w:rPr>
        <w:rFonts w:hint="default"/>
        <w:lang w:val="zh-CN" w:eastAsia="zh-CN" w:bidi="zh-CN"/>
      </w:rPr>
    </w:lvl>
    <w:lvl w:ilvl="8" w:tentative="0">
      <w:start w:val="0"/>
      <w:numFmt w:val="bullet"/>
      <w:lvlText w:val="•"/>
      <w:lvlJc w:val="left"/>
      <w:pPr>
        <w:ind w:left="8876" w:hanging="601"/>
      </w:pPr>
      <w:rPr>
        <w:rFonts w:hint="default"/>
        <w:lang w:val="zh-CN" w:eastAsia="zh-CN" w:bidi="zh-CN"/>
      </w:rPr>
    </w:lvl>
  </w:abstractNum>
  <w:abstractNum w:abstractNumId="2">
    <w:nsid w:val="9239341B"/>
    <w:multiLevelType w:val="multilevel"/>
    <w:tmpl w:val="9239341B"/>
    <w:lvl w:ilvl="0" w:tentative="0">
      <w:start w:val="1"/>
      <w:numFmt w:val="decimal"/>
      <w:lvlText w:val="（%1）"/>
      <w:lvlJc w:val="left"/>
      <w:pPr>
        <w:ind w:left="1814"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730" w:hanging="601"/>
      </w:pPr>
      <w:rPr>
        <w:rFonts w:hint="default"/>
        <w:lang w:val="zh-CN" w:eastAsia="zh-CN" w:bidi="zh-CN"/>
      </w:rPr>
    </w:lvl>
    <w:lvl w:ilvl="2" w:tentative="0">
      <w:start w:val="0"/>
      <w:numFmt w:val="bullet"/>
      <w:lvlText w:val="•"/>
      <w:lvlJc w:val="left"/>
      <w:pPr>
        <w:ind w:left="3641" w:hanging="601"/>
      </w:pPr>
      <w:rPr>
        <w:rFonts w:hint="default"/>
        <w:lang w:val="zh-CN" w:eastAsia="zh-CN" w:bidi="zh-CN"/>
      </w:rPr>
    </w:lvl>
    <w:lvl w:ilvl="3" w:tentative="0">
      <w:start w:val="0"/>
      <w:numFmt w:val="bullet"/>
      <w:lvlText w:val="•"/>
      <w:lvlJc w:val="left"/>
      <w:pPr>
        <w:ind w:left="4551" w:hanging="601"/>
      </w:pPr>
      <w:rPr>
        <w:rFonts w:hint="default"/>
        <w:lang w:val="zh-CN" w:eastAsia="zh-CN" w:bidi="zh-CN"/>
      </w:rPr>
    </w:lvl>
    <w:lvl w:ilvl="4" w:tentative="0">
      <w:start w:val="0"/>
      <w:numFmt w:val="bullet"/>
      <w:lvlText w:val="•"/>
      <w:lvlJc w:val="left"/>
      <w:pPr>
        <w:ind w:left="5462" w:hanging="601"/>
      </w:pPr>
      <w:rPr>
        <w:rFonts w:hint="default"/>
        <w:lang w:val="zh-CN" w:eastAsia="zh-CN" w:bidi="zh-CN"/>
      </w:rPr>
    </w:lvl>
    <w:lvl w:ilvl="5" w:tentative="0">
      <w:start w:val="0"/>
      <w:numFmt w:val="bullet"/>
      <w:lvlText w:val="•"/>
      <w:lvlJc w:val="left"/>
      <w:pPr>
        <w:ind w:left="6373" w:hanging="601"/>
      </w:pPr>
      <w:rPr>
        <w:rFonts w:hint="default"/>
        <w:lang w:val="zh-CN" w:eastAsia="zh-CN" w:bidi="zh-CN"/>
      </w:rPr>
    </w:lvl>
    <w:lvl w:ilvl="6" w:tentative="0">
      <w:start w:val="0"/>
      <w:numFmt w:val="bullet"/>
      <w:lvlText w:val="•"/>
      <w:lvlJc w:val="left"/>
      <w:pPr>
        <w:ind w:left="7283" w:hanging="601"/>
      </w:pPr>
      <w:rPr>
        <w:rFonts w:hint="default"/>
        <w:lang w:val="zh-CN" w:eastAsia="zh-CN" w:bidi="zh-CN"/>
      </w:rPr>
    </w:lvl>
    <w:lvl w:ilvl="7" w:tentative="0">
      <w:start w:val="0"/>
      <w:numFmt w:val="bullet"/>
      <w:lvlText w:val="•"/>
      <w:lvlJc w:val="left"/>
      <w:pPr>
        <w:ind w:left="8194" w:hanging="601"/>
      </w:pPr>
      <w:rPr>
        <w:rFonts w:hint="default"/>
        <w:lang w:val="zh-CN" w:eastAsia="zh-CN" w:bidi="zh-CN"/>
      </w:rPr>
    </w:lvl>
    <w:lvl w:ilvl="8" w:tentative="0">
      <w:start w:val="0"/>
      <w:numFmt w:val="bullet"/>
      <w:lvlText w:val="•"/>
      <w:lvlJc w:val="left"/>
      <w:pPr>
        <w:ind w:left="9104" w:hanging="601"/>
      </w:pPr>
      <w:rPr>
        <w:rFonts w:hint="default"/>
        <w:lang w:val="zh-CN" w:eastAsia="zh-CN" w:bidi="zh-CN"/>
      </w:rPr>
    </w:lvl>
  </w:abstractNum>
  <w:abstractNum w:abstractNumId="3">
    <w:nsid w:val="9288B902"/>
    <w:multiLevelType w:val="multilevel"/>
    <w:tmpl w:val="9288B902"/>
    <w:lvl w:ilvl="0" w:tentative="0">
      <w:start w:val="1"/>
      <w:numFmt w:val="decimal"/>
      <w:lvlText w:val="（%1）"/>
      <w:lvlJc w:val="left"/>
      <w:pPr>
        <w:ind w:left="673" w:hanging="601"/>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704" w:hanging="601"/>
      </w:pPr>
      <w:rPr>
        <w:rFonts w:hint="default"/>
        <w:lang w:val="zh-CN" w:eastAsia="zh-CN" w:bidi="zh-CN"/>
      </w:rPr>
    </w:lvl>
    <w:lvl w:ilvl="2" w:tentative="0">
      <w:start w:val="0"/>
      <w:numFmt w:val="bullet"/>
      <w:lvlText w:val="•"/>
      <w:lvlJc w:val="left"/>
      <w:pPr>
        <w:ind w:left="2729" w:hanging="601"/>
      </w:pPr>
      <w:rPr>
        <w:rFonts w:hint="default"/>
        <w:lang w:val="zh-CN" w:eastAsia="zh-CN" w:bidi="zh-CN"/>
      </w:rPr>
    </w:lvl>
    <w:lvl w:ilvl="3" w:tentative="0">
      <w:start w:val="0"/>
      <w:numFmt w:val="bullet"/>
      <w:lvlText w:val="•"/>
      <w:lvlJc w:val="left"/>
      <w:pPr>
        <w:ind w:left="375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827" w:hanging="601"/>
      </w:pPr>
      <w:rPr>
        <w:rFonts w:hint="default"/>
        <w:lang w:val="zh-CN" w:eastAsia="zh-CN" w:bidi="zh-CN"/>
      </w:rPr>
    </w:lvl>
    <w:lvl w:ilvl="7" w:tentative="0">
      <w:start w:val="0"/>
      <w:numFmt w:val="bullet"/>
      <w:lvlText w:val="•"/>
      <w:lvlJc w:val="left"/>
      <w:pPr>
        <w:ind w:left="7852" w:hanging="601"/>
      </w:pPr>
      <w:rPr>
        <w:rFonts w:hint="default"/>
        <w:lang w:val="zh-CN" w:eastAsia="zh-CN" w:bidi="zh-CN"/>
      </w:rPr>
    </w:lvl>
    <w:lvl w:ilvl="8" w:tentative="0">
      <w:start w:val="0"/>
      <w:numFmt w:val="bullet"/>
      <w:lvlText w:val="•"/>
      <w:lvlJc w:val="left"/>
      <w:pPr>
        <w:ind w:left="8876" w:hanging="601"/>
      </w:pPr>
      <w:rPr>
        <w:rFonts w:hint="default"/>
        <w:lang w:val="zh-CN" w:eastAsia="zh-CN" w:bidi="zh-CN"/>
      </w:rPr>
    </w:lvl>
  </w:abstractNum>
  <w:abstractNum w:abstractNumId="4">
    <w:nsid w:val="9377BC45"/>
    <w:multiLevelType w:val="multilevel"/>
    <w:tmpl w:val="9377BC45"/>
    <w:lvl w:ilvl="0" w:tentative="0">
      <w:start w:val="1"/>
      <w:numFmt w:val="decimal"/>
      <w:lvlText w:val="%1."/>
      <w:lvlJc w:val="left"/>
      <w:pPr>
        <w:ind w:left="553" w:hanging="365"/>
        <w:jc w:val="righ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10" w:hanging="365"/>
      </w:pPr>
      <w:rPr>
        <w:rFonts w:hint="default"/>
        <w:lang w:val="zh-CN" w:eastAsia="zh-CN" w:bidi="zh-CN"/>
      </w:rPr>
    </w:lvl>
    <w:lvl w:ilvl="2" w:tentative="0">
      <w:start w:val="0"/>
      <w:numFmt w:val="bullet"/>
      <w:lvlText w:val="•"/>
      <w:lvlJc w:val="left"/>
      <w:pPr>
        <w:ind w:left="2461" w:hanging="365"/>
      </w:pPr>
      <w:rPr>
        <w:rFonts w:hint="default"/>
        <w:lang w:val="zh-CN" w:eastAsia="zh-CN" w:bidi="zh-CN"/>
      </w:rPr>
    </w:lvl>
    <w:lvl w:ilvl="3" w:tentative="0">
      <w:start w:val="0"/>
      <w:numFmt w:val="bullet"/>
      <w:lvlText w:val="•"/>
      <w:lvlJc w:val="left"/>
      <w:pPr>
        <w:ind w:left="3411" w:hanging="365"/>
      </w:pPr>
      <w:rPr>
        <w:rFonts w:hint="default"/>
        <w:lang w:val="zh-CN" w:eastAsia="zh-CN" w:bidi="zh-CN"/>
      </w:rPr>
    </w:lvl>
    <w:lvl w:ilvl="4" w:tentative="0">
      <w:start w:val="0"/>
      <w:numFmt w:val="bullet"/>
      <w:lvlText w:val="•"/>
      <w:lvlJc w:val="left"/>
      <w:pPr>
        <w:ind w:left="4362" w:hanging="365"/>
      </w:pPr>
      <w:rPr>
        <w:rFonts w:hint="default"/>
        <w:lang w:val="zh-CN" w:eastAsia="zh-CN" w:bidi="zh-CN"/>
      </w:rPr>
    </w:lvl>
    <w:lvl w:ilvl="5" w:tentative="0">
      <w:start w:val="0"/>
      <w:numFmt w:val="bullet"/>
      <w:lvlText w:val="•"/>
      <w:lvlJc w:val="left"/>
      <w:pPr>
        <w:ind w:left="5313" w:hanging="365"/>
      </w:pPr>
      <w:rPr>
        <w:rFonts w:hint="default"/>
        <w:lang w:val="zh-CN" w:eastAsia="zh-CN" w:bidi="zh-CN"/>
      </w:rPr>
    </w:lvl>
    <w:lvl w:ilvl="6" w:tentative="0">
      <w:start w:val="0"/>
      <w:numFmt w:val="bullet"/>
      <w:lvlText w:val="•"/>
      <w:lvlJc w:val="left"/>
      <w:pPr>
        <w:ind w:left="6263" w:hanging="365"/>
      </w:pPr>
      <w:rPr>
        <w:rFonts w:hint="default"/>
        <w:lang w:val="zh-CN" w:eastAsia="zh-CN" w:bidi="zh-CN"/>
      </w:rPr>
    </w:lvl>
    <w:lvl w:ilvl="7" w:tentative="0">
      <w:start w:val="0"/>
      <w:numFmt w:val="bullet"/>
      <w:lvlText w:val="•"/>
      <w:lvlJc w:val="left"/>
      <w:pPr>
        <w:ind w:left="7214" w:hanging="365"/>
      </w:pPr>
      <w:rPr>
        <w:rFonts w:hint="default"/>
        <w:lang w:val="zh-CN" w:eastAsia="zh-CN" w:bidi="zh-CN"/>
      </w:rPr>
    </w:lvl>
    <w:lvl w:ilvl="8" w:tentative="0">
      <w:start w:val="0"/>
      <w:numFmt w:val="bullet"/>
      <w:lvlText w:val="•"/>
      <w:lvlJc w:val="left"/>
      <w:pPr>
        <w:ind w:left="8164" w:hanging="365"/>
      </w:pPr>
      <w:rPr>
        <w:rFonts w:hint="default"/>
        <w:lang w:val="zh-CN" w:eastAsia="zh-CN" w:bidi="zh-CN"/>
      </w:rPr>
    </w:lvl>
  </w:abstractNum>
  <w:abstractNum w:abstractNumId="5">
    <w:nsid w:val="9ACF65A0"/>
    <w:multiLevelType w:val="multilevel"/>
    <w:tmpl w:val="9ACF65A0"/>
    <w:lvl w:ilvl="0" w:tentative="0">
      <w:start w:val="1"/>
      <w:numFmt w:val="decimal"/>
      <w:lvlText w:val="%1."/>
      <w:lvlJc w:val="left"/>
      <w:pPr>
        <w:ind w:left="553" w:hanging="244"/>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510" w:hanging="244"/>
      </w:pPr>
      <w:rPr>
        <w:rFonts w:hint="default"/>
        <w:lang w:val="zh-CN" w:eastAsia="zh-CN" w:bidi="zh-CN"/>
      </w:rPr>
    </w:lvl>
    <w:lvl w:ilvl="2" w:tentative="0">
      <w:start w:val="0"/>
      <w:numFmt w:val="bullet"/>
      <w:lvlText w:val="•"/>
      <w:lvlJc w:val="left"/>
      <w:pPr>
        <w:ind w:left="2461" w:hanging="244"/>
      </w:pPr>
      <w:rPr>
        <w:rFonts w:hint="default"/>
        <w:lang w:val="zh-CN" w:eastAsia="zh-CN" w:bidi="zh-CN"/>
      </w:rPr>
    </w:lvl>
    <w:lvl w:ilvl="3" w:tentative="0">
      <w:start w:val="0"/>
      <w:numFmt w:val="bullet"/>
      <w:lvlText w:val="•"/>
      <w:lvlJc w:val="left"/>
      <w:pPr>
        <w:ind w:left="3411" w:hanging="244"/>
      </w:pPr>
      <w:rPr>
        <w:rFonts w:hint="default"/>
        <w:lang w:val="zh-CN" w:eastAsia="zh-CN" w:bidi="zh-CN"/>
      </w:rPr>
    </w:lvl>
    <w:lvl w:ilvl="4" w:tentative="0">
      <w:start w:val="0"/>
      <w:numFmt w:val="bullet"/>
      <w:lvlText w:val="•"/>
      <w:lvlJc w:val="left"/>
      <w:pPr>
        <w:ind w:left="4362" w:hanging="244"/>
      </w:pPr>
      <w:rPr>
        <w:rFonts w:hint="default"/>
        <w:lang w:val="zh-CN" w:eastAsia="zh-CN" w:bidi="zh-CN"/>
      </w:rPr>
    </w:lvl>
    <w:lvl w:ilvl="5" w:tentative="0">
      <w:start w:val="0"/>
      <w:numFmt w:val="bullet"/>
      <w:lvlText w:val="•"/>
      <w:lvlJc w:val="left"/>
      <w:pPr>
        <w:ind w:left="5313" w:hanging="244"/>
      </w:pPr>
      <w:rPr>
        <w:rFonts w:hint="default"/>
        <w:lang w:val="zh-CN" w:eastAsia="zh-CN" w:bidi="zh-CN"/>
      </w:rPr>
    </w:lvl>
    <w:lvl w:ilvl="6" w:tentative="0">
      <w:start w:val="0"/>
      <w:numFmt w:val="bullet"/>
      <w:lvlText w:val="•"/>
      <w:lvlJc w:val="left"/>
      <w:pPr>
        <w:ind w:left="6263" w:hanging="244"/>
      </w:pPr>
      <w:rPr>
        <w:rFonts w:hint="default"/>
        <w:lang w:val="zh-CN" w:eastAsia="zh-CN" w:bidi="zh-CN"/>
      </w:rPr>
    </w:lvl>
    <w:lvl w:ilvl="7" w:tentative="0">
      <w:start w:val="0"/>
      <w:numFmt w:val="bullet"/>
      <w:lvlText w:val="•"/>
      <w:lvlJc w:val="left"/>
      <w:pPr>
        <w:ind w:left="7214" w:hanging="244"/>
      </w:pPr>
      <w:rPr>
        <w:rFonts w:hint="default"/>
        <w:lang w:val="zh-CN" w:eastAsia="zh-CN" w:bidi="zh-CN"/>
      </w:rPr>
    </w:lvl>
    <w:lvl w:ilvl="8" w:tentative="0">
      <w:start w:val="0"/>
      <w:numFmt w:val="bullet"/>
      <w:lvlText w:val="•"/>
      <w:lvlJc w:val="left"/>
      <w:pPr>
        <w:ind w:left="8164" w:hanging="244"/>
      </w:pPr>
      <w:rPr>
        <w:rFonts w:hint="default"/>
        <w:lang w:val="zh-CN" w:eastAsia="zh-CN" w:bidi="zh-CN"/>
      </w:rPr>
    </w:lvl>
  </w:abstractNum>
  <w:abstractNum w:abstractNumId="6">
    <w:nsid w:val="9C8AC8EF"/>
    <w:multiLevelType w:val="multilevel"/>
    <w:tmpl w:val="9C8AC8EF"/>
    <w:lvl w:ilvl="0" w:tentative="0">
      <w:start w:val="4"/>
      <w:numFmt w:val="decimal"/>
      <w:lvlText w:val="%1"/>
      <w:lvlJc w:val="left"/>
      <w:pPr>
        <w:ind w:left="1813" w:hanging="660"/>
      </w:pPr>
      <w:rPr>
        <w:rFonts w:hint="default"/>
        <w:lang w:val="zh-CN" w:eastAsia="zh-CN" w:bidi="zh-CN"/>
      </w:rPr>
    </w:lvl>
    <w:lvl w:ilvl="1" w:tentative="0">
      <w:start w:val="2"/>
      <w:numFmt w:val="decimal"/>
      <w:lvlText w:val="%1.%2"/>
      <w:lvlJc w:val="left"/>
      <w:pPr>
        <w:ind w:left="1813" w:hanging="660"/>
      </w:pPr>
      <w:rPr>
        <w:rFonts w:hint="default"/>
        <w:lang w:val="zh-CN" w:eastAsia="zh-CN" w:bidi="zh-CN"/>
      </w:rPr>
    </w:lvl>
    <w:lvl w:ilvl="2" w:tentative="0">
      <w:start w:val="3"/>
      <w:numFmt w:val="decimal"/>
      <w:lvlText w:val="%1.%2.%3"/>
      <w:lvlJc w:val="left"/>
      <w:pPr>
        <w:ind w:left="1813"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4551" w:hanging="660"/>
      </w:pPr>
      <w:rPr>
        <w:rFonts w:hint="default"/>
        <w:lang w:val="zh-CN" w:eastAsia="zh-CN" w:bidi="zh-CN"/>
      </w:rPr>
    </w:lvl>
    <w:lvl w:ilvl="4" w:tentative="0">
      <w:start w:val="0"/>
      <w:numFmt w:val="bullet"/>
      <w:lvlText w:val="•"/>
      <w:lvlJc w:val="left"/>
      <w:pPr>
        <w:ind w:left="5462" w:hanging="660"/>
      </w:pPr>
      <w:rPr>
        <w:rFonts w:hint="default"/>
        <w:lang w:val="zh-CN" w:eastAsia="zh-CN" w:bidi="zh-CN"/>
      </w:rPr>
    </w:lvl>
    <w:lvl w:ilvl="5" w:tentative="0">
      <w:start w:val="0"/>
      <w:numFmt w:val="bullet"/>
      <w:lvlText w:val="•"/>
      <w:lvlJc w:val="left"/>
      <w:pPr>
        <w:ind w:left="6373" w:hanging="660"/>
      </w:pPr>
      <w:rPr>
        <w:rFonts w:hint="default"/>
        <w:lang w:val="zh-CN" w:eastAsia="zh-CN" w:bidi="zh-CN"/>
      </w:rPr>
    </w:lvl>
    <w:lvl w:ilvl="6" w:tentative="0">
      <w:start w:val="0"/>
      <w:numFmt w:val="bullet"/>
      <w:lvlText w:val="•"/>
      <w:lvlJc w:val="left"/>
      <w:pPr>
        <w:ind w:left="7283" w:hanging="660"/>
      </w:pPr>
      <w:rPr>
        <w:rFonts w:hint="default"/>
        <w:lang w:val="zh-CN" w:eastAsia="zh-CN" w:bidi="zh-CN"/>
      </w:rPr>
    </w:lvl>
    <w:lvl w:ilvl="7" w:tentative="0">
      <w:start w:val="0"/>
      <w:numFmt w:val="bullet"/>
      <w:lvlText w:val="•"/>
      <w:lvlJc w:val="left"/>
      <w:pPr>
        <w:ind w:left="8194" w:hanging="660"/>
      </w:pPr>
      <w:rPr>
        <w:rFonts w:hint="default"/>
        <w:lang w:val="zh-CN" w:eastAsia="zh-CN" w:bidi="zh-CN"/>
      </w:rPr>
    </w:lvl>
    <w:lvl w:ilvl="8" w:tentative="0">
      <w:start w:val="0"/>
      <w:numFmt w:val="bullet"/>
      <w:lvlText w:val="•"/>
      <w:lvlJc w:val="left"/>
      <w:pPr>
        <w:ind w:left="9104" w:hanging="660"/>
      </w:pPr>
      <w:rPr>
        <w:rFonts w:hint="default"/>
        <w:lang w:val="zh-CN" w:eastAsia="zh-CN" w:bidi="zh-CN"/>
      </w:rPr>
    </w:lvl>
  </w:abstractNum>
  <w:abstractNum w:abstractNumId="7">
    <w:nsid w:val="9D5D7490"/>
    <w:multiLevelType w:val="multilevel"/>
    <w:tmpl w:val="9D5D7490"/>
    <w:lvl w:ilvl="0" w:tentative="0">
      <w:start w:val="1"/>
      <w:numFmt w:val="decimal"/>
      <w:lvlText w:val="（%1）"/>
      <w:lvlJc w:val="left"/>
      <w:pPr>
        <w:ind w:left="1154"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50" w:hanging="601"/>
      </w:pPr>
      <w:rPr>
        <w:rFonts w:hint="default"/>
        <w:lang w:val="zh-CN" w:eastAsia="zh-CN" w:bidi="zh-CN"/>
      </w:rPr>
    </w:lvl>
    <w:lvl w:ilvl="2" w:tentative="0">
      <w:start w:val="0"/>
      <w:numFmt w:val="bullet"/>
      <w:lvlText w:val="•"/>
      <w:lvlJc w:val="left"/>
      <w:pPr>
        <w:ind w:left="2941" w:hanging="601"/>
      </w:pPr>
      <w:rPr>
        <w:rFonts w:hint="default"/>
        <w:lang w:val="zh-CN" w:eastAsia="zh-CN" w:bidi="zh-CN"/>
      </w:rPr>
    </w:lvl>
    <w:lvl w:ilvl="3" w:tentative="0">
      <w:start w:val="0"/>
      <w:numFmt w:val="bullet"/>
      <w:lvlText w:val="•"/>
      <w:lvlJc w:val="left"/>
      <w:pPr>
        <w:ind w:left="3831" w:hanging="601"/>
      </w:pPr>
      <w:rPr>
        <w:rFonts w:hint="default"/>
        <w:lang w:val="zh-CN" w:eastAsia="zh-CN" w:bidi="zh-CN"/>
      </w:rPr>
    </w:lvl>
    <w:lvl w:ilvl="4" w:tentative="0">
      <w:start w:val="0"/>
      <w:numFmt w:val="bullet"/>
      <w:lvlText w:val="•"/>
      <w:lvlJc w:val="left"/>
      <w:pPr>
        <w:ind w:left="4722" w:hanging="601"/>
      </w:pPr>
      <w:rPr>
        <w:rFonts w:hint="default"/>
        <w:lang w:val="zh-CN" w:eastAsia="zh-CN" w:bidi="zh-CN"/>
      </w:rPr>
    </w:lvl>
    <w:lvl w:ilvl="5" w:tentative="0">
      <w:start w:val="0"/>
      <w:numFmt w:val="bullet"/>
      <w:lvlText w:val="•"/>
      <w:lvlJc w:val="left"/>
      <w:pPr>
        <w:ind w:left="5613" w:hanging="601"/>
      </w:pPr>
      <w:rPr>
        <w:rFonts w:hint="default"/>
        <w:lang w:val="zh-CN" w:eastAsia="zh-CN" w:bidi="zh-CN"/>
      </w:rPr>
    </w:lvl>
    <w:lvl w:ilvl="6" w:tentative="0">
      <w:start w:val="0"/>
      <w:numFmt w:val="bullet"/>
      <w:lvlText w:val="•"/>
      <w:lvlJc w:val="left"/>
      <w:pPr>
        <w:ind w:left="6503" w:hanging="601"/>
      </w:pPr>
      <w:rPr>
        <w:rFonts w:hint="default"/>
        <w:lang w:val="zh-CN" w:eastAsia="zh-CN" w:bidi="zh-CN"/>
      </w:rPr>
    </w:lvl>
    <w:lvl w:ilvl="7" w:tentative="0">
      <w:start w:val="0"/>
      <w:numFmt w:val="bullet"/>
      <w:lvlText w:val="•"/>
      <w:lvlJc w:val="left"/>
      <w:pPr>
        <w:ind w:left="7394" w:hanging="601"/>
      </w:pPr>
      <w:rPr>
        <w:rFonts w:hint="default"/>
        <w:lang w:val="zh-CN" w:eastAsia="zh-CN" w:bidi="zh-CN"/>
      </w:rPr>
    </w:lvl>
    <w:lvl w:ilvl="8" w:tentative="0">
      <w:start w:val="0"/>
      <w:numFmt w:val="bullet"/>
      <w:lvlText w:val="•"/>
      <w:lvlJc w:val="left"/>
      <w:pPr>
        <w:ind w:left="8284" w:hanging="601"/>
      </w:pPr>
      <w:rPr>
        <w:rFonts w:hint="default"/>
        <w:lang w:val="zh-CN" w:eastAsia="zh-CN" w:bidi="zh-CN"/>
      </w:rPr>
    </w:lvl>
  </w:abstractNum>
  <w:abstractNum w:abstractNumId="8">
    <w:nsid w:val="AAF3F3FA"/>
    <w:multiLevelType w:val="multilevel"/>
    <w:tmpl w:val="AAF3F3FA"/>
    <w:lvl w:ilvl="0" w:tentative="0">
      <w:start w:val="1"/>
      <w:numFmt w:val="decimal"/>
      <w:lvlText w:val="%1."/>
      <w:lvlJc w:val="left"/>
      <w:pPr>
        <w:ind w:left="794" w:hanging="241"/>
      </w:pPr>
      <w:rPr>
        <w:rFonts w:hint="default" w:ascii="宋体" w:hAnsi="宋体" w:eastAsia="宋体" w:cs="宋体"/>
        <w:spacing w:val="-1"/>
        <w:w w:val="100"/>
        <w:sz w:val="22"/>
        <w:szCs w:val="22"/>
        <w:lang w:val="zh-CN" w:eastAsia="zh-CN" w:bidi="zh-CN"/>
      </w:rPr>
    </w:lvl>
    <w:lvl w:ilvl="1" w:tentative="0">
      <w:start w:val="1"/>
      <w:numFmt w:val="decimal"/>
      <w:lvlText w:val="%2."/>
      <w:lvlJc w:val="left"/>
      <w:pPr>
        <w:ind w:left="553" w:hanging="244"/>
      </w:pPr>
      <w:rPr>
        <w:rFonts w:hint="default" w:ascii="宋体" w:hAnsi="宋体" w:eastAsia="宋体" w:cs="宋体"/>
        <w:b/>
        <w:bCs/>
        <w:spacing w:val="0"/>
        <w:w w:val="99"/>
        <w:sz w:val="22"/>
        <w:szCs w:val="22"/>
        <w:lang w:val="zh-CN" w:eastAsia="zh-CN" w:bidi="zh-CN"/>
      </w:rPr>
    </w:lvl>
    <w:lvl w:ilvl="2" w:tentative="0">
      <w:start w:val="0"/>
      <w:numFmt w:val="bullet"/>
      <w:lvlText w:val="•"/>
      <w:lvlJc w:val="left"/>
      <w:pPr>
        <w:ind w:left="1829" w:hanging="244"/>
      </w:pPr>
      <w:rPr>
        <w:rFonts w:hint="default"/>
        <w:lang w:val="zh-CN" w:eastAsia="zh-CN" w:bidi="zh-CN"/>
      </w:rPr>
    </w:lvl>
    <w:lvl w:ilvl="3" w:tentative="0">
      <w:start w:val="0"/>
      <w:numFmt w:val="bullet"/>
      <w:lvlText w:val="•"/>
      <w:lvlJc w:val="left"/>
      <w:pPr>
        <w:ind w:left="2859" w:hanging="244"/>
      </w:pPr>
      <w:rPr>
        <w:rFonts w:hint="default"/>
        <w:lang w:val="zh-CN" w:eastAsia="zh-CN" w:bidi="zh-CN"/>
      </w:rPr>
    </w:lvl>
    <w:lvl w:ilvl="4" w:tentative="0">
      <w:start w:val="0"/>
      <w:numFmt w:val="bullet"/>
      <w:lvlText w:val="•"/>
      <w:lvlJc w:val="left"/>
      <w:pPr>
        <w:ind w:left="3888" w:hanging="244"/>
      </w:pPr>
      <w:rPr>
        <w:rFonts w:hint="default"/>
        <w:lang w:val="zh-CN" w:eastAsia="zh-CN" w:bidi="zh-CN"/>
      </w:rPr>
    </w:lvl>
    <w:lvl w:ilvl="5" w:tentative="0">
      <w:start w:val="0"/>
      <w:numFmt w:val="bullet"/>
      <w:lvlText w:val="•"/>
      <w:lvlJc w:val="left"/>
      <w:pPr>
        <w:ind w:left="4918" w:hanging="244"/>
      </w:pPr>
      <w:rPr>
        <w:rFonts w:hint="default"/>
        <w:lang w:val="zh-CN" w:eastAsia="zh-CN" w:bidi="zh-CN"/>
      </w:rPr>
    </w:lvl>
    <w:lvl w:ilvl="6" w:tentative="0">
      <w:start w:val="0"/>
      <w:numFmt w:val="bullet"/>
      <w:lvlText w:val="•"/>
      <w:lvlJc w:val="left"/>
      <w:pPr>
        <w:ind w:left="5947" w:hanging="244"/>
      </w:pPr>
      <w:rPr>
        <w:rFonts w:hint="default"/>
        <w:lang w:val="zh-CN" w:eastAsia="zh-CN" w:bidi="zh-CN"/>
      </w:rPr>
    </w:lvl>
    <w:lvl w:ilvl="7" w:tentative="0">
      <w:start w:val="0"/>
      <w:numFmt w:val="bullet"/>
      <w:lvlText w:val="•"/>
      <w:lvlJc w:val="left"/>
      <w:pPr>
        <w:ind w:left="6977" w:hanging="244"/>
      </w:pPr>
      <w:rPr>
        <w:rFonts w:hint="default"/>
        <w:lang w:val="zh-CN" w:eastAsia="zh-CN" w:bidi="zh-CN"/>
      </w:rPr>
    </w:lvl>
    <w:lvl w:ilvl="8" w:tentative="0">
      <w:start w:val="0"/>
      <w:numFmt w:val="bullet"/>
      <w:lvlText w:val="•"/>
      <w:lvlJc w:val="left"/>
      <w:pPr>
        <w:ind w:left="8006" w:hanging="244"/>
      </w:pPr>
      <w:rPr>
        <w:rFonts w:hint="default"/>
        <w:lang w:val="zh-CN" w:eastAsia="zh-CN" w:bidi="zh-CN"/>
      </w:rPr>
    </w:lvl>
  </w:abstractNum>
  <w:abstractNum w:abstractNumId="9">
    <w:nsid w:val="B0F1ACD9"/>
    <w:multiLevelType w:val="multilevel"/>
    <w:tmpl w:val="B0F1ACD9"/>
    <w:lvl w:ilvl="0" w:tentative="0">
      <w:start w:val="1"/>
      <w:numFmt w:val="decimal"/>
      <w:lvlText w:val="（%1）"/>
      <w:lvlJc w:val="left"/>
      <w:pPr>
        <w:ind w:left="1754"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676" w:hanging="601"/>
      </w:pPr>
      <w:rPr>
        <w:rFonts w:hint="default"/>
        <w:lang w:val="zh-CN" w:eastAsia="zh-CN" w:bidi="zh-CN"/>
      </w:rPr>
    </w:lvl>
    <w:lvl w:ilvl="2" w:tentative="0">
      <w:start w:val="0"/>
      <w:numFmt w:val="bullet"/>
      <w:lvlText w:val="•"/>
      <w:lvlJc w:val="left"/>
      <w:pPr>
        <w:ind w:left="3593" w:hanging="601"/>
      </w:pPr>
      <w:rPr>
        <w:rFonts w:hint="default"/>
        <w:lang w:val="zh-CN" w:eastAsia="zh-CN" w:bidi="zh-CN"/>
      </w:rPr>
    </w:lvl>
    <w:lvl w:ilvl="3" w:tentative="0">
      <w:start w:val="0"/>
      <w:numFmt w:val="bullet"/>
      <w:lvlText w:val="•"/>
      <w:lvlJc w:val="left"/>
      <w:pPr>
        <w:ind w:left="4509" w:hanging="601"/>
      </w:pPr>
      <w:rPr>
        <w:rFonts w:hint="default"/>
        <w:lang w:val="zh-CN" w:eastAsia="zh-CN" w:bidi="zh-CN"/>
      </w:rPr>
    </w:lvl>
    <w:lvl w:ilvl="4" w:tentative="0">
      <w:start w:val="0"/>
      <w:numFmt w:val="bullet"/>
      <w:lvlText w:val="•"/>
      <w:lvlJc w:val="left"/>
      <w:pPr>
        <w:ind w:left="5426" w:hanging="601"/>
      </w:pPr>
      <w:rPr>
        <w:rFonts w:hint="default"/>
        <w:lang w:val="zh-CN" w:eastAsia="zh-CN" w:bidi="zh-CN"/>
      </w:rPr>
    </w:lvl>
    <w:lvl w:ilvl="5" w:tentative="0">
      <w:start w:val="0"/>
      <w:numFmt w:val="bullet"/>
      <w:lvlText w:val="•"/>
      <w:lvlJc w:val="left"/>
      <w:pPr>
        <w:ind w:left="6343" w:hanging="601"/>
      </w:pPr>
      <w:rPr>
        <w:rFonts w:hint="default"/>
        <w:lang w:val="zh-CN" w:eastAsia="zh-CN" w:bidi="zh-CN"/>
      </w:rPr>
    </w:lvl>
    <w:lvl w:ilvl="6" w:tentative="0">
      <w:start w:val="0"/>
      <w:numFmt w:val="bullet"/>
      <w:lvlText w:val="•"/>
      <w:lvlJc w:val="left"/>
      <w:pPr>
        <w:ind w:left="7259" w:hanging="601"/>
      </w:pPr>
      <w:rPr>
        <w:rFonts w:hint="default"/>
        <w:lang w:val="zh-CN" w:eastAsia="zh-CN" w:bidi="zh-CN"/>
      </w:rPr>
    </w:lvl>
    <w:lvl w:ilvl="7" w:tentative="0">
      <w:start w:val="0"/>
      <w:numFmt w:val="bullet"/>
      <w:lvlText w:val="•"/>
      <w:lvlJc w:val="left"/>
      <w:pPr>
        <w:ind w:left="8176" w:hanging="601"/>
      </w:pPr>
      <w:rPr>
        <w:rFonts w:hint="default"/>
        <w:lang w:val="zh-CN" w:eastAsia="zh-CN" w:bidi="zh-CN"/>
      </w:rPr>
    </w:lvl>
    <w:lvl w:ilvl="8" w:tentative="0">
      <w:start w:val="0"/>
      <w:numFmt w:val="bullet"/>
      <w:lvlText w:val="•"/>
      <w:lvlJc w:val="left"/>
      <w:pPr>
        <w:ind w:left="9092" w:hanging="601"/>
      </w:pPr>
      <w:rPr>
        <w:rFonts w:hint="default"/>
        <w:lang w:val="zh-CN" w:eastAsia="zh-CN" w:bidi="zh-CN"/>
      </w:rPr>
    </w:lvl>
  </w:abstractNum>
  <w:abstractNum w:abstractNumId="10">
    <w:nsid w:val="BB64CFA9"/>
    <w:multiLevelType w:val="multilevel"/>
    <w:tmpl w:val="BB64CFA9"/>
    <w:lvl w:ilvl="0" w:tentative="0">
      <w:start w:val="3"/>
      <w:numFmt w:val="decimal"/>
      <w:lvlText w:val="%1"/>
      <w:lvlJc w:val="left"/>
      <w:pPr>
        <w:ind w:left="858" w:hanging="660"/>
      </w:pPr>
      <w:rPr>
        <w:rFonts w:hint="default"/>
        <w:lang w:val="zh-CN" w:eastAsia="zh-CN" w:bidi="zh-CN"/>
      </w:rPr>
    </w:lvl>
    <w:lvl w:ilvl="1" w:tentative="0">
      <w:start w:val="2"/>
      <w:numFmt w:val="decimal"/>
      <w:lvlText w:val="%1.%2"/>
      <w:lvlJc w:val="left"/>
      <w:pPr>
        <w:ind w:left="858" w:hanging="660"/>
      </w:pPr>
      <w:rPr>
        <w:rFonts w:hint="default"/>
        <w:lang w:val="zh-CN" w:eastAsia="zh-CN" w:bidi="zh-CN"/>
      </w:rPr>
    </w:lvl>
    <w:lvl w:ilvl="2" w:tentative="0">
      <w:start w:val="2"/>
      <w:numFmt w:val="decimal"/>
      <w:lvlText w:val="%1.%2.%3"/>
      <w:lvlJc w:val="left"/>
      <w:pPr>
        <w:ind w:left="858" w:hanging="660"/>
        <w:jc w:val="right"/>
      </w:pPr>
      <w:rPr>
        <w:rFonts w:hint="default" w:ascii="宋体" w:hAnsi="宋体" w:eastAsia="宋体" w:cs="宋体"/>
        <w:w w:val="100"/>
        <w:sz w:val="24"/>
        <w:szCs w:val="24"/>
        <w:lang w:val="zh-CN" w:eastAsia="zh-CN" w:bidi="zh-CN"/>
      </w:rPr>
    </w:lvl>
    <w:lvl w:ilvl="3" w:tentative="0">
      <w:start w:val="0"/>
      <w:numFmt w:val="bullet"/>
      <w:lvlText w:val="•"/>
      <w:lvlJc w:val="left"/>
      <w:pPr>
        <w:ind w:left="3879" w:hanging="660"/>
      </w:pPr>
      <w:rPr>
        <w:rFonts w:hint="default"/>
        <w:lang w:val="zh-CN" w:eastAsia="zh-CN" w:bidi="zh-CN"/>
      </w:rPr>
    </w:lvl>
    <w:lvl w:ilvl="4" w:tentative="0">
      <w:start w:val="0"/>
      <w:numFmt w:val="bullet"/>
      <w:lvlText w:val="•"/>
      <w:lvlJc w:val="left"/>
      <w:pPr>
        <w:ind w:left="4886" w:hanging="660"/>
      </w:pPr>
      <w:rPr>
        <w:rFonts w:hint="default"/>
        <w:lang w:val="zh-CN" w:eastAsia="zh-CN" w:bidi="zh-CN"/>
      </w:rPr>
    </w:lvl>
    <w:lvl w:ilvl="5" w:tentative="0">
      <w:start w:val="0"/>
      <w:numFmt w:val="bullet"/>
      <w:lvlText w:val="•"/>
      <w:lvlJc w:val="left"/>
      <w:pPr>
        <w:ind w:left="5893" w:hanging="660"/>
      </w:pPr>
      <w:rPr>
        <w:rFonts w:hint="default"/>
        <w:lang w:val="zh-CN" w:eastAsia="zh-CN" w:bidi="zh-CN"/>
      </w:rPr>
    </w:lvl>
    <w:lvl w:ilvl="6" w:tentative="0">
      <w:start w:val="0"/>
      <w:numFmt w:val="bullet"/>
      <w:lvlText w:val="•"/>
      <w:lvlJc w:val="left"/>
      <w:pPr>
        <w:ind w:left="6899" w:hanging="660"/>
      </w:pPr>
      <w:rPr>
        <w:rFonts w:hint="default"/>
        <w:lang w:val="zh-CN" w:eastAsia="zh-CN" w:bidi="zh-CN"/>
      </w:rPr>
    </w:lvl>
    <w:lvl w:ilvl="7" w:tentative="0">
      <w:start w:val="0"/>
      <w:numFmt w:val="bullet"/>
      <w:lvlText w:val="•"/>
      <w:lvlJc w:val="left"/>
      <w:pPr>
        <w:ind w:left="7906" w:hanging="660"/>
      </w:pPr>
      <w:rPr>
        <w:rFonts w:hint="default"/>
        <w:lang w:val="zh-CN" w:eastAsia="zh-CN" w:bidi="zh-CN"/>
      </w:rPr>
    </w:lvl>
    <w:lvl w:ilvl="8" w:tentative="0">
      <w:start w:val="0"/>
      <w:numFmt w:val="bullet"/>
      <w:lvlText w:val="•"/>
      <w:lvlJc w:val="left"/>
      <w:pPr>
        <w:ind w:left="8912" w:hanging="660"/>
      </w:pPr>
      <w:rPr>
        <w:rFonts w:hint="default"/>
        <w:lang w:val="zh-CN" w:eastAsia="zh-CN" w:bidi="zh-CN"/>
      </w:rPr>
    </w:lvl>
  </w:abstractNum>
  <w:abstractNum w:abstractNumId="11">
    <w:nsid w:val="BE923771"/>
    <w:multiLevelType w:val="multilevel"/>
    <w:tmpl w:val="BE923771"/>
    <w:lvl w:ilvl="0" w:tentative="0">
      <w:start w:val="1"/>
      <w:numFmt w:val="decimal"/>
      <w:lvlText w:val="（%1）"/>
      <w:lvlJc w:val="left"/>
      <w:pPr>
        <w:ind w:left="673" w:hanging="601"/>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704" w:hanging="601"/>
      </w:pPr>
      <w:rPr>
        <w:rFonts w:hint="default"/>
        <w:lang w:val="zh-CN" w:eastAsia="zh-CN" w:bidi="zh-CN"/>
      </w:rPr>
    </w:lvl>
    <w:lvl w:ilvl="2" w:tentative="0">
      <w:start w:val="0"/>
      <w:numFmt w:val="bullet"/>
      <w:lvlText w:val="•"/>
      <w:lvlJc w:val="left"/>
      <w:pPr>
        <w:ind w:left="2729" w:hanging="601"/>
      </w:pPr>
      <w:rPr>
        <w:rFonts w:hint="default"/>
        <w:lang w:val="zh-CN" w:eastAsia="zh-CN" w:bidi="zh-CN"/>
      </w:rPr>
    </w:lvl>
    <w:lvl w:ilvl="3" w:tentative="0">
      <w:start w:val="0"/>
      <w:numFmt w:val="bullet"/>
      <w:lvlText w:val="•"/>
      <w:lvlJc w:val="left"/>
      <w:pPr>
        <w:ind w:left="375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827" w:hanging="601"/>
      </w:pPr>
      <w:rPr>
        <w:rFonts w:hint="default"/>
        <w:lang w:val="zh-CN" w:eastAsia="zh-CN" w:bidi="zh-CN"/>
      </w:rPr>
    </w:lvl>
    <w:lvl w:ilvl="7" w:tentative="0">
      <w:start w:val="0"/>
      <w:numFmt w:val="bullet"/>
      <w:lvlText w:val="•"/>
      <w:lvlJc w:val="left"/>
      <w:pPr>
        <w:ind w:left="7852" w:hanging="601"/>
      </w:pPr>
      <w:rPr>
        <w:rFonts w:hint="default"/>
        <w:lang w:val="zh-CN" w:eastAsia="zh-CN" w:bidi="zh-CN"/>
      </w:rPr>
    </w:lvl>
    <w:lvl w:ilvl="8" w:tentative="0">
      <w:start w:val="0"/>
      <w:numFmt w:val="bullet"/>
      <w:lvlText w:val="•"/>
      <w:lvlJc w:val="left"/>
      <w:pPr>
        <w:ind w:left="8876" w:hanging="601"/>
      </w:pPr>
      <w:rPr>
        <w:rFonts w:hint="default"/>
        <w:lang w:val="zh-CN" w:eastAsia="zh-CN" w:bidi="zh-CN"/>
      </w:rPr>
    </w:lvl>
  </w:abstractNum>
  <w:abstractNum w:abstractNumId="12">
    <w:nsid w:val="C8879AEF"/>
    <w:multiLevelType w:val="multilevel"/>
    <w:tmpl w:val="C8879AEF"/>
    <w:lvl w:ilvl="0" w:tentative="0">
      <w:start w:val="3"/>
      <w:numFmt w:val="decimal"/>
      <w:lvlText w:val="%1"/>
      <w:lvlJc w:val="left"/>
      <w:pPr>
        <w:ind w:left="1573" w:hanging="420"/>
      </w:pPr>
      <w:rPr>
        <w:rFonts w:hint="default"/>
        <w:lang w:val="zh-CN" w:eastAsia="zh-CN" w:bidi="zh-CN"/>
      </w:rPr>
    </w:lvl>
    <w:lvl w:ilvl="1" w:tentative="0">
      <w:start w:val="1"/>
      <w:numFmt w:val="decimal"/>
      <w:lvlText w:val="%1.%2"/>
      <w:lvlJc w:val="left"/>
      <w:pPr>
        <w:ind w:left="1573"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3449" w:hanging="420"/>
      </w:pPr>
      <w:rPr>
        <w:rFonts w:hint="default"/>
        <w:lang w:val="zh-CN" w:eastAsia="zh-CN" w:bidi="zh-CN"/>
      </w:rPr>
    </w:lvl>
    <w:lvl w:ilvl="3" w:tentative="0">
      <w:start w:val="0"/>
      <w:numFmt w:val="bullet"/>
      <w:lvlText w:val="•"/>
      <w:lvlJc w:val="left"/>
      <w:pPr>
        <w:ind w:left="4383" w:hanging="420"/>
      </w:pPr>
      <w:rPr>
        <w:rFonts w:hint="default"/>
        <w:lang w:val="zh-CN" w:eastAsia="zh-CN" w:bidi="zh-CN"/>
      </w:rPr>
    </w:lvl>
    <w:lvl w:ilvl="4" w:tentative="0">
      <w:start w:val="0"/>
      <w:numFmt w:val="bullet"/>
      <w:lvlText w:val="•"/>
      <w:lvlJc w:val="left"/>
      <w:pPr>
        <w:ind w:left="5318" w:hanging="420"/>
      </w:pPr>
      <w:rPr>
        <w:rFonts w:hint="default"/>
        <w:lang w:val="zh-CN" w:eastAsia="zh-CN" w:bidi="zh-CN"/>
      </w:rPr>
    </w:lvl>
    <w:lvl w:ilvl="5" w:tentative="0">
      <w:start w:val="0"/>
      <w:numFmt w:val="bullet"/>
      <w:lvlText w:val="•"/>
      <w:lvlJc w:val="left"/>
      <w:pPr>
        <w:ind w:left="6253" w:hanging="420"/>
      </w:pPr>
      <w:rPr>
        <w:rFonts w:hint="default"/>
        <w:lang w:val="zh-CN" w:eastAsia="zh-CN" w:bidi="zh-CN"/>
      </w:rPr>
    </w:lvl>
    <w:lvl w:ilvl="6" w:tentative="0">
      <w:start w:val="0"/>
      <w:numFmt w:val="bullet"/>
      <w:lvlText w:val="•"/>
      <w:lvlJc w:val="left"/>
      <w:pPr>
        <w:ind w:left="7187" w:hanging="420"/>
      </w:pPr>
      <w:rPr>
        <w:rFonts w:hint="default"/>
        <w:lang w:val="zh-CN" w:eastAsia="zh-CN" w:bidi="zh-CN"/>
      </w:rPr>
    </w:lvl>
    <w:lvl w:ilvl="7" w:tentative="0">
      <w:start w:val="0"/>
      <w:numFmt w:val="bullet"/>
      <w:lvlText w:val="•"/>
      <w:lvlJc w:val="left"/>
      <w:pPr>
        <w:ind w:left="8122" w:hanging="420"/>
      </w:pPr>
      <w:rPr>
        <w:rFonts w:hint="default"/>
        <w:lang w:val="zh-CN" w:eastAsia="zh-CN" w:bidi="zh-CN"/>
      </w:rPr>
    </w:lvl>
    <w:lvl w:ilvl="8" w:tentative="0">
      <w:start w:val="0"/>
      <w:numFmt w:val="bullet"/>
      <w:lvlText w:val="•"/>
      <w:lvlJc w:val="left"/>
      <w:pPr>
        <w:ind w:left="9056" w:hanging="420"/>
      </w:pPr>
      <w:rPr>
        <w:rFonts w:hint="default"/>
        <w:lang w:val="zh-CN" w:eastAsia="zh-CN" w:bidi="zh-CN"/>
      </w:rPr>
    </w:lvl>
  </w:abstractNum>
  <w:abstractNum w:abstractNumId="13">
    <w:nsid w:val="D7F9FE59"/>
    <w:multiLevelType w:val="multilevel"/>
    <w:tmpl w:val="D7F9FE59"/>
    <w:lvl w:ilvl="0" w:tentative="0">
      <w:start w:val="4"/>
      <w:numFmt w:val="decimal"/>
      <w:lvlText w:val="%1"/>
      <w:lvlJc w:val="left"/>
      <w:pPr>
        <w:ind w:left="1634" w:hanging="481"/>
      </w:pPr>
      <w:rPr>
        <w:rFonts w:hint="default"/>
        <w:lang w:val="zh-CN" w:eastAsia="zh-CN" w:bidi="zh-CN"/>
      </w:rPr>
    </w:lvl>
    <w:lvl w:ilvl="1" w:tentative="0">
      <w:start w:val="2"/>
      <w:numFmt w:val="decimal"/>
      <w:lvlText w:val="%1.%2."/>
      <w:lvlJc w:val="left"/>
      <w:pPr>
        <w:ind w:left="1634" w:hanging="481"/>
      </w:pPr>
      <w:rPr>
        <w:rFonts w:hint="default" w:ascii="宋体" w:hAnsi="宋体" w:eastAsia="宋体" w:cs="宋体"/>
        <w:w w:val="100"/>
        <w:sz w:val="22"/>
        <w:szCs w:val="22"/>
        <w:lang w:val="zh-CN" w:eastAsia="zh-CN" w:bidi="zh-CN"/>
      </w:rPr>
    </w:lvl>
    <w:lvl w:ilvl="2" w:tentative="0">
      <w:start w:val="1"/>
      <w:numFmt w:val="decimal"/>
      <w:lvlText w:val="%1.%2.%3"/>
      <w:lvlJc w:val="left"/>
      <w:pPr>
        <w:ind w:left="1818" w:hanging="665"/>
      </w:pPr>
      <w:rPr>
        <w:rFonts w:hint="default" w:ascii="宋体" w:hAnsi="宋体" w:eastAsia="宋体" w:cs="宋体"/>
        <w:w w:val="100"/>
        <w:sz w:val="24"/>
        <w:szCs w:val="24"/>
        <w:lang w:val="zh-CN" w:eastAsia="zh-CN" w:bidi="zh-CN"/>
      </w:rPr>
    </w:lvl>
    <w:lvl w:ilvl="3" w:tentative="0">
      <w:start w:val="0"/>
      <w:numFmt w:val="bullet"/>
      <w:lvlText w:val="•"/>
      <w:lvlJc w:val="left"/>
      <w:pPr>
        <w:ind w:left="3843" w:hanging="665"/>
      </w:pPr>
      <w:rPr>
        <w:rFonts w:hint="default"/>
        <w:lang w:val="zh-CN" w:eastAsia="zh-CN" w:bidi="zh-CN"/>
      </w:rPr>
    </w:lvl>
    <w:lvl w:ilvl="4" w:tentative="0">
      <w:start w:val="0"/>
      <w:numFmt w:val="bullet"/>
      <w:lvlText w:val="•"/>
      <w:lvlJc w:val="left"/>
      <w:pPr>
        <w:ind w:left="4855" w:hanging="665"/>
      </w:pPr>
      <w:rPr>
        <w:rFonts w:hint="default"/>
        <w:lang w:val="zh-CN" w:eastAsia="zh-CN" w:bidi="zh-CN"/>
      </w:rPr>
    </w:lvl>
    <w:lvl w:ilvl="5" w:tentative="0">
      <w:start w:val="0"/>
      <w:numFmt w:val="bullet"/>
      <w:lvlText w:val="•"/>
      <w:lvlJc w:val="left"/>
      <w:pPr>
        <w:ind w:left="5867" w:hanging="665"/>
      </w:pPr>
      <w:rPr>
        <w:rFonts w:hint="default"/>
        <w:lang w:val="zh-CN" w:eastAsia="zh-CN" w:bidi="zh-CN"/>
      </w:rPr>
    </w:lvl>
    <w:lvl w:ilvl="6" w:tentative="0">
      <w:start w:val="0"/>
      <w:numFmt w:val="bullet"/>
      <w:lvlText w:val="•"/>
      <w:lvlJc w:val="left"/>
      <w:pPr>
        <w:ind w:left="6878" w:hanging="665"/>
      </w:pPr>
      <w:rPr>
        <w:rFonts w:hint="default"/>
        <w:lang w:val="zh-CN" w:eastAsia="zh-CN" w:bidi="zh-CN"/>
      </w:rPr>
    </w:lvl>
    <w:lvl w:ilvl="7" w:tentative="0">
      <w:start w:val="0"/>
      <w:numFmt w:val="bullet"/>
      <w:lvlText w:val="•"/>
      <w:lvlJc w:val="left"/>
      <w:pPr>
        <w:ind w:left="7890" w:hanging="665"/>
      </w:pPr>
      <w:rPr>
        <w:rFonts w:hint="default"/>
        <w:lang w:val="zh-CN" w:eastAsia="zh-CN" w:bidi="zh-CN"/>
      </w:rPr>
    </w:lvl>
    <w:lvl w:ilvl="8" w:tentative="0">
      <w:start w:val="0"/>
      <w:numFmt w:val="bullet"/>
      <w:lvlText w:val="•"/>
      <w:lvlJc w:val="left"/>
      <w:pPr>
        <w:ind w:left="8902" w:hanging="665"/>
      </w:pPr>
      <w:rPr>
        <w:rFonts w:hint="default"/>
        <w:lang w:val="zh-CN" w:eastAsia="zh-CN" w:bidi="zh-CN"/>
      </w:rPr>
    </w:lvl>
  </w:abstractNum>
  <w:abstractNum w:abstractNumId="14">
    <w:nsid w:val="DCBA6B53"/>
    <w:multiLevelType w:val="multilevel"/>
    <w:tmpl w:val="DCBA6B53"/>
    <w:lvl w:ilvl="0" w:tentative="0">
      <w:start w:val="4"/>
      <w:numFmt w:val="decimal"/>
      <w:lvlText w:val="%1"/>
      <w:lvlJc w:val="left"/>
      <w:pPr>
        <w:ind w:left="1633" w:hanging="480"/>
      </w:pPr>
      <w:rPr>
        <w:rFonts w:hint="default"/>
        <w:lang w:val="zh-CN" w:eastAsia="zh-CN" w:bidi="zh-CN"/>
      </w:rPr>
    </w:lvl>
    <w:lvl w:ilvl="1" w:tentative="0">
      <w:start w:val="1"/>
      <w:numFmt w:val="decimal"/>
      <w:lvlText w:val="%1.%2"/>
      <w:lvlJc w:val="left"/>
      <w:pPr>
        <w:ind w:left="1633" w:hanging="480"/>
      </w:pPr>
      <w:rPr>
        <w:rFonts w:hint="default" w:ascii="宋体" w:hAnsi="宋体" w:eastAsia="宋体" w:cs="宋体"/>
        <w:w w:val="100"/>
        <w:sz w:val="24"/>
        <w:szCs w:val="24"/>
        <w:lang w:val="zh-CN" w:eastAsia="zh-CN" w:bidi="zh-CN"/>
      </w:rPr>
    </w:lvl>
    <w:lvl w:ilvl="2" w:tentative="0">
      <w:start w:val="1"/>
      <w:numFmt w:val="decimal"/>
      <w:lvlText w:val="%1.%2.%3"/>
      <w:lvlJc w:val="left"/>
      <w:pPr>
        <w:ind w:left="673"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3703" w:hanging="660"/>
      </w:pPr>
      <w:rPr>
        <w:rFonts w:hint="default"/>
        <w:lang w:val="zh-CN" w:eastAsia="zh-CN" w:bidi="zh-CN"/>
      </w:rPr>
    </w:lvl>
    <w:lvl w:ilvl="4" w:tentative="0">
      <w:start w:val="0"/>
      <w:numFmt w:val="bullet"/>
      <w:lvlText w:val="•"/>
      <w:lvlJc w:val="left"/>
      <w:pPr>
        <w:ind w:left="4735" w:hanging="660"/>
      </w:pPr>
      <w:rPr>
        <w:rFonts w:hint="default"/>
        <w:lang w:val="zh-CN" w:eastAsia="zh-CN" w:bidi="zh-CN"/>
      </w:rPr>
    </w:lvl>
    <w:lvl w:ilvl="5" w:tentative="0">
      <w:start w:val="0"/>
      <w:numFmt w:val="bullet"/>
      <w:lvlText w:val="•"/>
      <w:lvlJc w:val="left"/>
      <w:pPr>
        <w:ind w:left="5767" w:hanging="660"/>
      </w:pPr>
      <w:rPr>
        <w:rFonts w:hint="default"/>
        <w:lang w:val="zh-CN" w:eastAsia="zh-CN" w:bidi="zh-CN"/>
      </w:rPr>
    </w:lvl>
    <w:lvl w:ilvl="6" w:tentative="0">
      <w:start w:val="0"/>
      <w:numFmt w:val="bullet"/>
      <w:lvlText w:val="•"/>
      <w:lvlJc w:val="left"/>
      <w:pPr>
        <w:ind w:left="6798" w:hanging="660"/>
      </w:pPr>
      <w:rPr>
        <w:rFonts w:hint="default"/>
        <w:lang w:val="zh-CN" w:eastAsia="zh-CN" w:bidi="zh-CN"/>
      </w:rPr>
    </w:lvl>
    <w:lvl w:ilvl="7" w:tentative="0">
      <w:start w:val="0"/>
      <w:numFmt w:val="bullet"/>
      <w:lvlText w:val="•"/>
      <w:lvlJc w:val="left"/>
      <w:pPr>
        <w:ind w:left="7830" w:hanging="660"/>
      </w:pPr>
      <w:rPr>
        <w:rFonts w:hint="default"/>
        <w:lang w:val="zh-CN" w:eastAsia="zh-CN" w:bidi="zh-CN"/>
      </w:rPr>
    </w:lvl>
    <w:lvl w:ilvl="8" w:tentative="0">
      <w:start w:val="0"/>
      <w:numFmt w:val="bullet"/>
      <w:lvlText w:val="•"/>
      <w:lvlJc w:val="left"/>
      <w:pPr>
        <w:ind w:left="8862" w:hanging="660"/>
      </w:pPr>
      <w:rPr>
        <w:rFonts w:hint="default"/>
        <w:lang w:val="zh-CN" w:eastAsia="zh-CN" w:bidi="zh-CN"/>
      </w:rPr>
    </w:lvl>
  </w:abstractNum>
  <w:abstractNum w:abstractNumId="15">
    <w:nsid w:val="F4B5D9F5"/>
    <w:multiLevelType w:val="multilevel"/>
    <w:tmpl w:val="F4B5D9F5"/>
    <w:lvl w:ilvl="0" w:tentative="0">
      <w:start w:val="1"/>
      <w:numFmt w:val="decimal"/>
      <w:lvlText w:val="（%1）"/>
      <w:lvlJc w:val="left"/>
      <w:pPr>
        <w:ind w:left="673" w:hanging="601"/>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704" w:hanging="601"/>
      </w:pPr>
      <w:rPr>
        <w:rFonts w:hint="default"/>
        <w:lang w:val="zh-CN" w:eastAsia="zh-CN" w:bidi="zh-CN"/>
      </w:rPr>
    </w:lvl>
    <w:lvl w:ilvl="2" w:tentative="0">
      <w:start w:val="0"/>
      <w:numFmt w:val="bullet"/>
      <w:lvlText w:val="•"/>
      <w:lvlJc w:val="left"/>
      <w:pPr>
        <w:ind w:left="2729" w:hanging="601"/>
      </w:pPr>
      <w:rPr>
        <w:rFonts w:hint="default"/>
        <w:lang w:val="zh-CN" w:eastAsia="zh-CN" w:bidi="zh-CN"/>
      </w:rPr>
    </w:lvl>
    <w:lvl w:ilvl="3" w:tentative="0">
      <w:start w:val="0"/>
      <w:numFmt w:val="bullet"/>
      <w:lvlText w:val="•"/>
      <w:lvlJc w:val="left"/>
      <w:pPr>
        <w:ind w:left="375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827" w:hanging="601"/>
      </w:pPr>
      <w:rPr>
        <w:rFonts w:hint="default"/>
        <w:lang w:val="zh-CN" w:eastAsia="zh-CN" w:bidi="zh-CN"/>
      </w:rPr>
    </w:lvl>
    <w:lvl w:ilvl="7" w:tentative="0">
      <w:start w:val="0"/>
      <w:numFmt w:val="bullet"/>
      <w:lvlText w:val="•"/>
      <w:lvlJc w:val="left"/>
      <w:pPr>
        <w:ind w:left="7852" w:hanging="601"/>
      </w:pPr>
      <w:rPr>
        <w:rFonts w:hint="default"/>
        <w:lang w:val="zh-CN" w:eastAsia="zh-CN" w:bidi="zh-CN"/>
      </w:rPr>
    </w:lvl>
    <w:lvl w:ilvl="8" w:tentative="0">
      <w:start w:val="0"/>
      <w:numFmt w:val="bullet"/>
      <w:lvlText w:val="•"/>
      <w:lvlJc w:val="left"/>
      <w:pPr>
        <w:ind w:left="8876" w:hanging="601"/>
      </w:pPr>
      <w:rPr>
        <w:rFonts w:hint="default"/>
        <w:lang w:val="zh-CN" w:eastAsia="zh-CN" w:bidi="zh-CN"/>
      </w:rPr>
    </w:lvl>
  </w:abstractNum>
  <w:abstractNum w:abstractNumId="16">
    <w:nsid w:val="F7735DC9"/>
    <w:multiLevelType w:val="multilevel"/>
    <w:tmpl w:val="F7735DC9"/>
    <w:lvl w:ilvl="0" w:tentative="0">
      <w:start w:val="1"/>
      <w:numFmt w:val="decimal"/>
      <w:lvlText w:val="%1."/>
      <w:lvlJc w:val="left"/>
      <w:pPr>
        <w:ind w:left="996" w:hanging="244"/>
      </w:pPr>
      <w:rPr>
        <w:rFonts w:hint="default" w:ascii="宋体" w:hAnsi="宋体" w:eastAsia="宋体" w:cs="宋体"/>
        <w:b/>
        <w:bCs/>
        <w:spacing w:val="-1"/>
        <w:w w:val="99"/>
        <w:sz w:val="22"/>
        <w:szCs w:val="22"/>
        <w:lang w:val="zh-CN" w:eastAsia="zh-CN" w:bidi="zh-CN"/>
      </w:rPr>
    </w:lvl>
    <w:lvl w:ilvl="1" w:tentative="0">
      <w:start w:val="1"/>
      <w:numFmt w:val="decimal"/>
      <w:lvlText w:val="%1.%2"/>
      <w:lvlJc w:val="left"/>
      <w:pPr>
        <w:ind w:left="1237"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072" w:hanging="720"/>
      </w:pPr>
      <w:rPr>
        <w:rFonts w:hint="default" w:ascii="宋体" w:hAnsi="宋体" w:eastAsia="宋体" w:cs="宋体"/>
        <w:w w:val="100"/>
        <w:sz w:val="24"/>
        <w:szCs w:val="24"/>
        <w:lang w:val="zh-CN" w:eastAsia="zh-CN" w:bidi="zh-CN"/>
      </w:rPr>
    </w:lvl>
    <w:lvl w:ilvl="3" w:tentative="0">
      <w:start w:val="0"/>
      <w:numFmt w:val="bullet"/>
      <w:lvlText w:val="•"/>
      <w:lvlJc w:val="left"/>
      <w:pPr>
        <w:ind w:left="3185" w:hanging="720"/>
      </w:pPr>
      <w:rPr>
        <w:rFonts w:hint="default"/>
        <w:lang w:val="zh-CN" w:eastAsia="zh-CN" w:bidi="zh-CN"/>
      </w:rPr>
    </w:lvl>
    <w:lvl w:ilvl="4" w:tentative="0">
      <w:start w:val="0"/>
      <w:numFmt w:val="bullet"/>
      <w:lvlText w:val="•"/>
      <w:lvlJc w:val="left"/>
      <w:pPr>
        <w:ind w:left="4291" w:hanging="720"/>
      </w:pPr>
      <w:rPr>
        <w:rFonts w:hint="default"/>
        <w:lang w:val="zh-CN" w:eastAsia="zh-CN" w:bidi="zh-CN"/>
      </w:rPr>
    </w:lvl>
    <w:lvl w:ilvl="5" w:tentative="0">
      <w:start w:val="0"/>
      <w:numFmt w:val="bullet"/>
      <w:lvlText w:val="•"/>
      <w:lvlJc w:val="left"/>
      <w:pPr>
        <w:ind w:left="5397" w:hanging="720"/>
      </w:pPr>
      <w:rPr>
        <w:rFonts w:hint="default"/>
        <w:lang w:val="zh-CN" w:eastAsia="zh-CN" w:bidi="zh-CN"/>
      </w:rPr>
    </w:lvl>
    <w:lvl w:ilvl="6" w:tentative="0">
      <w:start w:val="0"/>
      <w:numFmt w:val="bullet"/>
      <w:lvlText w:val="•"/>
      <w:lvlJc w:val="left"/>
      <w:pPr>
        <w:ind w:left="6503" w:hanging="720"/>
      </w:pPr>
      <w:rPr>
        <w:rFonts w:hint="default"/>
        <w:lang w:val="zh-CN" w:eastAsia="zh-CN" w:bidi="zh-CN"/>
      </w:rPr>
    </w:lvl>
    <w:lvl w:ilvl="7" w:tentative="0">
      <w:start w:val="0"/>
      <w:numFmt w:val="bullet"/>
      <w:lvlText w:val="•"/>
      <w:lvlJc w:val="left"/>
      <w:pPr>
        <w:ind w:left="7608" w:hanging="720"/>
      </w:pPr>
      <w:rPr>
        <w:rFonts w:hint="default"/>
        <w:lang w:val="zh-CN" w:eastAsia="zh-CN" w:bidi="zh-CN"/>
      </w:rPr>
    </w:lvl>
    <w:lvl w:ilvl="8" w:tentative="0">
      <w:start w:val="0"/>
      <w:numFmt w:val="bullet"/>
      <w:lvlText w:val="•"/>
      <w:lvlJc w:val="left"/>
      <w:pPr>
        <w:ind w:left="8714" w:hanging="720"/>
      </w:pPr>
      <w:rPr>
        <w:rFonts w:hint="default"/>
        <w:lang w:val="zh-CN" w:eastAsia="zh-CN" w:bidi="zh-CN"/>
      </w:rPr>
    </w:lvl>
  </w:abstractNum>
  <w:abstractNum w:abstractNumId="17">
    <w:nsid w:val="F9248CF4"/>
    <w:multiLevelType w:val="multilevel"/>
    <w:tmpl w:val="F9248CF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0248C179"/>
    <w:multiLevelType w:val="multilevel"/>
    <w:tmpl w:val="0248C179"/>
    <w:lvl w:ilvl="0" w:tentative="0">
      <w:start w:val="1"/>
      <w:numFmt w:val="decimal"/>
      <w:lvlText w:val="%1"/>
      <w:lvlJc w:val="left"/>
      <w:pPr>
        <w:ind w:left="1633" w:hanging="480"/>
      </w:pPr>
      <w:rPr>
        <w:rFonts w:hint="default"/>
        <w:lang w:val="zh-CN" w:eastAsia="zh-CN" w:bidi="zh-CN"/>
      </w:rPr>
    </w:lvl>
    <w:lvl w:ilvl="1" w:tentative="0">
      <w:start w:val="1"/>
      <w:numFmt w:val="decimal"/>
      <w:lvlText w:val="%1.%2"/>
      <w:lvlJc w:val="left"/>
      <w:pPr>
        <w:ind w:left="1581" w:hanging="480"/>
      </w:pPr>
      <w:rPr>
        <w:rFonts w:hint="default" w:ascii="宋体" w:hAnsi="宋体" w:eastAsia="宋体" w:cs="宋体"/>
        <w:w w:val="100"/>
        <w:sz w:val="24"/>
        <w:szCs w:val="24"/>
        <w:lang w:val="zh-CN" w:eastAsia="zh-CN" w:bidi="zh-CN"/>
      </w:rPr>
    </w:lvl>
    <w:lvl w:ilvl="2" w:tentative="0">
      <w:start w:val="1"/>
      <w:numFmt w:val="decimal"/>
      <w:lvlText w:val="%1.%2.%3"/>
      <w:lvlJc w:val="left"/>
      <w:pPr>
        <w:ind w:left="673"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880" w:hanging="660"/>
      </w:pPr>
      <w:rPr>
        <w:rFonts w:hint="default"/>
        <w:lang w:val="zh-CN" w:eastAsia="zh-CN" w:bidi="zh-CN"/>
      </w:rPr>
    </w:lvl>
    <w:lvl w:ilvl="4" w:tentative="0">
      <w:start w:val="0"/>
      <w:numFmt w:val="bullet"/>
      <w:lvlText w:val="•"/>
      <w:lvlJc w:val="left"/>
      <w:pPr>
        <w:ind w:left="1940" w:hanging="660"/>
      </w:pPr>
      <w:rPr>
        <w:rFonts w:hint="default"/>
        <w:lang w:val="zh-CN" w:eastAsia="zh-CN" w:bidi="zh-CN"/>
      </w:rPr>
    </w:lvl>
    <w:lvl w:ilvl="5" w:tentative="0">
      <w:start w:val="0"/>
      <w:numFmt w:val="bullet"/>
      <w:lvlText w:val="•"/>
      <w:lvlJc w:val="left"/>
      <w:pPr>
        <w:ind w:left="3437" w:hanging="660"/>
      </w:pPr>
      <w:rPr>
        <w:rFonts w:hint="default"/>
        <w:lang w:val="zh-CN" w:eastAsia="zh-CN" w:bidi="zh-CN"/>
      </w:rPr>
    </w:lvl>
    <w:lvl w:ilvl="6" w:tentative="0">
      <w:start w:val="0"/>
      <w:numFmt w:val="bullet"/>
      <w:lvlText w:val="•"/>
      <w:lvlJc w:val="left"/>
      <w:pPr>
        <w:ind w:left="4935" w:hanging="660"/>
      </w:pPr>
      <w:rPr>
        <w:rFonts w:hint="default"/>
        <w:lang w:val="zh-CN" w:eastAsia="zh-CN" w:bidi="zh-CN"/>
      </w:rPr>
    </w:lvl>
    <w:lvl w:ilvl="7" w:tentative="0">
      <w:start w:val="0"/>
      <w:numFmt w:val="bullet"/>
      <w:lvlText w:val="•"/>
      <w:lvlJc w:val="left"/>
      <w:pPr>
        <w:ind w:left="6433" w:hanging="660"/>
      </w:pPr>
      <w:rPr>
        <w:rFonts w:hint="default"/>
        <w:lang w:val="zh-CN" w:eastAsia="zh-CN" w:bidi="zh-CN"/>
      </w:rPr>
    </w:lvl>
    <w:lvl w:ilvl="8" w:tentative="0">
      <w:start w:val="0"/>
      <w:numFmt w:val="bullet"/>
      <w:lvlText w:val="•"/>
      <w:lvlJc w:val="left"/>
      <w:pPr>
        <w:ind w:left="7930" w:hanging="660"/>
      </w:pPr>
      <w:rPr>
        <w:rFonts w:hint="default"/>
        <w:lang w:val="zh-CN" w:eastAsia="zh-CN" w:bidi="zh-CN"/>
      </w:rPr>
    </w:lvl>
  </w:abstractNum>
  <w:abstractNum w:abstractNumId="19">
    <w:nsid w:val="05BF2F9F"/>
    <w:multiLevelType w:val="multilevel"/>
    <w:tmpl w:val="05BF2F9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E640482"/>
    <w:multiLevelType w:val="multilevel"/>
    <w:tmpl w:val="0E640482"/>
    <w:lvl w:ilvl="0" w:tentative="0">
      <w:start w:val="1"/>
      <w:numFmt w:val="decimal"/>
      <w:lvlText w:val="（%1）"/>
      <w:lvlJc w:val="left"/>
      <w:pPr>
        <w:ind w:left="1754" w:hanging="601"/>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2676" w:hanging="601"/>
      </w:pPr>
      <w:rPr>
        <w:rFonts w:hint="default"/>
        <w:lang w:val="zh-CN" w:eastAsia="zh-CN" w:bidi="zh-CN"/>
      </w:rPr>
    </w:lvl>
    <w:lvl w:ilvl="2" w:tentative="0">
      <w:start w:val="0"/>
      <w:numFmt w:val="bullet"/>
      <w:lvlText w:val="•"/>
      <w:lvlJc w:val="left"/>
      <w:pPr>
        <w:ind w:left="3593" w:hanging="601"/>
      </w:pPr>
      <w:rPr>
        <w:rFonts w:hint="default"/>
        <w:lang w:val="zh-CN" w:eastAsia="zh-CN" w:bidi="zh-CN"/>
      </w:rPr>
    </w:lvl>
    <w:lvl w:ilvl="3" w:tentative="0">
      <w:start w:val="0"/>
      <w:numFmt w:val="bullet"/>
      <w:lvlText w:val="•"/>
      <w:lvlJc w:val="left"/>
      <w:pPr>
        <w:ind w:left="4509" w:hanging="601"/>
      </w:pPr>
      <w:rPr>
        <w:rFonts w:hint="default"/>
        <w:lang w:val="zh-CN" w:eastAsia="zh-CN" w:bidi="zh-CN"/>
      </w:rPr>
    </w:lvl>
    <w:lvl w:ilvl="4" w:tentative="0">
      <w:start w:val="0"/>
      <w:numFmt w:val="bullet"/>
      <w:lvlText w:val="•"/>
      <w:lvlJc w:val="left"/>
      <w:pPr>
        <w:ind w:left="5426" w:hanging="601"/>
      </w:pPr>
      <w:rPr>
        <w:rFonts w:hint="default"/>
        <w:lang w:val="zh-CN" w:eastAsia="zh-CN" w:bidi="zh-CN"/>
      </w:rPr>
    </w:lvl>
    <w:lvl w:ilvl="5" w:tentative="0">
      <w:start w:val="0"/>
      <w:numFmt w:val="bullet"/>
      <w:lvlText w:val="•"/>
      <w:lvlJc w:val="left"/>
      <w:pPr>
        <w:ind w:left="6343" w:hanging="601"/>
      </w:pPr>
      <w:rPr>
        <w:rFonts w:hint="default"/>
        <w:lang w:val="zh-CN" w:eastAsia="zh-CN" w:bidi="zh-CN"/>
      </w:rPr>
    </w:lvl>
    <w:lvl w:ilvl="6" w:tentative="0">
      <w:start w:val="0"/>
      <w:numFmt w:val="bullet"/>
      <w:lvlText w:val="•"/>
      <w:lvlJc w:val="left"/>
      <w:pPr>
        <w:ind w:left="7259" w:hanging="601"/>
      </w:pPr>
      <w:rPr>
        <w:rFonts w:hint="default"/>
        <w:lang w:val="zh-CN" w:eastAsia="zh-CN" w:bidi="zh-CN"/>
      </w:rPr>
    </w:lvl>
    <w:lvl w:ilvl="7" w:tentative="0">
      <w:start w:val="0"/>
      <w:numFmt w:val="bullet"/>
      <w:lvlText w:val="•"/>
      <w:lvlJc w:val="left"/>
      <w:pPr>
        <w:ind w:left="8176" w:hanging="601"/>
      </w:pPr>
      <w:rPr>
        <w:rFonts w:hint="default"/>
        <w:lang w:val="zh-CN" w:eastAsia="zh-CN" w:bidi="zh-CN"/>
      </w:rPr>
    </w:lvl>
    <w:lvl w:ilvl="8" w:tentative="0">
      <w:start w:val="0"/>
      <w:numFmt w:val="bullet"/>
      <w:lvlText w:val="•"/>
      <w:lvlJc w:val="left"/>
      <w:pPr>
        <w:ind w:left="9092" w:hanging="601"/>
      </w:pPr>
      <w:rPr>
        <w:rFonts w:hint="default"/>
        <w:lang w:val="zh-CN" w:eastAsia="zh-CN" w:bidi="zh-CN"/>
      </w:rPr>
    </w:lvl>
  </w:abstractNum>
  <w:abstractNum w:abstractNumId="21">
    <w:nsid w:val="165D17E4"/>
    <w:multiLevelType w:val="multilevel"/>
    <w:tmpl w:val="165D17E4"/>
    <w:lvl w:ilvl="0" w:tentative="0">
      <w:start w:val="1"/>
      <w:numFmt w:val="japaneseCounting"/>
      <w:pStyle w:val="186"/>
      <w:lvlText w:val="%1、"/>
      <w:lvlJc w:val="left"/>
      <w:pPr>
        <w:tabs>
          <w:tab w:val="left" w:pos="480"/>
        </w:tabs>
        <w:ind w:left="480" w:hanging="480"/>
      </w:pPr>
      <w:rPr>
        <w:rFonts w:hint="default"/>
      </w:rPr>
    </w:lvl>
    <w:lvl w:ilvl="1" w:tentative="0">
      <w:start w:val="1"/>
      <w:numFmt w:val="decimal"/>
      <w:pStyle w:val="187"/>
      <w:lvlText w:val="%2、"/>
      <w:lvlJc w:val="left"/>
      <w:pPr>
        <w:tabs>
          <w:tab w:val="left" w:pos="780"/>
        </w:tabs>
        <w:ind w:left="780" w:hanging="360"/>
      </w:pPr>
      <w:rPr>
        <w:rFonts w:ascii="Times New Roman" w:hAnsi="Times New Roman" w:eastAsia="Times New Roman" w:cs="Times New Roman"/>
      </w:rPr>
    </w:lvl>
    <w:lvl w:ilvl="2" w:tentative="0">
      <w:start w:val="7"/>
      <w:numFmt w:val="decimal"/>
      <w:lvlText w:val="（%3）"/>
      <w:lvlJc w:val="left"/>
      <w:pPr>
        <w:tabs>
          <w:tab w:val="left" w:pos="1560"/>
        </w:tabs>
        <w:ind w:left="1560" w:hanging="720"/>
      </w:pPr>
      <w:rPr>
        <w:rFonts w:hint="default"/>
      </w:rPr>
    </w:lvl>
    <w:lvl w:ilvl="3" w:tentative="0">
      <w:start w:val="1"/>
      <w:numFmt w:val="japaneseCounting"/>
      <w:lvlText w:val="（%4）"/>
      <w:lvlJc w:val="left"/>
      <w:pPr>
        <w:tabs>
          <w:tab w:val="left" w:pos="2340"/>
        </w:tabs>
        <w:ind w:left="2340" w:hanging="108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17CB1C56"/>
    <w:multiLevelType w:val="singleLevel"/>
    <w:tmpl w:val="17CB1C56"/>
    <w:lvl w:ilvl="0" w:tentative="0">
      <w:start w:val="1"/>
      <w:numFmt w:val="decimal"/>
      <w:suff w:val="nothing"/>
      <w:lvlText w:val="%1、"/>
      <w:lvlJc w:val="left"/>
    </w:lvl>
  </w:abstractNum>
  <w:abstractNum w:abstractNumId="23">
    <w:nsid w:val="243FCF68"/>
    <w:multiLevelType w:val="multilevel"/>
    <w:tmpl w:val="243FCF68"/>
    <w:lvl w:ilvl="0" w:tentative="0">
      <w:start w:val="9"/>
      <w:numFmt w:val="decimal"/>
      <w:lvlText w:val="%1"/>
      <w:lvlJc w:val="left"/>
      <w:pPr>
        <w:ind w:left="1633" w:hanging="480"/>
      </w:pPr>
      <w:rPr>
        <w:rFonts w:hint="default"/>
        <w:lang w:val="zh-CN" w:eastAsia="zh-CN" w:bidi="zh-CN"/>
      </w:rPr>
    </w:lvl>
    <w:lvl w:ilvl="1" w:tentative="0">
      <w:start w:val="1"/>
      <w:numFmt w:val="decimal"/>
      <w:lvlText w:val="%1.%2"/>
      <w:lvlJc w:val="left"/>
      <w:pPr>
        <w:ind w:left="1633" w:hanging="480"/>
      </w:pPr>
      <w:rPr>
        <w:rFonts w:hint="default" w:ascii="宋体" w:hAnsi="宋体" w:eastAsia="宋体" w:cs="宋体"/>
        <w:w w:val="100"/>
        <w:sz w:val="24"/>
        <w:szCs w:val="24"/>
        <w:lang w:val="zh-CN" w:eastAsia="zh-CN" w:bidi="zh-CN"/>
      </w:rPr>
    </w:lvl>
    <w:lvl w:ilvl="2" w:tentative="0">
      <w:start w:val="1"/>
      <w:numFmt w:val="decimal"/>
      <w:lvlText w:val="%1.%2.%3"/>
      <w:lvlJc w:val="left"/>
      <w:pPr>
        <w:ind w:left="1813"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3843" w:hanging="660"/>
      </w:pPr>
      <w:rPr>
        <w:rFonts w:hint="default"/>
        <w:lang w:val="zh-CN" w:eastAsia="zh-CN" w:bidi="zh-CN"/>
      </w:rPr>
    </w:lvl>
    <w:lvl w:ilvl="4" w:tentative="0">
      <w:start w:val="0"/>
      <w:numFmt w:val="bullet"/>
      <w:lvlText w:val="•"/>
      <w:lvlJc w:val="left"/>
      <w:pPr>
        <w:ind w:left="4855" w:hanging="660"/>
      </w:pPr>
      <w:rPr>
        <w:rFonts w:hint="default"/>
        <w:lang w:val="zh-CN" w:eastAsia="zh-CN" w:bidi="zh-CN"/>
      </w:rPr>
    </w:lvl>
    <w:lvl w:ilvl="5" w:tentative="0">
      <w:start w:val="0"/>
      <w:numFmt w:val="bullet"/>
      <w:lvlText w:val="•"/>
      <w:lvlJc w:val="left"/>
      <w:pPr>
        <w:ind w:left="5867" w:hanging="660"/>
      </w:pPr>
      <w:rPr>
        <w:rFonts w:hint="default"/>
        <w:lang w:val="zh-CN" w:eastAsia="zh-CN" w:bidi="zh-CN"/>
      </w:rPr>
    </w:lvl>
    <w:lvl w:ilvl="6" w:tentative="0">
      <w:start w:val="0"/>
      <w:numFmt w:val="bullet"/>
      <w:lvlText w:val="•"/>
      <w:lvlJc w:val="left"/>
      <w:pPr>
        <w:ind w:left="6878" w:hanging="660"/>
      </w:pPr>
      <w:rPr>
        <w:rFonts w:hint="default"/>
        <w:lang w:val="zh-CN" w:eastAsia="zh-CN" w:bidi="zh-CN"/>
      </w:rPr>
    </w:lvl>
    <w:lvl w:ilvl="7" w:tentative="0">
      <w:start w:val="0"/>
      <w:numFmt w:val="bullet"/>
      <w:lvlText w:val="•"/>
      <w:lvlJc w:val="left"/>
      <w:pPr>
        <w:ind w:left="7890" w:hanging="660"/>
      </w:pPr>
      <w:rPr>
        <w:rFonts w:hint="default"/>
        <w:lang w:val="zh-CN" w:eastAsia="zh-CN" w:bidi="zh-CN"/>
      </w:rPr>
    </w:lvl>
    <w:lvl w:ilvl="8" w:tentative="0">
      <w:start w:val="0"/>
      <w:numFmt w:val="bullet"/>
      <w:lvlText w:val="•"/>
      <w:lvlJc w:val="left"/>
      <w:pPr>
        <w:ind w:left="8902" w:hanging="660"/>
      </w:pPr>
      <w:rPr>
        <w:rFonts w:hint="default"/>
        <w:lang w:val="zh-CN" w:eastAsia="zh-CN" w:bidi="zh-CN"/>
      </w:rPr>
    </w:lvl>
  </w:abstractNum>
  <w:abstractNum w:abstractNumId="24">
    <w:nsid w:val="2470EC97"/>
    <w:multiLevelType w:val="multilevel"/>
    <w:tmpl w:val="2470EC97"/>
    <w:lvl w:ilvl="0" w:tentative="0">
      <w:start w:val="3"/>
      <w:numFmt w:val="decimal"/>
      <w:lvlText w:val="%1"/>
      <w:lvlJc w:val="left"/>
      <w:pPr>
        <w:ind w:left="1681" w:hanging="480"/>
      </w:pPr>
      <w:rPr>
        <w:rFonts w:hint="default"/>
        <w:lang w:val="zh-CN" w:eastAsia="zh-CN" w:bidi="zh-CN"/>
      </w:rPr>
    </w:lvl>
    <w:lvl w:ilvl="1" w:tentative="0">
      <w:start w:val="2"/>
      <w:numFmt w:val="decimal"/>
      <w:lvlText w:val="%1.%2"/>
      <w:lvlJc w:val="left"/>
      <w:pPr>
        <w:ind w:left="1681" w:hanging="480"/>
      </w:pPr>
      <w:rPr>
        <w:rFonts w:hint="default" w:ascii="宋体" w:hAnsi="宋体" w:eastAsia="宋体" w:cs="宋体"/>
        <w:w w:val="100"/>
        <w:sz w:val="24"/>
        <w:szCs w:val="24"/>
        <w:lang w:val="zh-CN" w:eastAsia="zh-CN" w:bidi="zh-CN"/>
      </w:rPr>
    </w:lvl>
    <w:lvl w:ilvl="2" w:tentative="0">
      <w:start w:val="1"/>
      <w:numFmt w:val="decimal"/>
      <w:lvlText w:val="%1.%2.%3"/>
      <w:lvlJc w:val="left"/>
      <w:pPr>
        <w:ind w:left="673" w:hanging="663"/>
      </w:pPr>
      <w:rPr>
        <w:rFonts w:hint="default" w:ascii="宋体" w:hAnsi="宋体" w:eastAsia="宋体" w:cs="宋体"/>
        <w:w w:val="100"/>
        <w:sz w:val="24"/>
        <w:szCs w:val="24"/>
        <w:lang w:val="zh-CN" w:eastAsia="zh-CN" w:bidi="zh-CN"/>
      </w:rPr>
    </w:lvl>
    <w:lvl w:ilvl="3" w:tentative="0">
      <w:start w:val="0"/>
      <w:numFmt w:val="bullet"/>
      <w:lvlText w:val="•"/>
      <w:lvlJc w:val="left"/>
      <w:pPr>
        <w:ind w:left="3045" w:hanging="663"/>
      </w:pPr>
      <w:rPr>
        <w:rFonts w:hint="default"/>
        <w:lang w:val="zh-CN" w:eastAsia="zh-CN" w:bidi="zh-CN"/>
      </w:rPr>
    </w:lvl>
    <w:lvl w:ilvl="4" w:tentative="0">
      <w:start w:val="0"/>
      <w:numFmt w:val="bullet"/>
      <w:lvlText w:val="•"/>
      <w:lvlJc w:val="left"/>
      <w:pPr>
        <w:ind w:left="4171" w:hanging="663"/>
      </w:pPr>
      <w:rPr>
        <w:rFonts w:hint="default"/>
        <w:lang w:val="zh-CN" w:eastAsia="zh-CN" w:bidi="zh-CN"/>
      </w:rPr>
    </w:lvl>
    <w:lvl w:ilvl="5" w:tentative="0">
      <w:start w:val="0"/>
      <w:numFmt w:val="bullet"/>
      <w:lvlText w:val="•"/>
      <w:lvlJc w:val="left"/>
      <w:pPr>
        <w:ind w:left="5297" w:hanging="663"/>
      </w:pPr>
      <w:rPr>
        <w:rFonts w:hint="default"/>
        <w:lang w:val="zh-CN" w:eastAsia="zh-CN" w:bidi="zh-CN"/>
      </w:rPr>
    </w:lvl>
    <w:lvl w:ilvl="6" w:tentative="0">
      <w:start w:val="0"/>
      <w:numFmt w:val="bullet"/>
      <w:lvlText w:val="•"/>
      <w:lvlJc w:val="left"/>
      <w:pPr>
        <w:ind w:left="6423" w:hanging="663"/>
      </w:pPr>
      <w:rPr>
        <w:rFonts w:hint="default"/>
        <w:lang w:val="zh-CN" w:eastAsia="zh-CN" w:bidi="zh-CN"/>
      </w:rPr>
    </w:lvl>
    <w:lvl w:ilvl="7" w:tentative="0">
      <w:start w:val="0"/>
      <w:numFmt w:val="bullet"/>
      <w:lvlText w:val="•"/>
      <w:lvlJc w:val="left"/>
      <w:pPr>
        <w:ind w:left="7548" w:hanging="663"/>
      </w:pPr>
      <w:rPr>
        <w:rFonts w:hint="default"/>
        <w:lang w:val="zh-CN" w:eastAsia="zh-CN" w:bidi="zh-CN"/>
      </w:rPr>
    </w:lvl>
    <w:lvl w:ilvl="8" w:tentative="0">
      <w:start w:val="0"/>
      <w:numFmt w:val="bullet"/>
      <w:lvlText w:val="•"/>
      <w:lvlJc w:val="left"/>
      <w:pPr>
        <w:ind w:left="8674" w:hanging="663"/>
      </w:pPr>
      <w:rPr>
        <w:rFonts w:hint="default"/>
        <w:lang w:val="zh-CN" w:eastAsia="zh-CN" w:bidi="zh-CN"/>
      </w:rPr>
    </w:lvl>
  </w:abstractNum>
  <w:abstractNum w:abstractNumId="25">
    <w:nsid w:val="2A8F537B"/>
    <w:multiLevelType w:val="multilevel"/>
    <w:tmpl w:val="2A8F537B"/>
    <w:lvl w:ilvl="0" w:tentative="0">
      <w:start w:val="1"/>
      <w:numFmt w:val="decimal"/>
      <w:lvlText w:val="（%1）"/>
      <w:lvlJc w:val="left"/>
      <w:pPr>
        <w:ind w:left="1814"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730" w:hanging="601"/>
      </w:pPr>
      <w:rPr>
        <w:rFonts w:hint="default"/>
        <w:lang w:val="zh-CN" w:eastAsia="zh-CN" w:bidi="zh-CN"/>
      </w:rPr>
    </w:lvl>
    <w:lvl w:ilvl="2" w:tentative="0">
      <w:start w:val="0"/>
      <w:numFmt w:val="bullet"/>
      <w:lvlText w:val="•"/>
      <w:lvlJc w:val="left"/>
      <w:pPr>
        <w:ind w:left="3641" w:hanging="601"/>
      </w:pPr>
      <w:rPr>
        <w:rFonts w:hint="default"/>
        <w:lang w:val="zh-CN" w:eastAsia="zh-CN" w:bidi="zh-CN"/>
      </w:rPr>
    </w:lvl>
    <w:lvl w:ilvl="3" w:tentative="0">
      <w:start w:val="0"/>
      <w:numFmt w:val="bullet"/>
      <w:lvlText w:val="•"/>
      <w:lvlJc w:val="left"/>
      <w:pPr>
        <w:ind w:left="4551" w:hanging="601"/>
      </w:pPr>
      <w:rPr>
        <w:rFonts w:hint="default"/>
        <w:lang w:val="zh-CN" w:eastAsia="zh-CN" w:bidi="zh-CN"/>
      </w:rPr>
    </w:lvl>
    <w:lvl w:ilvl="4" w:tentative="0">
      <w:start w:val="0"/>
      <w:numFmt w:val="bullet"/>
      <w:lvlText w:val="•"/>
      <w:lvlJc w:val="left"/>
      <w:pPr>
        <w:ind w:left="5462" w:hanging="601"/>
      </w:pPr>
      <w:rPr>
        <w:rFonts w:hint="default"/>
        <w:lang w:val="zh-CN" w:eastAsia="zh-CN" w:bidi="zh-CN"/>
      </w:rPr>
    </w:lvl>
    <w:lvl w:ilvl="5" w:tentative="0">
      <w:start w:val="0"/>
      <w:numFmt w:val="bullet"/>
      <w:lvlText w:val="•"/>
      <w:lvlJc w:val="left"/>
      <w:pPr>
        <w:ind w:left="6373" w:hanging="601"/>
      </w:pPr>
      <w:rPr>
        <w:rFonts w:hint="default"/>
        <w:lang w:val="zh-CN" w:eastAsia="zh-CN" w:bidi="zh-CN"/>
      </w:rPr>
    </w:lvl>
    <w:lvl w:ilvl="6" w:tentative="0">
      <w:start w:val="0"/>
      <w:numFmt w:val="bullet"/>
      <w:lvlText w:val="•"/>
      <w:lvlJc w:val="left"/>
      <w:pPr>
        <w:ind w:left="7283" w:hanging="601"/>
      </w:pPr>
      <w:rPr>
        <w:rFonts w:hint="default"/>
        <w:lang w:val="zh-CN" w:eastAsia="zh-CN" w:bidi="zh-CN"/>
      </w:rPr>
    </w:lvl>
    <w:lvl w:ilvl="7" w:tentative="0">
      <w:start w:val="0"/>
      <w:numFmt w:val="bullet"/>
      <w:lvlText w:val="•"/>
      <w:lvlJc w:val="left"/>
      <w:pPr>
        <w:ind w:left="8194" w:hanging="601"/>
      </w:pPr>
      <w:rPr>
        <w:rFonts w:hint="default"/>
        <w:lang w:val="zh-CN" w:eastAsia="zh-CN" w:bidi="zh-CN"/>
      </w:rPr>
    </w:lvl>
    <w:lvl w:ilvl="8" w:tentative="0">
      <w:start w:val="0"/>
      <w:numFmt w:val="bullet"/>
      <w:lvlText w:val="•"/>
      <w:lvlJc w:val="left"/>
      <w:pPr>
        <w:ind w:left="9104" w:hanging="601"/>
      </w:pPr>
      <w:rPr>
        <w:rFonts w:hint="default"/>
        <w:lang w:val="zh-CN" w:eastAsia="zh-CN" w:bidi="zh-CN"/>
      </w:rPr>
    </w:lvl>
  </w:abstractNum>
  <w:abstractNum w:abstractNumId="26">
    <w:nsid w:val="30FC5B15"/>
    <w:multiLevelType w:val="multilevel"/>
    <w:tmpl w:val="30FC5B15"/>
    <w:lvl w:ilvl="0" w:tentative="0">
      <w:start w:val="1"/>
      <w:numFmt w:val="decimal"/>
      <w:lvlText w:val="（%1）"/>
      <w:lvlJc w:val="left"/>
      <w:pPr>
        <w:ind w:left="1833"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748" w:hanging="601"/>
      </w:pPr>
      <w:rPr>
        <w:rFonts w:hint="default"/>
        <w:lang w:val="zh-CN" w:eastAsia="zh-CN" w:bidi="zh-CN"/>
      </w:rPr>
    </w:lvl>
    <w:lvl w:ilvl="2" w:tentative="0">
      <w:start w:val="0"/>
      <w:numFmt w:val="bullet"/>
      <w:lvlText w:val="•"/>
      <w:lvlJc w:val="left"/>
      <w:pPr>
        <w:ind w:left="3657" w:hanging="601"/>
      </w:pPr>
      <w:rPr>
        <w:rFonts w:hint="default"/>
        <w:lang w:val="zh-CN" w:eastAsia="zh-CN" w:bidi="zh-CN"/>
      </w:rPr>
    </w:lvl>
    <w:lvl w:ilvl="3" w:tentative="0">
      <w:start w:val="0"/>
      <w:numFmt w:val="bullet"/>
      <w:lvlText w:val="•"/>
      <w:lvlJc w:val="left"/>
      <w:pPr>
        <w:ind w:left="4565" w:hanging="601"/>
      </w:pPr>
      <w:rPr>
        <w:rFonts w:hint="default"/>
        <w:lang w:val="zh-CN" w:eastAsia="zh-CN" w:bidi="zh-CN"/>
      </w:rPr>
    </w:lvl>
    <w:lvl w:ilvl="4" w:tentative="0">
      <w:start w:val="0"/>
      <w:numFmt w:val="bullet"/>
      <w:lvlText w:val="•"/>
      <w:lvlJc w:val="left"/>
      <w:pPr>
        <w:ind w:left="5474" w:hanging="601"/>
      </w:pPr>
      <w:rPr>
        <w:rFonts w:hint="default"/>
        <w:lang w:val="zh-CN" w:eastAsia="zh-CN" w:bidi="zh-CN"/>
      </w:rPr>
    </w:lvl>
    <w:lvl w:ilvl="5" w:tentative="0">
      <w:start w:val="0"/>
      <w:numFmt w:val="bullet"/>
      <w:lvlText w:val="•"/>
      <w:lvlJc w:val="left"/>
      <w:pPr>
        <w:ind w:left="6383" w:hanging="601"/>
      </w:pPr>
      <w:rPr>
        <w:rFonts w:hint="default"/>
        <w:lang w:val="zh-CN" w:eastAsia="zh-CN" w:bidi="zh-CN"/>
      </w:rPr>
    </w:lvl>
    <w:lvl w:ilvl="6" w:tentative="0">
      <w:start w:val="0"/>
      <w:numFmt w:val="bullet"/>
      <w:lvlText w:val="•"/>
      <w:lvlJc w:val="left"/>
      <w:pPr>
        <w:ind w:left="7291" w:hanging="601"/>
      </w:pPr>
      <w:rPr>
        <w:rFonts w:hint="default"/>
        <w:lang w:val="zh-CN" w:eastAsia="zh-CN" w:bidi="zh-CN"/>
      </w:rPr>
    </w:lvl>
    <w:lvl w:ilvl="7" w:tentative="0">
      <w:start w:val="0"/>
      <w:numFmt w:val="bullet"/>
      <w:lvlText w:val="•"/>
      <w:lvlJc w:val="left"/>
      <w:pPr>
        <w:ind w:left="8200" w:hanging="601"/>
      </w:pPr>
      <w:rPr>
        <w:rFonts w:hint="default"/>
        <w:lang w:val="zh-CN" w:eastAsia="zh-CN" w:bidi="zh-CN"/>
      </w:rPr>
    </w:lvl>
    <w:lvl w:ilvl="8" w:tentative="0">
      <w:start w:val="0"/>
      <w:numFmt w:val="bullet"/>
      <w:lvlText w:val="•"/>
      <w:lvlJc w:val="left"/>
      <w:pPr>
        <w:ind w:left="9108" w:hanging="601"/>
      </w:pPr>
      <w:rPr>
        <w:rFonts w:hint="default"/>
        <w:lang w:val="zh-CN" w:eastAsia="zh-CN" w:bidi="zh-CN"/>
      </w:rPr>
    </w:lvl>
  </w:abstractNum>
  <w:abstractNum w:abstractNumId="27">
    <w:nsid w:val="39A0D9AC"/>
    <w:multiLevelType w:val="multilevel"/>
    <w:tmpl w:val="39A0D9AC"/>
    <w:lvl w:ilvl="0" w:tentative="0">
      <w:start w:val="1"/>
      <w:numFmt w:val="decimal"/>
      <w:lvlText w:val="（%1）"/>
      <w:lvlJc w:val="left"/>
      <w:pPr>
        <w:ind w:left="673" w:hanging="601"/>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704" w:hanging="601"/>
      </w:pPr>
      <w:rPr>
        <w:rFonts w:hint="default"/>
        <w:lang w:val="zh-CN" w:eastAsia="zh-CN" w:bidi="zh-CN"/>
      </w:rPr>
    </w:lvl>
    <w:lvl w:ilvl="2" w:tentative="0">
      <w:start w:val="0"/>
      <w:numFmt w:val="bullet"/>
      <w:lvlText w:val="•"/>
      <w:lvlJc w:val="left"/>
      <w:pPr>
        <w:ind w:left="2729" w:hanging="601"/>
      </w:pPr>
      <w:rPr>
        <w:rFonts w:hint="default"/>
        <w:lang w:val="zh-CN" w:eastAsia="zh-CN" w:bidi="zh-CN"/>
      </w:rPr>
    </w:lvl>
    <w:lvl w:ilvl="3" w:tentative="0">
      <w:start w:val="0"/>
      <w:numFmt w:val="bullet"/>
      <w:lvlText w:val="•"/>
      <w:lvlJc w:val="left"/>
      <w:pPr>
        <w:ind w:left="375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827" w:hanging="601"/>
      </w:pPr>
      <w:rPr>
        <w:rFonts w:hint="default"/>
        <w:lang w:val="zh-CN" w:eastAsia="zh-CN" w:bidi="zh-CN"/>
      </w:rPr>
    </w:lvl>
    <w:lvl w:ilvl="7" w:tentative="0">
      <w:start w:val="0"/>
      <w:numFmt w:val="bullet"/>
      <w:lvlText w:val="•"/>
      <w:lvlJc w:val="left"/>
      <w:pPr>
        <w:ind w:left="7852" w:hanging="601"/>
      </w:pPr>
      <w:rPr>
        <w:rFonts w:hint="default"/>
        <w:lang w:val="zh-CN" w:eastAsia="zh-CN" w:bidi="zh-CN"/>
      </w:rPr>
    </w:lvl>
    <w:lvl w:ilvl="8" w:tentative="0">
      <w:start w:val="0"/>
      <w:numFmt w:val="bullet"/>
      <w:lvlText w:val="•"/>
      <w:lvlJc w:val="left"/>
      <w:pPr>
        <w:ind w:left="8876" w:hanging="601"/>
      </w:pPr>
      <w:rPr>
        <w:rFonts w:hint="default"/>
        <w:lang w:val="zh-CN" w:eastAsia="zh-CN" w:bidi="zh-CN"/>
      </w:rPr>
    </w:lvl>
  </w:abstractNum>
  <w:abstractNum w:abstractNumId="28">
    <w:nsid w:val="46A08BB8"/>
    <w:multiLevelType w:val="multilevel"/>
    <w:tmpl w:val="46A08BB8"/>
    <w:lvl w:ilvl="0" w:tentative="0">
      <w:start w:val="6"/>
      <w:numFmt w:val="decimal"/>
      <w:lvlText w:val="%1"/>
      <w:lvlJc w:val="left"/>
      <w:pPr>
        <w:ind w:left="1633" w:hanging="480"/>
      </w:pPr>
      <w:rPr>
        <w:rFonts w:hint="default"/>
        <w:lang w:val="zh-CN" w:eastAsia="zh-CN" w:bidi="zh-CN"/>
      </w:rPr>
    </w:lvl>
    <w:lvl w:ilvl="1" w:tentative="0">
      <w:start w:val="1"/>
      <w:numFmt w:val="decimal"/>
      <w:lvlText w:val="%1.%2"/>
      <w:lvlJc w:val="left"/>
      <w:pPr>
        <w:ind w:left="1633" w:hanging="480"/>
      </w:pPr>
      <w:rPr>
        <w:rFonts w:hint="default" w:ascii="宋体" w:hAnsi="宋体" w:eastAsia="宋体" w:cs="宋体"/>
        <w:w w:val="100"/>
        <w:sz w:val="24"/>
        <w:szCs w:val="24"/>
        <w:lang w:val="zh-CN" w:eastAsia="zh-CN" w:bidi="zh-CN"/>
      </w:rPr>
    </w:lvl>
    <w:lvl w:ilvl="2" w:tentative="0">
      <w:start w:val="1"/>
      <w:numFmt w:val="decimal"/>
      <w:lvlText w:val="%1.%2.%3"/>
      <w:lvlJc w:val="left"/>
      <w:pPr>
        <w:ind w:left="673" w:hanging="723"/>
      </w:pPr>
      <w:rPr>
        <w:rFonts w:hint="default" w:ascii="宋体" w:hAnsi="宋体" w:eastAsia="宋体" w:cs="宋体"/>
        <w:w w:val="100"/>
        <w:sz w:val="24"/>
        <w:szCs w:val="24"/>
        <w:lang w:val="zh-CN" w:eastAsia="zh-CN" w:bidi="zh-CN"/>
      </w:rPr>
    </w:lvl>
    <w:lvl w:ilvl="3" w:tentative="0">
      <w:start w:val="0"/>
      <w:numFmt w:val="bullet"/>
      <w:lvlText w:val="•"/>
      <w:lvlJc w:val="left"/>
      <w:pPr>
        <w:ind w:left="3703" w:hanging="723"/>
      </w:pPr>
      <w:rPr>
        <w:rFonts w:hint="default"/>
        <w:lang w:val="zh-CN" w:eastAsia="zh-CN" w:bidi="zh-CN"/>
      </w:rPr>
    </w:lvl>
    <w:lvl w:ilvl="4" w:tentative="0">
      <w:start w:val="0"/>
      <w:numFmt w:val="bullet"/>
      <w:lvlText w:val="•"/>
      <w:lvlJc w:val="left"/>
      <w:pPr>
        <w:ind w:left="4735" w:hanging="723"/>
      </w:pPr>
      <w:rPr>
        <w:rFonts w:hint="default"/>
        <w:lang w:val="zh-CN" w:eastAsia="zh-CN" w:bidi="zh-CN"/>
      </w:rPr>
    </w:lvl>
    <w:lvl w:ilvl="5" w:tentative="0">
      <w:start w:val="0"/>
      <w:numFmt w:val="bullet"/>
      <w:lvlText w:val="•"/>
      <w:lvlJc w:val="left"/>
      <w:pPr>
        <w:ind w:left="5767" w:hanging="723"/>
      </w:pPr>
      <w:rPr>
        <w:rFonts w:hint="default"/>
        <w:lang w:val="zh-CN" w:eastAsia="zh-CN" w:bidi="zh-CN"/>
      </w:rPr>
    </w:lvl>
    <w:lvl w:ilvl="6" w:tentative="0">
      <w:start w:val="0"/>
      <w:numFmt w:val="bullet"/>
      <w:lvlText w:val="•"/>
      <w:lvlJc w:val="left"/>
      <w:pPr>
        <w:ind w:left="6798" w:hanging="723"/>
      </w:pPr>
      <w:rPr>
        <w:rFonts w:hint="default"/>
        <w:lang w:val="zh-CN" w:eastAsia="zh-CN" w:bidi="zh-CN"/>
      </w:rPr>
    </w:lvl>
    <w:lvl w:ilvl="7" w:tentative="0">
      <w:start w:val="0"/>
      <w:numFmt w:val="bullet"/>
      <w:lvlText w:val="•"/>
      <w:lvlJc w:val="left"/>
      <w:pPr>
        <w:ind w:left="7830" w:hanging="723"/>
      </w:pPr>
      <w:rPr>
        <w:rFonts w:hint="default"/>
        <w:lang w:val="zh-CN" w:eastAsia="zh-CN" w:bidi="zh-CN"/>
      </w:rPr>
    </w:lvl>
    <w:lvl w:ilvl="8" w:tentative="0">
      <w:start w:val="0"/>
      <w:numFmt w:val="bullet"/>
      <w:lvlText w:val="•"/>
      <w:lvlJc w:val="left"/>
      <w:pPr>
        <w:ind w:left="8862" w:hanging="723"/>
      </w:pPr>
      <w:rPr>
        <w:rFonts w:hint="default"/>
        <w:lang w:val="zh-CN" w:eastAsia="zh-CN" w:bidi="zh-CN"/>
      </w:rPr>
    </w:lvl>
  </w:abstractNum>
  <w:abstractNum w:abstractNumId="29">
    <w:nsid w:val="4B821791"/>
    <w:multiLevelType w:val="singleLevel"/>
    <w:tmpl w:val="4B821791"/>
    <w:lvl w:ilvl="0" w:tentative="0">
      <w:start w:val="4"/>
      <w:numFmt w:val="decimal"/>
      <w:suff w:val="nothing"/>
      <w:lvlText w:val="%1、"/>
      <w:lvlJc w:val="left"/>
    </w:lvl>
  </w:abstractNum>
  <w:abstractNum w:abstractNumId="30">
    <w:nsid w:val="4C1BAE26"/>
    <w:multiLevelType w:val="multilevel"/>
    <w:tmpl w:val="4C1BAE26"/>
    <w:lvl w:ilvl="0" w:tentative="0">
      <w:start w:val="4"/>
      <w:numFmt w:val="decimal"/>
      <w:lvlText w:val="%1"/>
      <w:lvlJc w:val="left"/>
      <w:pPr>
        <w:ind w:left="1573" w:hanging="420"/>
      </w:pPr>
      <w:rPr>
        <w:rFonts w:hint="default"/>
        <w:lang w:val="zh-CN" w:eastAsia="zh-CN" w:bidi="zh-CN"/>
      </w:rPr>
    </w:lvl>
    <w:lvl w:ilvl="1" w:tentative="0">
      <w:start w:val="3"/>
      <w:numFmt w:val="decimal"/>
      <w:lvlText w:val="%1.%2"/>
      <w:lvlJc w:val="left"/>
      <w:pPr>
        <w:ind w:left="1573"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673" w:hanging="723"/>
      </w:pPr>
      <w:rPr>
        <w:rFonts w:hint="default" w:ascii="宋体" w:hAnsi="宋体" w:eastAsia="宋体" w:cs="宋体"/>
        <w:w w:val="100"/>
        <w:sz w:val="24"/>
        <w:szCs w:val="24"/>
        <w:lang w:val="zh-CN" w:eastAsia="zh-CN" w:bidi="zh-CN"/>
      </w:rPr>
    </w:lvl>
    <w:lvl w:ilvl="3" w:tentative="0">
      <w:start w:val="0"/>
      <w:numFmt w:val="bullet"/>
      <w:lvlText w:val="•"/>
      <w:lvlJc w:val="left"/>
      <w:pPr>
        <w:ind w:left="3656" w:hanging="723"/>
      </w:pPr>
      <w:rPr>
        <w:rFonts w:hint="default"/>
        <w:lang w:val="zh-CN" w:eastAsia="zh-CN" w:bidi="zh-CN"/>
      </w:rPr>
    </w:lvl>
    <w:lvl w:ilvl="4" w:tentative="0">
      <w:start w:val="0"/>
      <w:numFmt w:val="bullet"/>
      <w:lvlText w:val="•"/>
      <w:lvlJc w:val="left"/>
      <w:pPr>
        <w:ind w:left="4695" w:hanging="723"/>
      </w:pPr>
      <w:rPr>
        <w:rFonts w:hint="default"/>
        <w:lang w:val="zh-CN" w:eastAsia="zh-CN" w:bidi="zh-CN"/>
      </w:rPr>
    </w:lvl>
    <w:lvl w:ilvl="5" w:tentative="0">
      <w:start w:val="0"/>
      <w:numFmt w:val="bullet"/>
      <w:lvlText w:val="•"/>
      <w:lvlJc w:val="left"/>
      <w:pPr>
        <w:ind w:left="5733" w:hanging="723"/>
      </w:pPr>
      <w:rPr>
        <w:rFonts w:hint="default"/>
        <w:lang w:val="zh-CN" w:eastAsia="zh-CN" w:bidi="zh-CN"/>
      </w:rPr>
    </w:lvl>
    <w:lvl w:ilvl="6" w:tentative="0">
      <w:start w:val="0"/>
      <w:numFmt w:val="bullet"/>
      <w:lvlText w:val="•"/>
      <w:lvlJc w:val="left"/>
      <w:pPr>
        <w:ind w:left="6772" w:hanging="723"/>
      </w:pPr>
      <w:rPr>
        <w:rFonts w:hint="default"/>
        <w:lang w:val="zh-CN" w:eastAsia="zh-CN" w:bidi="zh-CN"/>
      </w:rPr>
    </w:lvl>
    <w:lvl w:ilvl="7" w:tentative="0">
      <w:start w:val="0"/>
      <w:numFmt w:val="bullet"/>
      <w:lvlText w:val="•"/>
      <w:lvlJc w:val="left"/>
      <w:pPr>
        <w:ind w:left="7810" w:hanging="723"/>
      </w:pPr>
      <w:rPr>
        <w:rFonts w:hint="default"/>
        <w:lang w:val="zh-CN" w:eastAsia="zh-CN" w:bidi="zh-CN"/>
      </w:rPr>
    </w:lvl>
    <w:lvl w:ilvl="8" w:tentative="0">
      <w:start w:val="0"/>
      <w:numFmt w:val="bullet"/>
      <w:lvlText w:val="•"/>
      <w:lvlJc w:val="left"/>
      <w:pPr>
        <w:ind w:left="8849" w:hanging="723"/>
      </w:pPr>
      <w:rPr>
        <w:rFonts w:hint="default"/>
        <w:lang w:val="zh-CN" w:eastAsia="zh-CN" w:bidi="zh-CN"/>
      </w:rPr>
    </w:lvl>
  </w:abstractNum>
  <w:abstractNum w:abstractNumId="31">
    <w:nsid w:val="4D4DC07F"/>
    <w:multiLevelType w:val="multilevel"/>
    <w:tmpl w:val="4D4DC07F"/>
    <w:lvl w:ilvl="0" w:tentative="0">
      <w:start w:val="1"/>
      <w:numFmt w:val="decimal"/>
      <w:lvlText w:val="（%1）"/>
      <w:lvlJc w:val="left"/>
      <w:pPr>
        <w:ind w:left="673" w:hanging="601"/>
      </w:pPr>
      <w:rPr>
        <w:rFonts w:hint="default" w:ascii="宋体" w:hAnsi="宋体" w:eastAsia="宋体" w:cs="宋体"/>
        <w:spacing w:val="-10"/>
        <w:w w:val="100"/>
        <w:sz w:val="22"/>
        <w:szCs w:val="22"/>
        <w:lang w:val="zh-CN" w:eastAsia="zh-CN" w:bidi="zh-CN"/>
      </w:rPr>
    </w:lvl>
    <w:lvl w:ilvl="1" w:tentative="0">
      <w:start w:val="0"/>
      <w:numFmt w:val="bullet"/>
      <w:lvlText w:val="•"/>
      <w:lvlJc w:val="left"/>
      <w:pPr>
        <w:ind w:left="1704" w:hanging="601"/>
      </w:pPr>
      <w:rPr>
        <w:rFonts w:hint="default"/>
        <w:lang w:val="zh-CN" w:eastAsia="zh-CN" w:bidi="zh-CN"/>
      </w:rPr>
    </w:lvl>
    <w:lvl w:ilvl="2" w:tentative="0">
      <w:start w:val="0"/>
      <w:numFmt w:val="bullet"/>
      <w:lvlText w:val="•"/>
      <w:lvlJc w:val="left"/>
      <w:pPr>
        <w:ind w:left="2729" w:hanging="601"/>
      </w:pPr>
      <w:rPr>
        <w:rFonts w:hint="default"/>
        <w:lang w:val="zh-CN" w:eastAsia="zh-CN" w:bidi="zh-CN"/>
      </w:rPr>
    </w:lvl>
    <w:lvl w:ilvl="3" w:tentative="0">
      <w:start w:val="0"/>
      <w:numFmt w:val="bullet"/>
      <w:lvlText w:val="•"/>
      <w:lvlJc w:val="left"/>
      <w:pPr>
        <w:ind w:left="375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827" w:hanging="601"/>
      </w:pPr>
      <w:rPr>
        <w:rFonts w:hint="default"/>
        <w:lang w:val="zh-CN" w:eastAsia="zh-CN" w:bidi="zh-CN"/>
      </w:rPr>
    </w:lvl>
    <w:lvl w:ilvl="7" w:tentative="0">
      <w:start w:val="0"/>
      <w:numFmt w:val="bullet"/>
      <w:lvlText w:val="•"/>
      <w:lvlJc w:val="left"/>
      <w:pPr>
        <w:ind w:left="7852" w:hanging="601"/>
      </w:pPr>
      <w:rPr>
        <w:rFonts w:hint="default"/>
        <w:lang w:val="zh-CN" w:eastAsia="zh-CN" w:bidi="zh-CN"/>
      </w:rPr>
    </w:lvl>
    <w:lvl w:ilvl="8" w:tentative="0">
      <w:start w:val="0"/>
      <w:numFmt w:val="bullet"/>
      <w:lvlText w:val="•"/>
      <w:lvlJc w:val="left"/>
      <w:pPr>
        <w:ind w:left="8876" w:hanging="601"/>
      </w:pPr>
      <w:rPr>
        <w:rFonts w:hint="default"/>
        <w:lang w:val="zh-CN" w:eastAsia="zh-CN" w:bidi="zh-CN"/>
      </w:rPr>
    </w:lvl>
  </w:abstractNum>
  <w:abstractNum w:abstractNumId="32">
    <w:nsid w:val="4D94DA66"/>
    <w:multiLevelType w:val="multilevel"/>
    <w:tmpl w:val="4D94DA66"/>
    <w:lvl w:ilvl="0" w:tentative="0">
      <w:start w:val="1"/>
      <w:numFmt w:val="decimal"/>
      <w:lvlText w:val="（%1）"/>
      <w:lvlJc w:val="left"/>
      <w:pPr>
        <w:ind w:left="1754" w:hanging="601"/>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2676" w:hanging="601"/>
      </w:pPr>
      <w:rPr>
        <w:rFonts w:hint="default"/>
        <w:lang w:val="zh-CN" w:eastAsia="zh-CN" w:bidi="zh-CN"/>
      </w:rPr>
    </w:lvl>
    <w:lvl w:ilvl="2" w:tentative="0">
      <w:start w:val="0"/>
      <w:numFmt w:val="bullet"/>
      <w:lvlText w:val="•"/>
      <w:lvlJc w:val="left"/>
      <w:pPr>
        <w:ind w:left="3593" w:hanging="601"/>
      </w:pPr>
      <w:rPr>
        <w:rFonts w:hint="default"/>
        <w:lang w:val="zh-CN" w:eastAsia="zh-CN" w:bidi="zh-CN"/>
      </w:rPr>
    </w:lvl>
    <w:lvl w:ilvl="3" w:tentative="0">
      <w:start w:val="0"/>
      <w:numFmt w:val="bullet"/>
      <w:lvlText w:val="•"/>
      <w:lvlJc w:val="left"/>
      <w:pPr>
        <w:ind w:left="4509" w:hanging="601"/>
      </w:pPr>
      <w:rPr>
        <w:rFonts w:hint="default"/>
        <w:lang w:val="zh-CN" w:eastAsia="zh-CN" w:bidi="zh-CN"/>
      </w:rPr>
    </w:lvl>
    <w:lvl w:ilvl="4" w:tentative="0">
      <w:start w:val="0"/>
      <w:numFmt w:val="bullet"/>
      <w:lvlText w:val="•"/>
      <w:lvlJc w:val="left"/>
      <w:pPr>
        <w:ind w:left="5426" w:hanging="601"/>
      </w:pPr>
      <w:rPr>
        <w:rFonts w:hint="default"/>
        <w:lang w:val="zh-CN" w:eastAsia="zh-CN" w:bidi="zh-CN"/>
      </w:rPr>
    </w:lvl>
    <w:lvl w:ilvl="5" w:tentative="0">
      <w:start w:val="0"/>
      <w:numFmt w:val="bullet"/>
      <w:lvlText w:val="•"/>
      <w:lvlJc w:val="left"/>
      <w:pPr>
        <w:ind w:left="6343" w:hanging="601"/>
      </w:pPr>
      <w:rPr>
        <w:rFonts w:hint="default"/>
        <w:lang w:val="zh-CN" w:eastAsia="zh-CN" w:bidi="zh-CN"/>
      </w:rPr>
    </w:lvl>
    <w:lvl w:ilvl="6" w:tentative="0">
      <w:start w:val="0"/>
      <w:numFmt w:val="bullet"/>
      <w:lvlText w:val="•"/>
      <w:lvlJc w:val="left"/>
      <w:pPr>
        <w:ind w:left="7259" w:hanging="601"/>
      </w:pPr>
      <w:rPr>
        <w:rFonts w:hint="default"/>
        <w:lang w:val="zh-CN" w:eastAsia="zh-CN" w:bidi="zh-CN"/>
      </w:rPr>
    </w:lvl>
    <w:lvl w:ilvl="7" w:tentative="0">
      <w:start w:val="0"/>
      <w:numFmt w:val="bullet"/>
      <w:lvlText w:val="•"/>
      <w:lvlJc w:val="left"/>
      <w:pPr>
        <w:ind w:left="8176" w:hanging="601"/>
      </w:pPr>
      <w:rPr>
        <w:rFonts w:hint="default"/>
        <w:lang w:val="zh-CN" w:eastAsia="zh-CN" w:bidi="zh-CN"/>
      </w:rPr>
    </w:lvl>
    <w:lvl w:ilvl="8" w:tentative="0">
      <w:start w:val="0"/>
      <w:numFmt w:val="bullet"/>
      <w:lvlText w:val="•"/>
      <w:lvlJc w:val="left"/>
      <w:pPr>
        <w:ind w:left="9092" w:hanging="601"/>
      </w:pPr>
      <w:rPr>
        <w:rFonts w:hint="default"/>
        <w:lang w:val="zh-CN" w:eastAsia="zh-CN" w:bidi="zh-CN"/>
      </w:rPr>
    </w:lvl>
  </w:abstractNum>
  <w:abstractNum w:abstractNumId="33">
    <w:nsid w:val="55190951"/>
    <w:multiLevelType w:val="singleLevel"/>
    <w:tmpl w:val="55190951"/>
    <w:lvl w:ilvl="0" w:tentative="0">
      <w:start w:val="4"/>
      <w:numFmt w:val="decimal"/>
      <w:suff w:val="nothing"/>
      <w:lvlText w:val="%1、"/>
      <w:lvlJc w:val="left"/>
    </w:lvl>
  </w:abstractNum>
  <w:abstractNum w:abstractNumId="34">
    <w:nsid w:val="58765686"/>
    <w:multiLevelType w:val="multilevel"/>
    <w:tmpl w:val="58765686"/>
    <w:lvl w:ilvl="0" w:tentative="0">
      <w:start w:val="7"/>
      <w:numFmt w:val="decimal"/>
      <w:lvlText w:val="%1"/>
      <w:lvlJc w:val="left"/>
      <w:pPr>
        <w:ind w:left="1633" w:hanging="480"/>
      </w:pPr>
      <w:rPr>
        <w:rFonts w:hint="default"/>
        <w:lang w:val="zh-CN" w:eastAsia="zh-CN" w:bidi="zh-CN"/>
      </w:rPr>
    </w:lvl>
    <w:lvl w:ilvl="1" w:tentative="0">
      <w:start w:val="1"/>
      <w:numFmt w:val="decimal"/>
      <w:lvlText w:val="%1.%2"/>
      <w:lvlJc w:val="left"/>
      <w:pPr>
        <w:ind w:left="1633" w:hanging="480"/>
      </w:pPr>
      <w:rPr>
        <w:rFonts w:hint="default" w:ascii="宋体" w:hAnsi="宋体" w:eastAsia="宋体" w:cs="宋体"/>
        <w:w w:val="100"/>
        <w:sz w:val="24"/>
        <w:szCs w:val="24"/>
        <w:lang w:val="zh-CN" w:eastAsia="zh-CN" w:bidi="zh-CN"/>
      </w:rPr>
    </w:lvl>
    <w:lvl w:ilvl="2" w:tentative="0">
      <w:start w:val="1"/>
      <w:numFmt w:val="decimal"/>
      <w:lvlText w:val="%1.%2.%3"/>
      <w:lvlJc w:val="left"/>
      <w:pPr>
        <w:ind w:left="673"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3703" w:hanging="660"/>
      </w:pPr>
      <w:rPr>
        <w:rFonts w:hint="default"/>
        <w:lang w:val="zh-CN" w:eastAsia="zh-CN" w:bidi="zh-CN"/>
      </w:rPr>
    </w:lvl>
    <w:lvl w:ilvl="4" w:tentative="0">
      <w:start w:val="0"/>
      <w:numFmt w:val="bullet"/>
      <w:lvlText w:val="•"/>
      <w:lvlJc w:val="left"/>
      <w:pPr>
        <w:ind w:left="4735" w:hanging="660"/>
      </w:pPr>
      <w:rPr>
        <w:rFonts w:hint="default"/>
        <w:lang w:val="zh-CN" w:eastAsia="zh-CN" w:bidi="zh-CN"/>
      </w:rPr>
    </w:lvl>
    <w:lvl w:ilvl="5" w:tentative="0">
      <w:start w:val="0"/>
      <w:numFmt w:val="bullet"/>
      <w:lvlText w:val="•"/>
      <w:lvlJc w:val="left"/>
      <w:pPr>
        <w:ind w:left="5767" w:hanging="660"/>
      </w:pPr>
      <w:rPr>
        <w:rFonts w:hint="default"/>
        <w:lang w:val="zh-CN" w:eastAsia="zh-CN" w:bidi="zh-CN"/>
      </w:rPr>
    </w:lvl>
    <w:lvl w:ilvl="6" w:tentative="0">
      <w:start w:val="0"/>
      <w:numFmt w:val="bullet"/>
      <w:lvlText w:val="•"/>
      <w:lvlJc w:val="left"/>
      <w:pPr>
        <w:ind w:left="6798" w:hanging="660"/>
      </w:pPr>
      <w:rPr>
        <w:rFonts w:hint="default"/>
        <w:lang w:val="zh-CN" w:eastAsia="zh-CN" w:bidi="zh-CN"/>
      </w:rPr>
    </w:lvl>
    <w:lvl w:ilvl="7" w:tentative="0">
      <w:start w:val="0"/>
      <w:numFmt w:val="bullet"/>
      <w:lvlText w:val="•"/>
      <w:lvlJc w:val="left"/>
      <w:pPr>
        <w:ind w:left="7830" w:hanging="660"/>
      </w:pPr>
      <w:rPr>
        <w:rFonts w:hint="default"/>
        <w:lang w:val="zh-CN" w:eastAsia="zh-CN" w:bidi="zh-CN"/>
      </w:rPr>
    </w:lvl>
    <w:lvl w:ilvl="8" w:tentative="0">
      <w:start w:val="0"/>
      <w:numFmt w:val="bullet"/>
      <w:lvlText w:val="•"/>
      <w:lvlJc w:val="left"/>
      <w:pPr>
        <w:ind w:left="8862" w:hanging="660"/>
      </w:pPr>
      <w:rPr>
        <w:rFonts w:hint="default"/>
        <w:lang w:val="zh-CN" w:eastAsia="zh-CN" w:bidi="zh-CN"/>
      </w:rPr>
    </w:lvl>
  </w:abstractNum>
  <w:abstractNum w:abstractNumId="35">
    <w:nsid w:val="59EEFD2A"/>
    <w:multiLevelType w:val="multilevel"/>
    <w:tmpl w:val="59EEFD2A"/>
    <w:lvl w:ilvl="0" w:tentative="0">
      <w:start w:val="1"/>
      <w:numFmt w:val="decimal"/>
      <w:lvlText w:val="（%1）"/>
      <w:lvlJc w:val="left"/>
      <w:pPr>
        <w:ind w:left="1154" w:hanging="601"/>
      </w:pPr>
      <w:rPr>
        <w:rFonts w:hint="default" w:ascii="宋体" w:hAnsi="宋体" w:eastAsia="宋体" w:cs="宋体"/>
        <w:w w:val="100"/>
        <w:sz w:val="22"/>
        <w:szCs w:val="22"/>
        <w:lang w:val="zh-CN" w:eastAsia="zh-CN" w:bidi="zh-CN"/>
      </w:rPr>
    </w:lvl>
    <w:lvl w:ilvl="1" w:tentative="0">
      <w:start w:val="1"/>
      <w:numFmt w:val="decimal"/>
      <w:lvlText w:val="%2."/>
      <w:lvlJc w:val="left"/>
      <w:pPr>
        <w:ind w:left="1274" w:hanging="241"/>
      </w:pPr>
      <w:rPr>
        <w:rFonts w:hint="default" w:ascii="宋体" w:hAnsi="宋体" w:eastAsia="宋体" w:cs="宋体"/>
        <w:w w:val="100"/>
        <w:sz w:val="22"/>
        <w:szCs w:val="22"/>
        <w:lang w:val="zh-CN" w:eastAsia="zh-CN" w:bidi="zh-CN"/>
      </w:rPr>
    </w:lvl>
    <w:lvl w:ilvl="2" w:tentative="0">
      <w:start w:val="0"/>
      <w:numFmt w:val="bullet"/>
      <w:lvlText w:val="•"/>
      <w:lvlJc w:val="left"/>
      <w:pPr>
        <w:ind w:left="2256" w:hanging="241"/>
      </w:pPr>
      <w:rPr>
        <w:rFonts w:hint="default"/>
        <w:lang w:val="zh-CN" w:eastAsia="zh-CN" w:bidi="zh-CN"/>
      </w:rPr>
    </w:lvl>
    <w:lvl w:ilvl="3" w:tentative="0">
      <w:start w:val="0"/>
      <w:numFmt w:val="bullet"/>
      <w:lvlText w:val="•"/>
      <w:lvlJc w:val="left"/>
      <w:pPr>
        <w:ind w:left="3232" w:hanging="241"/>
      </w:pPr>
      <w:rPr>
        <w:rFonts w:hint="default"/>
        <w:lang w:val="zh-CN" w:eastAsia="zh-CN" w:bidi="zh-CN"/>
      </w:rPr>
    </w:lvl>
    <w:lvl w:ilvl="4" w:tentative="0">
      <w:start w:val="0"/>
      <w:numFmt w:val="bullet"/>
      <w:lvlText w:val="•"/>
      <w:lvlJc w:val="left"/>
      <w:pPr>
        <w:ind w:left="4208" w:hanging="241"/>
      </w:pPr>
      <w:rPr>
        <w:rFonts w:hint="default"/>
        <w:lang w:val="zh-CN" w:eastAsia="zh-CN" w:bidi="zh-CN"/>
      </w:rPr>
    </w:lvl>
    <w:lvl w:ilvl="5" w:tentative="0">
      <w:start w:val="0"/>
      <w:numFmt w:val="bullet"/>
      <w:lvlText w:val="•"/>
      <w:lvlJc w:val="left"/>
      <w:pPr>
        <w:ind w:left="5184" w:hanging="241"/>
      </w:pPr>
      <w:rPr>
        <w:rFonts w:hint="default"/>
        <w:lang w:val="zh-CN" w:eastAsia="zh-CN" w:bidi="zh-CN"/>
      </w:rPr>
    </w:lvl>
    <w:lvl w:ilvl="6" w:tentative="0">
      <w:start w:val="0"/>
      <w:numFmt w:val="bullet"/>
      <w:lvlText w:val="•"/>
      <w:lvlJc w:val="left"/>
      <w:pPr>
        <w:ind w:left="6161" w:hanging="241"/>
      </w:pPr>
      <w:rPr>
        <w:rFonts w:hint="default"/>
        <w:lang w:val="zh-CN" w:eastAsia="zh-CN" w:bidi="zh-CN"/>
      </w:rPr>
    </w:lvl>
    <w:lvl w:ilvl="7" w:tentative="0">
      <w:start w:val="0"/>
      <w:numFmt w:val="bullet"/>
      <w:lvlText w:val="•"/>
      <w:lvlJc w:val="left"/>
      <w:pPr>
        <w:ind w:left="7137" w:hanging="241"/>
      </w:pPr>
      <w:rPr>
        <w:rFonts w:hint="default"/>
        <w:lang w:val="zh-CN" w:eastAsia="zh-CN" w:bidi="zh-CN"/>
      </w:rPr>
    </w:lvl>
    <w:lvl w:ilvl="8" w:tentative="0">
      <w:start w:val="0"/>
      <w:numFmt w:val="bullet"/>
      <w:lvlText w:val="•"/>
      <w:lvlJc w:val="left"/>
      <w:pPr>
        <w:ind w:left="8113" w:hanging="241"/>
      </w:pPr>
      <w:rPr>
        <w:rFonts w:hint="default"/>
        <w:lang w:val="zh-CN" w:eastAsia="zh-CN" w:bidi="zh-CN"/>
      </w:rPr>
    </w:lvl>
  </w:abstractNum>
  <w:abstractNum w:abstractNumId="36">
    <w:nsid w:val="5A241D34"/>
    <w:multiLevelType w:val="multilevel"/>
    <w:tmpl w:val="5A241D34"/>
    <w:lvl w:ilvl="0" w:tentative="0">
      <w:start w:val="2"/>
      <w:numFmt w:val="decimal"/>
      <w:lvlText w:val="%1"/>
      <w:lvlJc w:val="left"/>
      <w:pPr>
        <w:ind w:left="1633" w:hanging="480"/>
      </w:pPr>
      <w:rPr>
        <w:rFonts w:hint="default"/>
        <w:lang w:val="zh-CN" w:eastAsia="zh-CN" w:bidi="zh-CN"/>
      </w:rPr>
    </w:lvl>
    <w:lvl w:ilvl="1" w:tentative="0">
      <w:start w:val="1"/>
      <w:numFmt w:val="decimal"/>
      <w:lvlText w:val="%1.%2"/>
      <w:lvlJc w:val="left"/>
      <w:pPr>
        <w:ind w:left="1633" w:hanging="480"/>
      </w:pPr>
      <w:rPr>
        <w:rFonts w:hint="default" w:ascii="宋体" w:hAnsi="宋体" w:eastAsia="宋体" w:cs="宋体"/>
        <w:w w:val="100"/>
        <w:sz w:val="24"/>
        <w:szCs w:val="24"/>
        <w:lang w:val="zh-CN" w:eastAsia="zh-CN" w:bidi="zh-CN"/>
      </w:rPr>
    </w:lvl>
    <w:lvl w:ilvl="2" w:tentative="0">
      <w:start w:val="1"/>
      <w:numFmt w:val="decimal"/>
      <w:lvlText w:val="%1.%2.%3"/>
      <w:lvlJc w:val="left"/>
      <w:pPr>
        <w:ind w:left="1153"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800" w:hanging="660"/>
      </w:pPr>
      <w:rPr>
        <w:rFonts w:hint="default"/>
        <w:lang w:val="zh-CN" w:eastAsia="zh-CN" w:bidi="zh-CN"/>
      </w:rPr>
    </w:lvl>
    <w:lvl w:ilvl="4" w:tentative="0">
      <w:start w:val="0"/>
      <w:numFmt w:val="bullet"/>
      <w:lvlText w:val="•"/>
      <w:lvlJc w:val="left"/>
      <w:pPr>
        <w:ind w:left="3961" w:hanging="660"/>
      </w:pPr>
      <w:rPr>
        <w:rFonts w:hint="default"/>
        <w:lang w:val="zh-CN" w:eastAsia="zh-CN" w:bidi="zh-CN"/>
      </w:rPr>
    </w:lvl>
    <w:lvl w:ilvl="5" w:tentative="0">
      <w:start w:val="0"/>
      <w:numFmt w:val="bullet"/>
      <w:lvlText w:val="•"/>
      <w:lvlJc w:val="left"/>
      <w:pPr>
        <w:ind w:left="5122" w:hanging="660"/>
      </w:pPr>
      <w:rPr>
        <w:rFonts w:hint="default"/>
        <w:lang w:val="zh-CN" w:eastAsia="zh-CN" w:bidi="zh-CN"/>
      </w:rPr>
    </w:lvl>
    <w:lvl w:ilvl="6" w:tentative="0">
      <w:start w:val="0"/>
      <w:numFmt w:val="bullet"/>
      <w:lvlText w:val="•"/>
      <w:lvlJc w:val="left"/>
      <w:pPr>
        <w:ind w:left="6283" w:hanging="660"/>
      </w:pPr>
      <w:rPr>
        <w:rFonts w:hint="default"/>
        <w:lang w:val="zh-CN" w:eastAsia="zh-CN" w:bidi="zh-CN"/>
      </w:rPr>
    </w:lvl>
    <w:lvl w:ilvl="7" w:tentative="0">
      <w:start w:val="0"/>
      <w:numFmt w:val="bullet"/>
      <w:lvlText w:val="•"/>
      <w:lvlJc w:val="left"/>
      <w:pPr>
        <w:ind w:left="7443" w:hanging="660"/>
      </w:pPr>
      <w:rPr>
        <w:rFonts w:hint="default"/>
        <w:lang w:val="zh-CN" w:eastAsia="zh-CN" w:bidi="zh-CN"/>
      </w:rPr>
    </w:lvl>
    <w:lvl w:ilvl="8" w:tentative="0">
      <w:start w:val="0"/>
      <w:numFmt w:val="bullet"/>
      <w:lvlText w:val="•"/>
      <w:lvlJc w:val="left"/>
      <w:pPr>
        <w:ind w:left="8604" w:hanging="660"/>
      </w:pPr>
      <w:rPr>
        <w:rFonts w:hint="default"/>
        <w:lang w:val="zh-CN" w:eastAsia="zh-CN" w:bidi="zh-CN"/>
      </w:rPr>
    </w:lvl>
  </w:abstractNum>
  <w:abstractNum w:abstractNumId="37">
    <w:nsid w:val="5E29AB5A"/>
    <w:multiLevelType w:val="multilevel"/>
    <w:tmpl w:val="5E29AB5A"/>
    <w:lvl w:ilvl="0" w:tentative="0">
      <w:start w:val="3"/>
      <w:numFmt w:val="decimal"/>
      <w:lvlText w:val="%1"/>
      <w:lvlJc w:val="left"/>
      <w:pPr>
        <w:ind w:left="752" w:hanging="720"/>
      </w:pPr>
      <w:rPr>
        <w:rFonts w:hint="default"/>
        <w:lang w:val="zh-CN" w:eastAsia="zh-CN" w:bidi="zh-CN"/>
      </w:rPr>
    </w:lvl>
    <w:lvl w:ilvl="1" w:tentative="0">
      <w:start w:val="5"/>
      <w:numFmt w:val="decimal"/>
      <w:lvlText w:val="%1.%2"/>
      <w:lvlJc w:val="left"/>
      <w:pPr>
        <w:ind w:left="752" w:hanging="720"/>
      </w:pPr>
      <w:rPr>
        <w:rFonts w:hint="default"/>
        <w:lang w:val="zh-CN" w:eastAsia="zh-CN" w:bidi="zh-CN"/>
      </w:rPr>
    </w:lvl>
    <w:lvl w:ilvl="2" w:tentative="0">
      <w:start w:val="1"/>
      <w:numFmt w:val="decimal"/>
      <w:lvlText w:val="%1.%2.%3"/>
      <w:lvlJc w:val="left"/>
      <w:pPr>
        <w:ind w:left="752" w:hanging="720"/>
      </w:pPr>
      <w:rPr>
        <w:rFonts w:hint="default" w:ascii="宋体" w:hAnsi="宋体" w:eastAsia="宋体" w:cs="宋体"/>
        <w:spacing w:val="-20"/>
        <w:w w:val="100"/>
        <w:sz w:val="24"/>
        <w:szCs w:val="24"/>
        <w:lang w:val="zh-CN" w:eastAsia="zh-CN" w:bidi="zh-CN"/>
      </w:rPr>
    </w:lvl>
    <w:lvl w:ilvl="3" w:tentative="0">
      <w:start w:val="0"/>
      <w:numFmt w:val="bullet"/>
      <w:lvlText w:val="•"/>
      <w:lvlJc w:val="left"/>
      <w:pPr>
        <w:ind w:left="3809" w:hanging="720"/>
      </w:pPr>
      <w:rPr>
        <w:rFonts w:hint="default"/>
        <w:lang w:val="zh-CN" w:eastAsia="zh-CN" w:bidi="zh-CN"/>
      </w:rPr>
    </w:lvl>
    <w:lvl w:ilvl="4" w:tentative="0">
      <w:start w:val="0"/>
      <w:numFmt w:val="bullet"/>
      <w:lvlText w:val="•"/>
      <w:lvlJc w:val="left"/>
      <w:pPr>
        <w:ind w:left="4826" w:hanging="720"/>
      </w:pPr>
      <w:rPr>
        <w:rFonts w:hint="default"/>
        <w:lang w:val="zh-CN" w:eastAsia="zh-CN" w:bidi="zh-CN"/>
      </w:rPr>
    </w:lvl>
    <w:lvl w:ilvl="5" w:tentative="0">
      <w:start w:val="0"/>
      <w:numFmt w:val="bullet"/>
      <w:lvlText w:val="•"/>
      <w:lvlJc w:val="left"/>
      <w:pPr>
        <w:ind w:left="5843" w:hanging="720"/>
      </w:pPr>
      <w:rPr>
        <w:rFonts w:hint="default"/>
        <w:lang w:val="zh-CN" w:eastAsia="zh-CN" w:bidi="zh-CN"/>
      </w:rPr>
    </w:lvl>
    <w:lvl w:ilvl="6" w:tentative="0">
      <w:start w:val="0"/>
      <w:numFmt w:val="bullet"/>
      <w:lvlText w:val="•"/>
      <w:lvlJc w:val="left"/>
      <w:pPr>
        <w:ind w:left="6859" w:hanging="720"/>
      </w:pPr>
      <w:rPr>
        <w:rFonts w:hint="default"/>
        <w:lang w:val="zh-CN" w:eastAsia="zh-CN" w:bidi="zh-CN"/>
      </w:rPr>
    </w:lvl>
    <w:lvl w:ilvl="7" w:tentative="0">
      <w:start w:val="0"/>
      <w:numFmt w:val="bullet"/>
      <w:lvlText w:val="•"/>
      <w:lvlJc w:val="left"/>
      <w:pPr>
        <w:ind w:left="7876" w:hanging="720"/>
      </w:pPr>
      <w:rPr>
        <w:rFonts w:hint="default"/>
        <w:lang w:val="zh-CN" w:eastAsia="zh-CN" w:bidi="zh-CN"/>
      </w:rPr>
    </w:lvl>
    <w:lvl w:ilvl="8" w:tentative="0">
      <w:start w:val="0"/>
      <w:numFmt w:val="bullet"/>
      <w:lvlText w:val="•"/>
      <w:lvlJc w:val="left"/>
      <w:pPr>
        <w:ind w:left="8892" w:hanging="720"/>
      </w:pPr>
      <w:rPr>
        <w:rFonts w:hint="default"/>
        <w:lang w:val="zh-CN" w:eastAsia="zh-CN" w:bidi="zh-CN"/>
      </w:rPr>
    </w:lvl>
  </w:abstractNum>
  <w:abstractNum w:abstractNumId="38">
    <w:nsid w:val="60382F6E"/>
    <w:multiLevelType w:val="multilevel"/>
    <w:tmpl w:val="60382F6E"/>
    <w:lvl w:ilvl="0" w:tentative="0">
      <w:start w:val="5"/>
      <w:numFmt w:val="decimal"/>
      <w:lvlText w:val="%1"/>
      <w:lvlJc w:val="left"/>
      <w:pPr>
        <w:ind w:left="1633" w:hanging="480"/>
      </w:pPr>
      <w:rPr>
        <w:rFonts w:hint="default"/>
        <w:lang w:val="zh-CN" w:eastAsia="zh-CN" w:bidi="zh-CN"/>
      </w:rPr>
    </w:lvl>
    <w:lvl w:ilvl="1" w:tentative="0">
      <w:start w:val="1"/>
      <w:numFmt w:val="decimal"/>
      <w:lvlText w:val="%1.%2"/>
      <w:lvlJc w:val="left"/>
      <w:pPr>
        <w:ind w:left="1633" w:hanging="480"/>
      </w:pPr>
      <w:rPr>
        <w:rFonts w:hint="default" w:ascii="宋体" w:hAnsi="宋体" w:eastAsia="宋体" w:cs="宋体"/>
        <w:w w:val="100"/>
        <w:sz w:val="24"/>
        <w:szCs w:val="24"/>
        <w:lang w:val="zh-CN" w:eastAsia="zh-CN" w:bidi="zh-CN"/>
      </w:rPr>
    </w:lvl>
    <w:lvl w:ilvl="2" w:tentative="0">
      <w:start w:val="1"/>
      <w:numFmt w:val="decimal"/>
      <w:lvlText w:val="%1.%2.%3"/>
      <w:lvlJc w:val="left"/>
      <w:pPr>
        <w:ind w:left="673"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3703" w:hanging="660"/>
      </w:pPr>
      <w:rPr>
        <w:rFonts w:hint="default"/>
        <w:lang w:val="zh-CN" w:eastAsia="zh-CN" w:bidi="zh-CN"/>
      </w:rPr>
    </w:lvl>
    <w:lvl w:ilvl="4" w:tentative="0">
      <w:start w:val="0"/>
      <w:numFmt w:val="bullet"/>
      <w:lvlText w:val="•"/>
      <w:lvlJc w:val="left"/>
      <w:pPr>
        <w:ind w:left="4735" w:hanging="660"/>
      </w:pPr>
      <w:rPr>
        <w:rFonts w:hint="default"/>
        <w:lang w:val="zh-CN" w:eastAsia="zh-CN" w:bidi="zh-CN"/>
      </w:rPr>
    </w:lvl>
    <w:lvl w:ilvl="5" w:tentative="0">
      <w:start w:val="0"/>
      <w:numFmt w:val="bullet"/>
      <w:lvlText w:val="•"/>
      <w:lvlJc w:val="left"/>
      <w:pPr>
        <w:ind w:left="5767" w:hanging="660"/>
      </w:pPr>
      <w:rPr>
        <w:rFonts w:hint="default"/>
        <w:lang w:val="zh-CN" w:eastAsia="zh-CN" w:bidi="zh-CN"/>
      </w:rPr>
    </w:lvl>
    <w:lvl w:ilvl="6" w:tentative="0">
      <w:start w:val="0"/>
      <w:numFmt w:val="bullet"/>
      <w:lvlText w:val="•"/>
      <w:lvlJc w:val="left"/>
      <w:pPr>
        <w:ind w:left="6798" w:hanging="660"/>
      </w:pPr>
      <w:rPr>
        <w:rFonts w:hint="default"/>
        <w:lang w:val="zh-CN" w:eastAsia="zh-CN" w:bidi="zh-CN"/>
      </w:rPr>
    </w:lvl>
    <w:lvl w:ilvl="7" w:tentative="0">
      <w:start w:val="0"/>
      <w:numFmt w:val="bullet"/>
      <w:lvlText w:val="•"/>
      <w:lvlJc w:val="left"/>
      <w:pPr>
        <w:ind w:left="7830" w:hanging="660"/>
      </w:pPr>
      <w:rPr>
        <w:rFonts w:hint="default"/>
        <w:lang w:val="zh-CN" w:eastAsia="zh-CN" w:bidi="zh-CN"/>
      </w:rPr>
    </w:lvl>
    <w:lvl w:ilvl="8" w:tentative="0">
      <w:start w:val="0"/>
      <w:numFmt w:val="bullet"/>
      <w:lvlText w:val="•"/>
      <w:lvlJc w:val="left"/>
      <w:pPr>
        <w:ind w:left="8862" w:hanging="660"/>
      </w:pPr>
      <w:rPr>
        <w:rFonts w:hint="default"/>
        <w:lang w:val="zh-CN" w:eastAsia="zh-CN" w:bidi="zh-CN"/>
      </w:rPr>
    </w:lvl>
  </w:abstractNum>
  <w:abstractNum w:abstractNumId="39">
    <w:nsid w:val="607A6CA7"/>
    <w:multiLevelType w:val="multilevel"/>
    <w:tmpl w:val="607A6CA7"/>
    <w:lvl w:ilvl="0" w:tentative="0">
      <w:start w:val="1"/>
      <w:numFmt w:val="decimal"/>
      <w:lvlText w:val="（%1）"/>
      <w:lvlJc w:val="left"/>
      <w:pPr>
        <w:tabs>
          <w:tab w:val="left" w:pos="1800"/>
        </w:tabs>
        <w:ind w:left="18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629F7852"/>
    <w:multiLevelType w:val="multilevel"/>
    <w:tmpl w:val="629F7852"/>
    <w:lvl w:ilvl="0" w:tentative="0">
      <w:start w:val="1"/>
      <w:numFmt w:val="decimal"/>
      <w:lvlText w:val="（%1）"/>
      <w:lvlJc w:val="left"/>
      <w:pPr>
        <w:ind w:left="673" w:hanging="601"/>
      </w:pPr>
      <w:rPr>
        <w:rFonts w:hint="default" w:ascii="宋体" w:hAnsi="宋体" w:eastAsia="宋体" w:cs="宋体"/>
        <w:spacing w:val="-10"/>
        <w:w w:val="100"/>
        <w:sz w:val="22"/>
        <w:szCs w:val="22"/>
        <w:lang w:val="zh-CN" w:eastAsia="zh-CN" w:bidi="zh-CN"/>
      </w:rPr>
    </w:lvl>
    <w:lvl w:ilvl="1" w:tentative="0">
      <w:start w:val="0"/>
      <w:numFmt w:val="bullet"/>
      <w:lvlText w:val="•"/>
      <w:lvlJc w:val="left"/>
      <w:pPr>
        <w:ind w:left="1704" w:hanging="601"/>
      </w:pPr>
      <w:rPr>
        <w:rFonts w:hint="default"/>
        <w:lang w:val="zh-CN" w:eastAsia="zh-CN" w:bidi="zh-CN"/>
      </w:rPr>
    </w:lvl>
    <w:lvl w:ilvl="2" w:tentative="0">
      <w:start w:val="0"/>
      <w:numFmt w:val="bullet"/>
      <w:lvlText w:val="•"/>
      <w:lvlJc w:val="left"/>
      <w:pPr>
        <w:ind w:left="2729" w:hanging="601"/>
      </w:pPr>
      <w:rPr>
        <w:rFonts w:hint="default"/>
        <w:lang w:val="zh-CN" w:eastAsia="zh-CN" w:bidi="zh-CN"/>
      </w:rPr>
    </w:lvl>
    <w:lvl w:ilvl="3" w:tentative="0">
      <w:start w:val="0"/>
      <w:numFmt w:val="bullet"/>
      <w:lvlText w:val="•"/>
      <w:lvlJc w:val="left"/>
      <w:pPr>
        <w:ind w:left="375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827" w:hanging="601"/>
      </w:pPr>
      <w:rPr>
        <w:rFonts w:hint="default"/>
        <w:lang w:val="zh-CN" w:eastAsia="zh-CN" w:bidi="zh-CN"/>
      </w:rPr>
    </w:lvl>
    <w:lvl w:ilvl="7" w:tentative="0">
      <w:start w:val="0"/>
      <w:numFmt w:val="bullet"/>
      <w:lvlText w:val="•"/>
      <w:lvlJc w:val="left"/>
      <w:pPr>
        <w:ind w:left="7852" w:hanging="601"/>
      </w:pPr>
      <w:rPr>
        <w:rFonts w:hint="default"/>
        <w:lang w:val="zh-CN" w:eastAsia="zh-CN" w:bidi="zh-CN"/>
      </w:rPr>
    </w:lvl>
    <w:lvl w:ilvl="8" w:tentative="0">
      <w:start w:val="0"/>
      <w:numFmt w:val="bullet"/>
      <w:lvlText w:val="•"/>
      <w:lvlJc w:val="left"/>
      <w:pPr>
        <w:ind w:left="8876" w:hanging="601"/>
      </w:pPr>
      <w:rPr>
        <w:rFonts w:hint="default"/>
        <w:lang w:val="zh-CN" w:eastAsia="zh-CN" w:bidi="zh-CN"/>
      </w:rPr>
    </w:lvl>
  </w:abstractNum>
  <w:abstractNum w:abstractNumId="41">
    <w:nsid w:val="644619CA"/>
    <w:multiLevelType w:val="multilevel"/>
    <w:tmpl w:val="644619CA"/>
    <w:lvl w:ilvl="0" w:tentative="0">
      <w:start w:val="1"/>
      <w:numFmt w:val="bullet"/>
      <w:pStyle w:val="193"/>
      <w:lvlText w:val=""/>
      <w:lvlJc w:val="left"/>
      <w:pPr>
        <w:tabs>
          <w:tab w:val="left" w:pos="716"/>
        </w:tabs>
        <w:ind w:left="716" w:hanging="420"/>
      </w:pPr>
      <w:rPr>
        <w:rFonts w:hint="default" w:ascii="Wingdings" w:hAnsi="Wingdings"/>
      </w:rPr>
    </w:lvl>
    <w:lvl w:ilvl="1" w:tentative="0">
      <w:start w:val="1"/>
      <w:numFmt w:val="bullet"/>
      <w:lvlText w:val=""/>
      <w:lvlJc w:val="left"/>
      <w:pPr>
        <w:tabs>
          <w:tab w:val="left" w:pos="1136"/>
        </w:tabs>
        <w:ind w:left="1136" w:hanging="420"/>
      </w:pPr>
      <w:rPr>
        <w:rFonts w:hint="default" w:ascii="Wingdings" w:hAnsi="Wingdings"/>
      </w:rPr>
    </w:lvl>
    <w:lvl w:ilvl="2" w:tentative="0">
      <w:start w:val="1"/>
      <w:numFmt w:val="bullet"/>
      <w:lvlText w:val=""/>
      <w:lvlJc w:val="left"/>
      <w:pPr>
        <w:tabs>
          <w:tab w:val="left" w:pos="1556"/>
        </w:tabs>
        <w:ind w:left="1556" w:hanging="420"/>
      </w:pPr>
      <w:rPr>
        <w:rFonts w:hint="default" w:ascii="Wingdings" w:hAnsi="Wingdings"/>
      </w:rPr>
    </w:lvl>
    <w:lvl w:ilvl="3" w:tentative="0">
      <w:start w:val="1"/>
      <w:numFmt w:val="bullet"/>
      <w:lvlText w:val=""/>
      <w:lvlJc w:val="left"/>
      <w:pPr>
        <w:tabs>
          <w:tab w:val="left" w:pos="1976"/>
        </w:tabs>
        <w:ind w:left="1976" w:hanging="420"/>
      </w:pPr>
      <w:rPr>
        <w:rFonts w:hint="default" w:ascii="Wingdings" w:hAnsi="Wingdings"/>
      </w:rPr>
    </w:lvl>
    <w:lvl w:ilvl="4" w:tentative="0">
      <w:start w:val="1"/>
      <w:numFmt w:val="bullet"/>
      <w:lvlText w:val=""/>
      <w:lvlJc w:val="left"/>
      <w:pPr>
        <w:tabs>
          <w:tab w:val="left" w:pos="2396"/>
        </w:tabs>
        <w:ind w:left="2396" w:hanging="420"/>
      </w:pPr>
      <w:rPr>
        <w:rFonts w:hint="default" w:ascii="Wingdings" w:hAnsi="Wingdings"/>
      </w:rPr>
    </w:lvl>
    <w:lvl w:ilvl="5" w:tentative="0">
      <w:start w:val="1"/>
      <w:numFmt w:val="bullet"/>
      <w:lvlText w:val=""/>
      <w:lvlJc w:val="left"/>
      <w:pPr>
        <w:tabs>
          <w:tab w:val="left" w:pos="2816"/>
        </w:tabs>
        <w:ind w:left="2816" w:hanging="420"/>
      </w:pPr>
      <w:rPr>
        <w:rFonts w:hint="default" w:ascii="Wingdings" w:hAnsi="Wingdings"/>
      </w:rPr>
    </w:lvl>
    <w:lvl w:ilvl="6" w:tentative="0">
      <w:start w:val="1"/>
      <w:numFmt w:val="bullet"/>
      <w:lvlText w:val=""/>
      <w:lvlJc w:val="left"/>
      <w:pPr>
        <w:tabs>
          <w:tab w:val="left" w:pos="3236"/>
        </w:tabs>
        <w:ind w:left="3236" w:hanging="420"/>
      </w:pPr>
      <w:rPr>
        <w:rFonts w:hint="default" w:ascii="Wingdings" w:hAnsi="Wingdings"/>
      </w:rPr>
    </w:lvl>
    <w:lvl w:ilvl="7" w:tentative="0">
      <w:start w:val="1"/>
      <w:numFmt w:val="bullet"/>
      <w:lvlText w:val=""/>
      <w:lvlJc w:val="left"/>
      <w:pPr>
        <w:tabs>
          <w:tab w:val="left" w:pos="3656"/>
        </w:tabs>
        <w:ind w:left="3656" w:hanging="420"/>
      </w:pPr>
      <w:rPr>
        <w:rFonts w:hint="default" w:ascii="Wingdings" w:hAnsi="Wingdings"/>
      </w:rPr>
    </w:lvl>
    <w:lvl w:ilvl="8" w:tentative="0">
      <w:start w:val="1"/>
      <w:numFmt w:val="bullet"/>
      <w:lvlText w:val=""/>
      <w:lvlJc w:val="left"/>
      <w:pPr>
        <w:tabs>
          <w:tab w:val="left" w:pos="4076"/>
        </w:tabs>
        <w:ind w:left="4076" w:hanging="420"/>
      </w:pPr>
      <w:rPr>
        <w:rFonts w:hint="default" w:ascii="Wingdings" w:hAnsi="Wingdings"/>
      </w:rPr>
    </w:lvl>
  </w:abstractNum>
  <w:abstractNum w:abstractNumId="42">
    <w:nsid w:val="68B298F7"/>
    <w:multiLevelType w:val="multilevel"/>
    <w:tmpl w:val="68B298F7"/>
    <w:lvl w:ilvl="0" w:tentative="0">
      <w:start w:val="1"/>
      <w:numFmt w:val="decimal"/>
      <w:lvlText w:val="（%1）"/>
      <w:lvlJc w:val="left"/>
      <w:pPr>
        <w:ind w:left="106" w:hanging="604"/>
      </w:pPr>
      <w:rPr>
        <w:rFonts w:hint="default" w:ascii="宋体" w:hAnsi="宋体" w:eastAsia="宋体" w:cs="宋体"/>
        <w:w w:val="100"/>
        <w:sz w:val="22"/>
        <w:szCs w:val="22"/>
        <w:lang w:val="zh-CN" w:eastAsia="zh-CN" w:bidi="zh-CN"/>
      </w:rPr>
    </w:lvl>
    <w:lvl w:ilvl="1" w:tentative="0">
      <w:start w:val="0"/>
      <w:numFmt w:val="bullet"/>
      <w:lvlText w:val="•"/>
      <w:lvlJc w:val="left"/>
      <w:pPr>
        <w:ind w:left="796" w:hanging="604"/>
      </w:pPr>
      <w:rPr>
        <w:rFonts w:hint="default"/>
        <w:lang w:val="zh-CN" w:eastAsia="zh-CN" w:bidi="zh-CN"/>
      </w:rPr>
    </w:lvl>
    <w:lvl w:ilvl="2" w:tentative="0">
      <w:start w:val="0"/>
      <w:numFmt w:val="bullet"/>
      <w:lvlText w:val="•"/>
      <w:lvlJc w:val="left"/>
      <w:pPr>
        <w:ind w:left="1493" w:hanging="604"/>
      </w:pPr>
      <w:rPr>
        <w:rFonts w:hint="default"/>
        <w:lang w:val="zh-CN" w:eastAsia="zh-CN" w:bidi="zh-CN"/>
      </w:rPr>
    </w:lvl>
    <w:lvl w:ilvl="3" w:tentative="0">
      <w:start w:val="0"/>
      <w:numFmt w:val="bullet"/>
      <w:lvlText w:val="•"/>
      <w:lvlJc w:val="left"/>
      <w:pPr>
        <w:ind w:left="2189" w:hanging="604"/>
      </w:pPr>
      <w:rPr>
        <w:rFonts w:hint="default"/>
        <w:lang w:val="zh-CN" w:eastAsia="zh-CN" w:bidi="zh-CN"/>
      </w:rPr>
    </w:lvl>
    <w:lvl w:ilvl="4" w:tentative="0">
      <w:start w:val="0"/>
      <w:numFmt w:val="bullet"/>
      <w:lvlText w:val="•"/>
      <w:lvlJc w:val="left"/>
      <w:pPr>
        <w:ind w:left="2886" w:hanging="604"/>
      </w:pPr>
      <w:rPr>
        <w:rFonts w:hint="default"/>
        <w:lang w:val="zh-CN" w:eastAsia="zh-CN" w:bidi="zh-CN"/>
      </w:rPr>
    </w:lvl>
    <w:lvl w:ilvl="5" w:tentative="0">
      <w:start w:val="0"/>
      <w:numFmt w:val="bullet"/>
      <w:lvlText w:val="•"/>
      <w:lvlJc w:val="left"/>
      <w:pPr>
        <w:ind w:left="3583" w:hanging="604"/>
      </w:pPr>
      <w:rPr>
        <w:rFonts w:hint="default"/>
        <w:lang w:val="zh-CN" w:eastAsia="zh-CN" w:bidi="zh-CN"/>
      </w:rPr>
    </w:lvl>
    <w:lvl w:ilvl="6" w:tentative="0">
      <w:start w:val="0"/>
      <w:numFmt w:val="bullet"/>
      <w:lvlText w:val="•"/>
      <w:lvlJc w:val="left"/>
      <w:pPr>
        <w:ind w:left="4279" w:hanging="604"/>
      </w:pPr>
      <w:rPr>
        <w:rFonts w:hint="default"/>
        <w:lang w:val="zh-CN" w:eastAsia="zh-CN" w:bidi="zh-CN"/>
      </w:rPr>
    </w:lvl>
    <w:lvl w:ilvl="7" w:tentative="0">
      <w:start w:val="0"/>
      <w:numFmt w:val="bullet"/>
      <w:lvlText w:val="•"/>
      <w:lvlJc w:val="left"/>
      <w:pPr>
        <w:ind w:left="4976" w:hanging="604"/>
      </w:pPr>
      <w:rPr>
        <w:rFonts w:hint="default"/>
        <w:lang w:val="zh-CN" w:eastAsia="zh-CN" w:bidi="zh-CN"/>
      </w:rPr>
    </w:lvl>
    <w:lvl w:ilvl="8" w:tentative="0">
      <w:start w:val="0"/>
      <w:numFmt w:val="bullet"/>
      <w:lvlText w:val="•"/>
      <w:lvlJc w:val="left"/>
      <w:pPr>
        <w:ind w:left="5672" w:hanging="604"/>
      </w:pPr>
      <w:rPr>
        <w:rFonts w:hint="default"/>
        <w:lang w:val="zh-CN" w:eastAsia="zh-CN" w:bidi="zh-CN"/>
      </w:rPr>
    </w:lvl>
  </w:abstractNum>
  <w:abstractNum w:abstractNumId="43">
    <w:nsid w:val="77ECEA79"/>
    <w:multiLevelType w:val="multilevel"/>
    <w:tmpl w:val="77ECEA79"/>
    <w:lvl w:ilvl="0" w:tentative="0">
      <w:start w:val="1"/>
      <w:numFmt w:val="decimal"/>
      <w:lvlText w:val="（%1）"/>
      <w:lvlJc w:val="left"/>
      <w:pPr>
        <w:ind w:left="1754"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676" w:hanging="601"/>
      </w:pPr>
      <w:rPr>
        <w:rFonts w:hint="default"/>
        <w:lang w:val="zh-CN" w:eastAsia="zh-CN" w:bidi="zh-CN"/>
      </w:rPr>
    </w:lvl>
    <w:lvl w:ilvl="2" w:tentative="0">
      <w:start w:val="0"/>
      <w:numFmt w:val="bullet"/>
      <w:lvlText w:val="•"/>
      <w:lvlJc w:val="left"/>
      <w:pPr>
        <w:ind w:left="3593" w:hanging="601"/>
      </w:pPr>
      <w:rPr>
        <w:rFonts w:hint="default"/>
        <w:lang w:val="zh-CN" w:eastAsia="zh-CN" w:bidi="zh-CN"/>
      </w:rPr>
    </w:lvl>
    <w:lvl w:ilvl="3" w:tentative="0">
      <w:start w:val="0"/>
      <w:numFmt w:val="bullet"/>
      <w:lvlText w:val="•"/>
      <w:lvlJc w:val="left"/>
      <w:pPr>
        <w:ind w:left="4509" w:hanging="601"/>
      </w:pPr>
      <w:rPr>
        <w:rFonts w:hint="default"/>
        <w:lang w:val="zh-CN" w:eastAsia="zh-CN" w:bidi="zh-CN"/>
      </w:rPr>
    </w:lvl>
    <w:lvl w:ilvl="4" w:tentative="0">
      <w:start w:val="0"/>
      <w:numFmt w:val="bullet"/>
      <w:lvlText w:val="•"/>
      <w:lvlJc w:val="left"/>
      <w:pPr>
        <w:ind w:left="5426" w:hanging="601"/>
      </w:pPr>
      <w:rPr>
        <w:rFonts w:hint="default"/>
        <w:lang w:val="zh-CN" w:eastAsia="zh-CN" w:bidi="zh-CN"/>
      </w:rPr>
    </w:lvl>
    <w:lvl w:ilvl="5" w:tentative="0">
      <w:start w:val="0"/>
      <w:numFmt w:val="bullet"/>
      <w:lvlText w:val="•"/>
      <w:lvlJc w:val="left"/>
      <w:pPr>
        <w:ind w:left="6343" w:hanging="601"/>
      </w:pPr>
      <w:rPr>
        <w:rFonts w:hint="default"/>
        <w:lang w:val="zh-CN" w:eastAsia="zh-CN" w:bidi="zh-CN"/>
      </w:rPr>
    </w:lvl>
    <w:lvl w:ilvl="6" w:tentative="0">
      <w:start w:val="0"/>
      <w:numFmt w:val="bullet"/>
      <w:lvlText w:val="•"/>
      <w:lvlJc w:val="left"/>
      <w:pPr>
        <w:ind w:left="7259" w:hanging="601"/>
      </w:pPr>
      <w:rPr>
        <w:rFonts w:hint="default"/>
        <w:lang w:val="zh-CN" w:eastAsia="zh-CN" w:bidi="zh-CN"/>
      </w:rPr>
    </w:lvl>
    <w:lvl w:ilvl="7" w:tentative="0">
      <w:start w:val="0"/>
      <w:numFmt w:val="bullet"/>
      <w:lvlText w:val="•"/>
      <w:lvlJc w:val="left"/>
      <w:pPr>
        <w:ind w:left="8176" w:hanging="601"/>
      </w:pPr>
      <w:rPr>
        <w:rFonts w:hint="default"/>
        <w:lang w:val="zh-CN" w:eastAsia="zh-CN" w:bidi="zh-CN"/>
      </w:rPr>
    </w:lvl>
    <w:lvl w:ilvl="8" w:tentative="0">
      <w:start w:val="0"/>
      <w:numFmt w:val="bullet"/>
      <w:lvlText w:val="•"/>
      <w:lvlJc w:val="left"/>
      <w:pPr>
        <w:ind w:left="9092" w:hanging="601"/>
      </w:pPr>
      <w:rPr>
        <w:rFonts w:hint="default"/>
        <w:lang w:val="zh-CN" w:eastAsia="zh-CN" w:bidi="zh-CN"/>
      </w:rPr>
    </w:lvl>
  </w:abstractNum>
  <w:abstractNum w:abstractNumId="44">
    <w:nsid w:val="782C9032"/>
    <w:multiLevelType w:val="singleLevel"/>
    <w:tmpl w:val="782C9032"/>
    <w:lvl w:ilvl="0" w:tentative="0">
      <w:start w:val="2"/>
      <w:numFmt w:val="chineseCounting"/>
      <w:suff w:val="space"/>
      <w:lvlText w:val="第%1章"/>
      <w:lvlJc w:val="left"/>
      <w:rPr>
        <w:rFonts w:hint="eastAsia"/>
      </w:rPr>
    </w:lvl>
  </w:abstractNum>
  <w:abstractNum w:abstractNumId="45">
    <w:nsid w:val="79AA4FA4"/>
    <w:multiLevelType w:val="multilevel"/>
    <w:tmpl w:val="79AA4FA4"/>
    <w:lvl w:ilvl="0" w:tentative="0">
      <w:start w:val="3"/>
      <w:numFmt w:val="decimal"/>
      <w:lvlText w:val="%1"/>
      <w:lvlJc w:val="left"/>
      <w:pPr>
        <w:ind w:left="1237" w:hanging="485"/>
      </w:pPr>
      <w:rPr>
        <w:rFonts w:hint="default"/>
        <w:lang w:val="zh-CN" w:eastAsia="zh-CN" w:bidi="zh-CN"/>
      </w:rPr>
    </w:lvl>
    <w:lvl w:ilvl="1" w:tentative="0">
      <w:start w:val="1"/>
      <w:numFmt w:val="decimal"/>
      <w:lvlText w:val="%1.%2"/>
      <w:lvlJc w:val="left"/>
      <w:pPr>
        <w:ind w:left="1237" w:hanging="485"/>
      </w:pPr>
      <w:rPr>
        <w:rFonts w:hint="default" w:ascii="宋体" w:hAnsi="宋体" w:eastAsia="宋体" w:cs="宋体"/>
        <w:b/>
        <w:bCs/>
        <w:spacing w:val="0"/>
        <w:w w:val="99"/>
        <w:sz w:val="24"/>
        <w:szCs w:val="24"/>
        <w:lang w:val="zh-CN" w:eastAsia="zh-CN" w:bidi="zh-CN"/>
      </w:rPr>
    </w:lvl>
    <w:lvl w:ilvl="2" w:tentative="0">
      <w:start w:val="1"/>
      <w:numFmt w:val="decimal"/>
      <w:lvlText w:val="（%3）"/>
      <w:lvlJc w:val="left"/>
      <w:pPr>
        <w:ind w:left="1833" w:hanging="601"/>
      </w:pPr>
      <w:rPr>
        <w:rFonts w:hint="default"/>
        <w:w w:val="100"/>
        <w:lang w:val="zh-CN" w:eastAsia="zh-CN" w:bidi="zh-CN"/>
      </w:rPr>
    </w:lvl>
    <w:lvl w:ilvl="3" w:tentative="0">
      <w:start w:val="0"/>
      <w:numFmt w:val="bullet"/>
      <w:lvlText w:val="•"/>
      <w:lvlJc w:val="left"/>
      <w:pPr>
        <w:ind w:left="3859" w:hanging="601"/>
      </w:pPr>
      <w:rPr>
        <w:rFonts w:hint="default"/>
        <w:lang w:val="zh-CN" w:eastAsia="zh-CN" w:bidi="zh-CN"/>
      </w:rPr>
    </w:lvl>
    <w:lvl w:ilvl="4" w:tentative="0">
      <w:start w:val="0"/>
      <w:numFmt w:val="bullet"/>
      <w:lvlText w:val="•"/>
      <w:lvlJc w:val="left"/>
      <w:pPr>
        <w:ind w:left="4868" w:hanging="601"/>
      </w:pPr>
      <w:rPr>
        <w:rFonts w:hint="default"/>
        <w:lang w:val="zh-CN" w:eastAsia="zh-CN" w:bidi="zh-CN"/>
      </w:rPr>
    </w:lvl>
    <w:lvl w:ilvl="5" w:tentative="0">
      <w:start w:val="0"/>
      <w:numFmt w:val="bullet"/>
      <w:lvlText w:val="•"/>
      <w:lvlJc w:val="left"/>
      <w:pPr>
        <w:ind w:left="5878" w:hanging="601"/>
      </w:pPr>
      <w:rPr>
        <w:rFonts w:hint="default"/>
        <w:lang w:val="zh-CN" w:eastAsia="zh-CN" w:bidi="zh-CN"/>
      </w:rPr>
    </w:lvl>
    <w:lvl w:ilvl="6" w:tentative="0">
      <w:start w:val="0"/>
      <w:numFmt w:val="bullet"/>
      <w:lvlText w:val="•"/>
      <w:lvlJc w:val="left"/>
      <w:pPr>
        <w:ind w:left="6887" w:hanging="601"/>
      </w:pPr>
      <w:rPr>
        <w:rFonts w:hint="default"/>
        <w:lang w:val="zh-CN" w:eastAsia="zh-CN" w:bidi="zh-CN"/>
      </w:rPr>
    </w:lvl>
    <w:lvl w:ilvl="7" w:tentative="0">
      <w:start w:val="0"/>
      <w:numFmt w:val="bullet"/>
      <w:lvlText w:val="•"/>
      <w:lvlJc w:val="left"/>
      <w:pPr>
        <w:ind w:left="7897" w:hanging="601"/>
      </w:pPr>
      <w:rPr>
        <w:rFonts w:hint="default"/>
        <w:lang w:val="zh-CN" w:eastAsia="zh-CN" w:bidi="zh-CN"/>
      </w:rPr>
    </w:lvl>
    <w:lvl w:ilvl="8" w:tentative="0">
      <w:start w:val="0"/>
      <w:numFmt w:val="bullet"/>
      <w:lvlText w:val="•"/>
      <w:lvlJc w:val="left"/>
      <w:pPr>
        <w:ind w:left="8906" w:hanging="601"/>
      </w:pPr>
      <w:rPr>
        <w:rFonts w:hint="default"/>
        <w:lang w:val="zh-CN" w:eastAsia="zh-CN" w:bidi="zh-CN"/>
      </w:rPr>
    </w:lvl>
  </w:abstractNum>
  <w:abstractNum w:abstractNumId="46">
    <w:nsid w:val="7BBF2795"/>
    <w:multiLevelType w:val="multilevel"/>
    <w:tmpl w:val="7BBF2795"/>
    <w:lvl w:ilvl="0" w:tentative="0">
      <w:start w:val="1"/>
      <w:numFmt w:val="decimal"/>
      <w:lvlText w:val="%1"/>
      <w:lvlJc w:val="left"/>
      <w:pPr>
        <w:ind w:left="1939" w:hanging="476"/>
      </w:pPr>
      <w:rPr>
        <w:rFonts w:hint="default"/>
      </w:rPr>
    </w:lvl>
    <w:lvl w:ilvl="1" w:tentative="0">
      <w:start w:val="1"/>
      <w:numFmt w:val="decimal"/>
      <w:suff w:val="space"/>
      <w:lvlText w:val="%1.%2"/>
      <w:lvlJc w:val="left"/>
      <w:pPr>
        <w:ind w:left="1939" w:hanging="476"/>
      </w:pPr>
      <w:rPr>
        <w:rFonts w:hint="default" w:ascii="Times New Roman" w:hAnsi="Times New Roman" w:eastAsia="宋体" w:cs="Times New Roman"/>
        <w:w w:val="100"/>
        <w:sz w:val="21"/>
        <w:szCs w:val="21"/>
      </w:rPr>
    </w:lvl>
    <w:lvl w:ilvl="2" w:tentative="0">
      <w:start w:val="0"/>
      <w:numFmt w:val="bullet"/>
      <w:lvlText w:val="•"/>
      <w:lvlJc w:val="left"/>
      <w:pPr>
        <w:ind w:left="3704" w:hanging="476"/>
      </w:pPr>
      <w:rPr>
        <w:rFonts w:hint="default"/>
      </w:rPr>
    </w:lvl>
    <w:lvl w:ilvl="3" w:tentative="0">
      <w:start w:val="0"/>
      <w:numFmt w:val="bullet"/>
      <w:lvlText w:val="•"/>
      <w:lvlJc w:val="left"/>
      <w:pPr>
        <w:ind w:left="4587" w:hanging="476"/>
      </w:pPr>
      <w:rPr>
        <w:rFonts w:hint="default"/>
      </w:rPr>
    </w:lvl>
    <w:lvl w:ilvl="4" w:tentative="0">
      <w:start w:val="0"/>
      <w:numFmt w:val="bullet"/>
      <w:lvlText w:val="•"/>
      <w:lvlJc w:val="left"/>
      <w:pPr>
        <w:ind w:left="5469" w:hanging="476"/>
      </w:pPr>
      <w:rPr>
        <w:rFonts w:hint="default"/>
      </w:rPr>
    </w:lvl>
    <w:lvl w:ilvl="5" w:tentative="0">
      <w:start w:val="0"/>
      <w:numFmt w:val="bullet"/>
      <w:lvlText w:val="•"/>
      <w:lvlJc w:val="left"/>
      <w:pPr>
        <w:ind w:left="6352" w:hanging="476"/>
      </w:pPr>
      <w:rPr>
        <w:rFonts w:hint="default"/>
      </w:rPr>
    </w:lvl>
    <w:lvl w:ilvl="6" w:tentative="0">
      <w:start w:val="0"/>
      <w:numFmt w:val="bullet"/>
      <w:lvlText w:val="•"/>
      <w:lvlJc w:val="left"/>
      <w:pPr>
        <w:ind w:left="7234" w:hanging="476"/>
      </w:pPr>
      <w:rPr>
        <w:rFonts w:hint="default"/>
      </w:rPr>
    </w:lvl>
    <w:lvl w:ilvl="7" w:tentative="0">
      <w:start w:val="0"/>
      <w:numFmt w:val="bullet"/>
      <w:lvlText w:val="•"/>
      <w:lvlJc w:val="left"/>
      <w:pPr>
        <w:ind w:left="8116" w:hanging="476"/>
      </w:pPr>
      <w:rPr>
        <w:rFonts w:hint="default"/>
      </w:rPr>
    </w:lvl>
    <w:lvl w:ilvl="8" w:tentative="0">
      <w:start w:val="0"/>
      <w:numFmt w:val="bullet"/>
      <w:lvlText w:val="•"/>
      <w:lvlJc w:val="left"/>
      <w:pPr>
        <w:ind w:left="8999" w:hanging="476"/>
      </w:pPr>
      <w:rPr>
        <w:rFonts w:hint="default"/>
      </w:rPr>
    </w:lvl>
  </w:abstractNum>
  <w:abstractNum w:abstractNumId="47">
    <w:nsid w:val="7C246926"/>
    <w:multiLevelType w:val="multilevel"/>
    <w:tmpl w:val="7C246926"/>
    <w:lvl w:ilvl="0" w:tentative="0">
      <w:start w:val="1"/>
      <w:numFmt w:val="decimal"/>
      <w:lvlText w:val="（%1）"/>
      <w:lvlJc w:val="left"/>
      <w:pPr>
        <w:ind w:left="673"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704" w:hanging="601"/>
      </w:pPr>
      <w:rPr>
        <w:rFonts w:hint="default"/>
        <w:lang w:val="zh-CN" w:eastAsia="zh-CN" w:bidi="zh-CN"/>
      </w:rPr>
    </w:lvl>
    <w:lvl w:ilvl="2" w:tentative="0">
      <w:start w:val="0"/>
      <w:numFmt w:val="bullet"/>
      <w:lvlText w:val="•"/>
      <w:lvlJc w:val="left"/>
      <w:pPr>
        <w:ind w:left="2729" w:hanging="601"/>
      </w:pPr>
      <w:rPr>
        <w:rFonts w:hint="default"/>
        <w:lang w:val="zh-CN" w:eastAsia="zh-CN" w:bidi="zh-CN"/>
      </w:rPr>
    </w:lvl>
    <w:lvl w:ilvl="3" w:tentative="0">
      <w:start w:val="0"/>
      <w:numFmt w:val="bullet"/>
      <w:lvlText w:val="•"/>
      <w:lvlJc w:val="left"/>
      <w:pPr>
        <w:ind w:left="375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827" w:hanging="601"/>
      </w:pPr>
      <w:rPr>
        <w:rFonts w:hint="default"/>
        <w:lang w:val="zh-CN" w:eastAsia="zh-CN" w:bidi="zh-CN"/>
      </w:rPr>
    </w:lvl>
    <w:lvl w:ilvl="7" w:tentative="0">
      <w:start w:val="0"/>
      <w:numFmt w:val="bullet"/>
      <w:lvlText w:val="•"/>
      <w:lvlJc w:val="left"/>
      <w:pPr>
        <w:ind w:left="7852" w:hanging="601"/>
      </w:pPr>
      <w:rPr>
        <w:rFonts w:hint="default"/>
        <w:lang w:val="zh-CN" w:eastAsia="zh-CN" w:bidi="zh-CN"/>
      </w:rPr>
    </w:lvl>
    <w:lvl w:ilvl="8" w:tentative="0">
      <w:start w:val="0"/>
      <w:numFmt w:val="bullet"/>
      <w:lvlText w:val="•"/>
      <w:lvlJc w:val="left"/>
      <w:pPr>
        <w:ind w:left="8876" w:hanging="601"/>
      </w:pPr>
      <w:rPr>
        <w:rFonts w:hint="default"/>
        <w:lang w:val="zh-CN" w:eastAsia="zh-CN" w:bidi="zh-CN"/>
      </w:rPr>
    </w:lvl>
  </w:abstractNum>
  <w:abstractNum w:abstractNumId="48">
    <w:nsid w:val="7CF774DC"/>
    <w:multiLevelType w:val="multilevel"/>
    <w:tmpl w:val="7CF774D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1"/>
  </w:num>
  <w:num w:numId="2">
    <w:abstractNumId w:val="41"/>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2"/>
  </w:num>
  <w:num w:numId="6">
    <w:abstractNumId w:val="0"/>
  </w:num>
  <w:num w:numId="7">
    <w:abstractNumId w:val="22"/>
  </w:num>
  <w:num w:numId="8">
    <w:abstractNumId w:val="18"/>
  </w:num>
  <w:num w:numId="9">
    <w:abstractNumId w:val="2"/>
  </w:num>
  <w:num w:numId="10">
    <w:abstractNumId w:val="25"/>
  </w:num>
  <w:num w:numId="11">
    <w:abstractNumId w:val="36"/>
  </w:num>
  <w:num w:numId="12">
    <w:abstractNumId w:val="44"/>
  </w:num>
  <w:num w:numId="13">
    <w:abstractNumId w:val="12"/>
  </w:num>
  <w:num w:numId="14">
    <w:abstractNumId w:val="31"/>
  </w:num>
  <w:num w:numId="15">
    <w:abstractNumId w:val="15"/>
  </w:num>
  <w:num w:numId="16">
    <w:abstractNumId w:val="24"/>
  </w:num>
  <w:num w:numId="17">
    <w:abstractNumId w:val="14"/>
  </w:num>
  <w:num w:numId="18">
    <w:abstractNumId w:val="13"/>
  </w:num>
  <w:num w:numId="19">
    <w:abstractNumId w:val="30"/>
  </w:num>
  <w:num w:numId="20">
    <w:abstractNumId w:val="6"/>
  </w:num>
  <w:num w:numId="21">
    <w:abstractNumId w:val="38"/>
  </w:num>
  <w:num w:numId="22">
    <w:abstractNumId w:val="20"/>
  </w:num>
  <w:num w:numId="23">
    <w:abstractNumId w:val="28"/>
  </w:num>
  <w:num w:numId="24">
    <w:abstractNumId w:val="9"/>
  </w:num>
  <w:num w:numId="25">
    <w:abstractNumId w:val="47"/>
  </w:num>
  <w:num w:numId="26">
    <w:abstractNumId w:val="43"/>
  </w:num>
  <w:num w:numId="27">
    <w:abstractNumId w:val="11"/>
  </w:num>
  <w:num w:numId="28">
    <w:abstractNumId w:val="40"/>
  </w:num>
  <w:num w:numId="29">
    <w:abstractNumId w:val="3"/>
  </w:num>
  <w:num w:numId="30">
    <w:abstractNumId w:val="27"/>
  </w:num>
  <w:num w:numId="31">
    <w:abstractNumId w:val="1"/>
  </w:num>
  <w:num w:numId="32">
    <w:abstractNumId w:val="34"/>
  </w:num>
  <w:num w:numId="33">
    <w:abstractNumId w:val="23"/>
  </w:num>
  <w:num w:numId="34">
    <w:abstractNumId w:val="32"/>
  </w:num>
  <w:num w:numId="35">
    <w:abstractNumId w:val="16"/>
  </w:num>
  <w:num w:numId="36">
    <w:abstractNumId w:val="26"/>
  </w:num>
  <w:num w:numId="37">
    <w:abstractNumId w:val="45"/>
  </w:num>
  <w:num w:numId="38">
    <w:abstractNumId w:val="10"/>
  </w:num>
  <w:num w:numId="39">
    <w:abstractNumId w:val="37"/>
  </w:num>
  <w:num w:numId="40">
    <w:abstractNumId w:val="39"/>
    <w:lvlOverride w:ilvl="0">
      <w:startOverride w:val="1"/>
    </w:lvlOverride>
  </w:num>
  <w:num w:numId="41">
    <w:abstractNumId w:val="33"/>
  </w:num>
  <w:num w:numId="42">
    <w:abstractNumId w:val="46"/>
  </w:num>
  <w:num w:numId="43">
    <w:abstractNumId w:val="29"/>
  </w:num>
  <w:num w:numId="44">
    <w:abstractNumId w:val="5"/>
  </w:num>
  <w:num w:numId="45">
    <w:abstractNumId w:val="35"/>
  </w:num>
  <w:num w:numId="46">
    <w:abstractNumId w:val="19"/>
  </w:num>
  <w:num w:numId="47">
    <w:abstractNumId w:val="4"/>
  </w:num>
  <w:num w:numId="48">
    <w:abstractNumId w:val="7"/>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YmY2NjRjMTE2OWZjZjVlNWRjZWRlZjViMjMzOGIifQ=="/>
  </w:docVars>
  <w:rsids>
    <w:rsidRoot w:val="00AC268D"/>
    <w:rsid w:val="0009398E"/>
    <w:rsid w:val="00111C14"/>
    <w:rsid w:val="00117C56"/>
    <w:rsid w:val="002279E7"/>
    <w:rsid w:val="00232D7F"/>
    <w:rsid w:val="00244F2E"/>
    <w:rsid w:val="002D011E"/>
    <w:rsid w:val="00316228"/>
    <w:rsid w:val="003A6456"/>
    <w:rsid w:val="004607BB"/>
    <w:rsid w:val="006C35A8"/>
    <w:rsid w:val="007D7262"/>
    <w:rsid w:val="00897F99"/>
    <w:rsid w:val="00A8281D"/>
    <w:rsid w:val="00AC268D"/>
    <w:rsid w:val="00B02FA0"/>
    <w:rsid w:val="00BF2952"/>
    <w:rsid w:val="00C45EE1"/>
    <w:rsid w:val="00C539E7"/>
    <w:rsid w:val="00C720E2"/>
    <w:rsid w:val="00CA7938"/>
    <w:rsid w:val="00D06079"/>
    <w:rsid w:val="00D27378"/>
    <w:rsid w:val="00D67E0F"/>
    <w:rsid w:val="00E3438E"/>
    <w:rsid w:val="00E61E67"/>
    <w:rsid w:val="00EA4201"/>
    <w:rsid w:val="00F61DC7"/>
    <w:rsid w:val="00FE21C2"/>
    <w:rsid w:val="01D5719F"/>
    <w:rsid w:val="071F0EC2"/>
    <w:rsid w:val="07F91074"/>
    <w:rsid w:val="09795283"/>
    <w:rsid w:val="0A3047CC"/>
    <w:rsid w:val="0F11266F"/>
    <w:rsid w:val="110E3E23"/>
    <w:rsid w:val="117511EE"/>
    <w:rsid w:val="121D6D4B"/>
    <w:rsid w:val="1232769D"/>
    <w:rsid w:val="12431605"/>
    <w:rsid w:val="132D05AD"/>
    <w:rsid w:val="15C47151"/>
    <w:rsid w:val="15DB6C59"/>
    <w:rsid w:val="16E112D1"/>
    <w:rsid w:val="17075810"/>
    <w:rsid w:val="17854713"/>
    <w:rsid w:val="18BE5FAD"/>
    <w:rsid w:val="19D65092"/>
    <w:rsid w:val="1C5E0F7A"/>
    <w:rsid w:val="1D3A4BE6"/>
    <w:rsid w:val="1D96551F"/>
    <w:rsid w:val="1DF67707"/>
    <w:rsid w:val="214576F3"/>
    <w:rsid w:val="22622B15"/>
    <w:rsid w:val="269912B6"/>
    <w:rsid w:val="26A342F9"/>
    <w:rsid w:val="26EC004D"/>
    <w:rsid w:val="276951DC"/>
    <w:rsid w:val="28B86934"/>
    <w:rsid w:val="28EC600C"/>
    <w:rsid w:val="2B723BDA"/>
    <w:rsid w:val="2CAE232C"/>
    <w:rsid w:val="2EE57BF3"/>
    <w:rsid w:val="30086109"/>
    <w:rsid w:val="305E43FC"/>
    <w:rsid w:val="31093867"/>
    <w:rsid w:val="332B3039"/>
    <w:rsid w:val="334134F2"/>
    <w:rsid w:val="362A675A"/>
    <w:rsid w:val="376352AF"/>
    <w:rsid w:val="387C0D28"/>
    <w:rsid w:val="39D7459C"/>
    <w:rsid w:val="3A56723A"/>
    <w:rsid w:val="3A6A35C8"/>
    <w:rsid w:val="3A940AC9"/>
    <w:rsid w:val="3A994015"/>
    <w:rsid w:val="3BB46C53"/>
    <w:rsid w:val="3C2725BD"/>
    <w:rsid w:val="3CD15B81"/>
    <w:rsid w:val="3E7932E2"/>
    <w:rsid w:val="40264D80"/>
    <w:rsid w:val="423C3269"/>
    <w:rsid w:val="4476532D"/>
    <w:rsid w:val="46262BE3"/>
    <w:rsid w:val="47BF13D5"/>
    <w:rsid w:val="4AB030E9"/>
    <w:rsid w:val="4BCE14DD"/>
    <w:rsid w:val="4D31533A"/>
    <w:rsid w:val="4E25659E"/>
    <w:rsid w:val="4F093F4B"/>
    <w:rsid w:val="4F4B17C3"/>
    <w:rsid w:val="51E85549"/>
    <w:rsid w:val="51EF3B4D"/>
    <w:rsid w:val="52100872"/>
    <w:rsid w:val="52CB0AA7"/>
    <w:rsid w:val="531A397D"/>
    <w:rsid w:val="540C0C94"/>
    <w:rsid w:val="55561585"/>
    <w:rsid w:val="555D0933"/>
    <w:rsid w:val="5605082D"/>
    <w:rsid w:val="56683C9B"/>
    <w:rsid w:val="58DE09AC"/>
    <w:rsid w:val="595F0240"/>
    <w:rsid w:val="59F25BA9"/>
    <w:rsid w:val="5BE16F3D"/>
    <w:rsid w:val="5CFE264B"/>
    <w:rsid w:val="5F006226"/>
    <w:rsid w:val="5F9C2A20"/>
    <w:rsid w:val="607E4196"/>
    <w:rsid w:val="608D2B64"/>
    <w:rsid w:val="6135576A"/>
    <w:rsid w:val="62A750F4"/>
    <w:rsid w:val="62FB0E5F"/>
    <w:rsid w:val="63D16CC9"/>
    <w:rsid w:val="64B23C41"/>
    <w:rsid w:val="64B872E4"/>
    <w:rsid w:val="65C03D6F"/>
    <w:rsid w:val="666B22F3"/>
    <w:rsid w:val="71AD0EBC"/>
    <w:rsid w:val="724859B5"/>
    <w:rsid w:val="727E1D88"/>
    <w:rsid w:val="74D110A2"/>
    <w:rsid w:val="74DB7326"/>
    <w:rsid w:val="75CE22D4"/>
    <w:rsid w:val="7A441D4F"/>
    <w:rsid w:val="7B01745D"/>
    <w:rsid w:val="7B390A62"/>
    <w:rsid w:val="7EB92BEE"/>
    <w:rsid w:val="7FE2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57"/>
    <w:qFormat/>
    <w:uiPriority w:val="0"/>
    <w:pPr>
      <w:spacing w:before="24"/>
      <w:ind w:left="836" w:right="836"/>
      <w:jc w:val="center"/>
      <w:outlineLvl w:val="0"/>
    </w:pPr>
    <w:rPr>
      <w:b/>
      <w:bCs/>
      <w:sz w:val="36"/>
      <w:szCs w:val="36"/>
    </w:rPr>
  </w:style>
  <w:style w:type="paragraph" w:styleId="3">
    <w:name w:val="heading 2"/>
    <w:basedOn w:val="1"/>
    <w:next w:val="1"/>
    <w:link w:val="58"/>
    <w:qFormat/>
    <w:uiPriority w:val="0"/>
    <w:pPr>
      <w:ind w:left="553"/>
      <w:outlineLvl w:val="1"/>
    </w:pPr>
    <w:rPr>
      <w:b/>
      <w:bCs/>
      <w:sz w:val="32"/>
      <w:szCs w:val="32"/>
    </w:rPr>
  </w:style>
  <w:style w:type="paragraph" w:styleId="4">
    <w:name w:val="heading 3"/>
    <w:basedOn w:val="1"/>
    <w:next w:val="1"/>
    <w:link w:val="59"/>
    <w:qFormat/>
    <w:uiPriority w:val="0"/>
    <w:pPr>
      <w:ind w:left="1153" w:hanging="402"/>
      <w:outlineLvl w:val="2"/>
    </w:pPr>
    <w:rPr>
      <w:rFonts w:ascii="黑体" w:hAnsi="黑体" w:eastAsia="黑体" w:cs="黑体"/>
      <w:sz w:val="32"/>
      <w:szCs w:val="32"/>
    </w:rPr>
  </w:style>
  <w:style w:type="paragraph" w:styleId="5">
    <w:name w:val="heading 4"/>
    <w:basedOn w:val="1"/>
    <w:next w:val="1"/>
    <w:link w:val="60"/>
    <w:qFormat/>
    <w:uiPriority w:val="0"/>
    <w:pPr>
      <w:ind w:left="752"/>
      <w:outlineLvl w:val="3"/>
    </w:pPr>
    <w:rPr>
      <w:rFonts w:ascii="仿宋" w:hAnsi="仿宋" w:eastAsia="仿宋" w:cs="仿宋"/>
      <w:b/>
      <w:bCs/>
      <w:sz w:val="30"/>
      <w:szCs w:val="30"/>
      <w:u w:val="single" w:color="000000"/>
    </w:rPr>
  </w:style>
  <w:style w:type="paragraph" w:styleId="6">
    <w:name w:val="heading 5"/>
    <w:basedOn w:val="1"/>
    <w:next w:val="1"/>
    <w:link w:val="61"/>
    <w:qFormat/>
    <w:uiPriority w:val="0"/>
    <w:pPr>
      <w:ind w:left="1352"/>
      <w:outlineLvl w:val="4"/>
    </w:pPr>
    <w:rPr>
      <w:rFonts w:ascii="仿宋" w:hAnsi="仿宋" w:eastAsia="仿宋" w:cs="仿宋"/>
      <w:sz w:val="30"/>
      <w:szCs w:val="30"/>
    </w:rPr>
  </w:style>
  <w:style w:type="paragraph" w:styleId="7">
    <w:name w:val="heading 6"/>
    <w:basedOn w:val="1"/>
    <w:next w:val="1"/>
    <w:link w:val="62"/>
    <w:qFormat/>
    <w:uiPriority w:val="0"/>
    <w:pPr>
      <w:ind w:left="553"/>
      <w:outlineLvl w:val="5"/>
    </w:pPr>
    <w:rPr>
      <w:b/>
      <w:bCs/>
      <w:sz w:val="28"/>
      <w:szCs w:val="28"/>
    </w:rPr>
  </w:style>
  <w:style w:type="paragraph" w:styleId="8">
    <w:name w:val="heading 7"/>
    <w:basedOn w:val="1"/>
    <w:next w:val="1"/>
    <w:link w:val="63"/>
    <w:qFormat/>
    <w:uiPriority w:val="0"/>
    <w:pPr>
      <w:ind w:left="553"/>
      <w:outlineLvl w:val="6"/>
    </w:pPr>
    <w:rPr>
      <w:b/>
      <w:bCs/>
      <w:sz w:val="24"/>
      <w:szCs w:val="24"/>
    </w:rPr>
  </w:style>
  <w:style w:type="paragraph" w:styleId="9">
    <w:name w:val="heading 8"/>
    <w:basedOn w:val="1"/>
    <w:next w:val="1"/>
    <w:link w:val="64"/>
    <w:qFormat/>
    <w:uiPriority w:val="0"/>
    <w:pPr>
      <w:keepNext/>
      <w:keepLines/>
      <w:widowControl/>
      <w:tabs>
        <w:tab w:val="left" w:pos="1440"/>
      </w:tabs>
      <w:autoSpaceDE/>
      <w:autoSpaceDN/>
      <w:spacing w:before="240" w:after="64" w:line="320" w:lineRule="auto"/>
      <w:ind w:left="1440" w:hanging="1440"/>
      <w:outlineLvl w:val="7"/>
    </w:pPr>
    <w:rPr>
      <w:rFonts w:ascii="Arial" w:hAnsi="Arial" w:eastAsia="黑体" w:cs="Times New Roman"/>
      <w:sz w:val="24"/>
      <w:szCs w:val="24"/>
      <w:lang w:val="en-US" w:bidi="ar-SA"/>
    </w:rPr>
  </w:style>
  <w:style w:type="paragraph" w:styleId="10">
    <w:name w:val="heading 9"/>
    <w:basedOn w:val="1"/>
    <w:next w:val="1"/>
    <w:link w:val="65"/>
    <w:qFormat/>
    <w:uiPriority w:val="0"/>
    <w:pPr>
      <w:keepNext/>
      <w:keepLines/>
      <w:widowControl/>
      <w:tabs>
        <w:tab w:val="left" w:pos="1584"/>
      </w:tabs>
      <w:autoSpaceDE/>
      <w:autoSpaceDN/>
      <w:spacing w:before="240" w:after="64" w:line="320" w:lineRule="auto"/>
      <w:ind w:left="1584" w:hanging="1584"/>
      <w:outlineLvl w:val="8"/>
    </w:pPr>
    <w:rPr>
      <w:rFonts w:ascii="Arial" w:hAnsi="Arial" w:eastAsia="黑体" w:cs="Times New Roman"/>
      <w:sz w:val="21"/>
      <w:szCs w:val="21"/>
      <w:lang w:val="en-US" w:bidi="ar-SA"/>
    </w:r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autoSpaceDE/>
      <w:autoSpaceDN/>
      <w:ind w:left="2520" w:leftChars="1200"/>
      <w:jc w:val="both"/>
    </w:pPr>
    <w:rPr>
      <w:rFonts w:ascii="Calibri" w:hAnsi="Calibri" w:cs="Times New Roman"/>
      <w:kern w:val="2"/>
      <w:sz w:val="21"/>
      <w:lang w:val="en-US" w:bidi="ar-SA"/>
    </w:rPr>
  </w:style>
  <w:style w:type="paragraph" w:styleId="12">
    <w:name w:val="Normal Indent"/>
    <w:basedOn w:val="1"/>
    <w:qFormat/>
    <w:uiPriority w:val="0"/>
    <w:pPr>
      <w:ind w:firstLine="420"/>
    </w:pPr>
    <w:rPr>
      <w:szCs w:val="20"/>
    </w:rPr>
  </w:style>
  <w:style w:type="paragraph" w:styleId="13">
    <w:name w:val="Document Map"/>
    <w:basedOn w:val="1"/>
    <w:link w:val="82"/>
    <w:qFormat/>
    <w:uiPriority w:val="0"/>
    <w:pPr>
      <w:shd w:val="clear" w:color="auto" w:fill="000080"/>
      <w:autoSpaceDE/>
      <w:autoSpaceDN/>
      <w:jc w:val="both"/>
    </w:pPr>
    <w:rPr>
      <w:rFonts w:cs="Times New Roman"/>
      <w:b/>
      <w:kern w:val="2"/>
      <w:sz w:val="21"/>
      <w:szCs w:val="24"/>
      <w:lang w:val="en-US" w:bidi="ar-SA"/>
    </w:rPr>
  </w:style>
  <w:style w:type="paragraph" w:styleId="14">
    <w:name w:val="annotation text"/>
    <w:basedOn w:val="1"/>
    <w:link w:val="83"/>
    <w:unhideWhenUsed/>
    <w:qFormat/>
    <w:uiPriority w:val="0"/>
    <w:pPr>
      <w:autoSpaceDE/>
      <w:autoSpaceDN/>
    </w:pPr>
    <w:rPr>
      <w:rFonts w:cs="Times New Roman"/>
      <w:b/>
      <w:kern w:val="2"/>
      <w:sz w:val="21"/>
      <w:szCs w:val="24"/>
      <w:lang w:val="en-US" w:bidi="ar-SA"/>
    </w:rPr>
  </w:style>
  <w:style w:type="paragraph" w:styleId="15">
    <w:name w:val="Body Text 3"/>
    <w:basedOn w:val="1"/>
    <w:link w:val="84"/>
    <w:qFormat/>
    <w:uiPriority w:val="0"/>
    <w:pPr>
      <w:autoSpaceDE/>
      <w:autoSpaceDN/>
      <w:jc w:val="both"/>
    </w:pPr>
    <w:rPr>
      <w:rFonts w:hAnsi="Times New Roman" w:cs="Times New Roman"/>
      <w:kern w:val="2"/>
      <w:sz w:val="24"/>
      <w:szCs w:val="20"/>
      <w:lang w:val="en-US" w:bidi="ar-SA"/>
    </w:rPr>
  </w:style>
  <w:style w:type="paragraph" w:styleId="16">
    <w:name w:val="Body Text"/>
    <w:basedOn w:val="1"/>
    <w:next w:val="1"/>
    <w:link w:val="66"/>
    <w:qFormat/>
    <w:uiPriority w:val="0"/>
    <w:rPr>
      <w:sz w:val="24"/>
      <w:szCs w:val="24"/>
    </w:rPr>
  </w:style>
  <w:style w:type="paragraph" w:styleId="17">
    <w:name w:val="Body Text Indent"/>
    <w:basedOn w:val="1"/>
    <w:link w:val="67"/>
    <w:qFormat/>
    <w:uiPriority w:val="0"/>
    <w:pPr>
      <w:ind w:firstLine="630"/>
    </w:pPr>
    <w:rPr>
      <w:sz w:val="32"/>
      <w:szCs w:val="20"/>
    </w:rPr>
  </w:style>
  <w:style w:type="paragraph" w:styleId="18">
    <w:name w:val="toc 5"/>
    <w:basedOn w:val="1"/>
    <w:next w:val="1"/>
    <w:unhideWhenUsed/>
    <w:qFormat/>
    <w:uiPriority w:val="0"/>
    <w:pPr>
      <w:autoSpaceDE/>
      <w:autoSpaceDN/>
      <w:ind w:left="1680" w:leftChars="800"/>
      <w:jc w:val="both"/>
    </w:pPr>
    <w:rPr>
      <w:rFonts w:ascii="Calibri" w:hAnsi="Calibri" w:cs="Times New Roman"/>
      <w:kern w:val="2"/>
      <w:sz w:val="21"/>
      <w:lang w:val="en-US" w:bidi="ar-SA"/>
    </w:rPr>
  </w:style>
  <w:style w:type="paragraph" w:styleId="19">
    <w:name w:val="toc 3"/>
    <w:basedOn w:val="1"/>
    <w:next w:val="1"/>
    <w:qFormat/>
    <w:uiPriority w:val="39"/>
    <w:pPr>
      <w:autoSpaceDE/>
      <w:autoSpaceDN/>
      <w:ind w:left="840" w:leftChars="400"/>
      <w:jc w:val="both"/>
    </w:pPr>
    <w:rPr>
      <w:rFonts w:cs="Times New Roman"/>
      <w:b/>
      <w:kern w:val="2"/>
      <w:sz w:val="21"/>
      <w:szCs w:val="24"/>
      <w:lang w:val="en-US" w:bidi="ar-SA"/>
    </w:rPr>
  </w:style>
  <w:style w:type="paragraph" w:styleId="20">
    <w:name w:val="Plain Text"/>
    <w:basedOn w:val="1"/>
    <w:link w:val="68"/>
    <w:qFormat/>
    <w:uiPriority w:val="0"/>
    <w:rPr>
      <w:rFonts w:hAnsi="Courier New" w:cs="Courier New"/>
      <w:szCs w:val="21"/>
    </w:rPr>
  </w:style>
  <w:style w:type="paragraph" w:styleId="21">
    <w:name w:val="toc 8"/>
    <w:basedOn w:val="1"/>
    <w:next w:val="1"/>
    <w:unhideWhenUsed/>
    <w:qFormat/>
    <w:uiPriority w:val="0"/>
    <w:pPr>
      <w:autoSpaceDE/>
      <w:autoSpaceDN/>
      <w:ind w:left="2940" w:leftChars="1400"/>
      <w:jc w:val="both"/>
    </w:pPr>
    <w:rPr>
      <w:rFonts w:ascii="Calibri" w:hAnsi="Calibri" w:cs="Times New Roman"/>
      <w:kern w:val="2"/>
      <w:sz w:val="21"/>
      <w:lang w:val="en-US" w:bidi="ar-SA"/>
    </w:rPr>
  </w:style>
  <w:style w:type="paragraph" w:styleId="22">
    <w:name w:val="Date"/>
    <w:basedOn w:val="1"/>
    <w:next w:val="1"/>
    <w:link w:val="85"/>
    <w:qFormat/>
    <w:uiPriority w:val="0"/>
    <w:pPr>
      <w:autoSpaceDE/>
      <w:autoSpaceDN/>
      <w:jc w:val="both"/>
    </w:pPr>
    <w:rPr>
      <w:rFonts w:ascii="Times New Roman" w:hAnsi="Times New Roman" w:cs="Times New Roman"/>
      <w:kern w:val="2"/>
      <w:sz w:val="24"/>
      <w:szCs w:val="20"/>
      <w:lang w:val="en-US" w:bidi="ar-SA"/>
    </w:rPr>
  </w:style>
  <w:style w:type="paragraph" w:styleId="23">
    <w:name w:val="Body Text Indent 2"/>
    <w:basedOn w:val="1"/>
    <w:link w:val="86"/>
    <w:qFormat/>
    <w:uiPriority w:val="0"/>
    <w:pPr>
      <w:autoSpaceDE/>
      <w:autoSpaceDN/>
      <w:ind w:firstLine="560"/>
      <w:jc w:val="both"/>
    </w:pPr>
    <w:rPr>
      <w:rFonts w:cs="Times New Roman"/>
      <w:kern w:val="2"/>
      <w:sz w:val="28"/>
      <w:szCs w:val="20"/>
      <w:lang w:val="en-US" w:bidi="ar-SA"/>
    </w:rPr>
  </w:style>
  <w:style w:type="paragraph" w:styleId="24">
    <w:name w:val="Balloon Text"/>
    <w:basedOn w:val="1"/>
    <w:link w:val="87"/>
    <w:qFormat/>
    <w:uiPriority w:val="99"/>
    <w:pPr>
      <w:autoSpaceDE/>
      <w:autoSpaceDN/>
      <w:jc w:val="both"/>
    </w:pPr>
    <w:rPr>
      <w:rFonts w:ascii="Times New Roman" w:hAnsi="Times New Roman" w:cs="Times New Roman"/>
      <w:b/>
      <w:bCs/>
      <w:kern w:val="44"/>
      <w:sz w:val="44"/>
      <w:szCs w:val="44"/>
      <w:lang w:val="en-US" w:bidi="ar-SA"/>
    </w:rPr>
  </w:style>
  <w:style w:type="paragraph" w:styleId="25">
    <w:name w:val="footer"/>
    <w:basedOn w:val="1"/>
    <w:link w:val="81"/>
    <w:qFormat/>
    <w:uiPriority w:val="99"/>
    <w:pPr>
      <w:tabs>
        <w:tab w:val="center" w:pos="4153"/>
        <w:tab w:val="right" w:pos="8306"/>
      </w:tabs>
      <w:snapToGrid w:val="0"/>
    </w:pPr>
    <w:rPr>
      <w:sz w:val="18"/>
      <w:szCs w:val="18"/>
    </w:rPr>
  </w:style>
  <w:style w:type="paragraph" w:styleId="26">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385"/>
      <w:ind w:left="788"/>
    </w:pPr>
    <w:rPr>
      <w:b/>
      <w:bCs/>
      <w:sz w:val="28"/>
      <w:szCs w:val="28"/>
    </w:rPr>
  </w:style>
  <w:style w:type="paragraph" w:styleId="28">
    <w:name w:val="toc 4"/>
    <w:basedOn w:val="1"/>
    <w:next w:val="1"/>
    <w:unhideWhenUsed/>
    <w:qFormat/>
    <w:uiPriority w:val="0"/>
    <w:pPr>
      <w:autoSpaceDE/>
      <w:autoSpaceDN/>
      <w:ind w:left="1260" w:leftChars="600"/>
      <w:jc w:val="both"/>
    </w:pPr>
    <w:rPr>
      <w:rFonts w:ascii="Calibri" w:hAnsi="Calibri" w:cs="Times New Roman"/>
      <w:kern w:val="2"/>
      <w:sz w:val="21"/>
      <w:lang w:val="en-US" w:bidi="ar-SA"/>
    </w:rPr>
  </w:style>
  <w:style w:type="paragraph" w:styleId="29">
    <w:name w:val="Subtitle"/>
    <w:basedOn w:val="1"/>
    <w:next w:val="1"/>
    <w:link w:val="88"/>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30">
    <w:name w:val="toc 6"/>
    <w:basedOn w:val="1"/>
    <w:next w:val="1"/>
    <w:unhideWhenUsed/>
    <w:qFormat/>
    <w:uiPriority w:val="0"/>
    <w:pPr>
      <w:autoSpaceDE/>
      <w:autoSpaceDN/>
      <w:ind w:left="2100" w:leftChars="1000"/>
      <w:jc w:val="both"/>
    </w:pPr>
    <w:rPr>
      <w:rFonts w:ascii="Calibri" w:hAnsi="Calibri" w:cs="Times New Roman"/>
      <w:kern w:val="2"/>
      <w:sz w:val="21"/>
      <w:lang w:val="en-US" w:bidi="ar-SA"/>
    </w:rPr>
  </w:style>
  <w:style w:type="paragraph" w:styleId="31">
    <w:name w:val="Body Text Indent 3"/>
    <w:basedOn w:val="1"/>
    <w:link w:val="89"/>
    <w:qFormat/>
    <w:uiPriority w:val="0"/>
    <w:pPr>
      <w:autoSpaceDE/>
      <w:autoSpaceDN/>
      <w:spacing w:after="120"/>
      <w:ind w:left="420" w:leftChars="200"/>
      <w:jc w:val="both"/>
    </w:pPr>
    <w:rPr>
      <w:rFonts w:ascii="Times New Roman" w:hAnsi="Times New Roman" w:cs="Times New Roman"/>
      <w:kern w:val="2"/>
      <w:sz w:val="16"/>
      <w:szCs w:val="16"/>
      <w:lang w:val="en-US" w:bidi="ar-SA"/>
    </w:rPr>
  </w:style>
  <w:style w:type="paragraph" w:styleId="32">
    <w:name w:val="toc 2"/>
    <w:basedOn w:val="1"/>
    <w:next w:val="1"/>
    <w:qFormat/>
    <w:uiPriority w:val="39"/>
    <w:pPr>
      <w:autoSpaceDE/>
      <w:autoSpaceDN/>
      <w:ind w:left="420" w:leftChars="200"/>
      <w:jc w:val="both"/>
    </w:pPr>
    <w:rPr>
      <w:rFonts w:cs="Times New Roman"/>
      <w:b/>
      <w:kern w:val="2"/>
      <w:sz w:val="21"/>
      <w:szCs w:val="24"/>
      <w:lang w:val="en-US" w:bidi="ar-SA"/>
    </w:rPr>
  </w:style>
  <w:style w:type="paragraph" w:styleId="33">
    <w:name w:val="toc 9"/>
    <w:basedOn w:val="1"/>
    <w:next w:val="1"/>
    <w:unhideWhenUsed/>
    <w:qFormat/>
    <w:uiPriority w:val="0"/>
    <w:pPr>
      <w:autoSpaceDE/>
      <w:autoSpaceDN/>
      <w:ind w:left="3360" w:leftChars="1600"/>
      <w:jc w:val="both"/>
    </w:pPr>
    <w:rPr>
      <w:rFonts w:ascii="Calibri" w:hAnsi="Calibri" w:cs="Times New Roman"/>
      <w:kern w:val="2"/>
      <w:sz w:val="21"/>
      <w:lang w:val="en-US" w:bidi="ar-SA"/>
    </w:rPr>
  </w:style>
  <w:style w:type="paragraph" w:styleId="34">
    <w:name w:val="Body Text 2"/>
    <w:basedOn w:val="1"/>
    <w:link w:val="90"/>
    <w:qFormat/>
    <w:uiPriority w:val="0"/>
    <w:pPr>
      <w:autoSpaceDE/>
      <w:autoSpaceDN/>
      <w:jc w:val="both"/>
    </w:pPr>
    <w:rPr>
      <w:rFonts w:ascii="Times New Roman" w:hAnsi="Times New Roman" w:cs="Times New Roman"/>
      <w:kern w:val="2"/>
      <w:sz w:val="28"/>
      <w:szCs w:val="20"/>
      <w:lang w:val="en-US" w:bidi="ar-SA"/>
    </w:rPr>
  </w:style>
  <w:style w:type="paragraph" w:styleId="35">
    <w:name w:val="HTML Preformatted"/>
    <w:basedOn w:val="1"/>
    <w:link w:val="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val="en-US" w:bidi="ar-SA"/>
    </w:rPr>
  </w:style>
  <w:style w:type="paragraph" w:styleId="36">
    <w:name w:val="Normal (Web)"/>
    <w:basedOn w:val="1"/>
    <w:next w:val="1"/>
    <w:autoRedefine/>
    <w:qFormat/>
    <w:uiPriority w:val="99"/>
    <w:pPr>
      <w:widowControl/>
      <w:spacing w:before="100" w:beforeAutospacing="1" w:after="100" w:afterAutospacing="1"/>
    </w:pPr>
    <w:rPr>
      <w:sz w:val="18"/>
      <w:szCs w:val="18"/>
    </w:rPr>
  </w:style>
  <w:style w:type="paragraph" w:styleId="37">
    <w:name w:val="index 1"/>
    <w:basedOn w:val="1"/>
    <w:next w:val="1"/>
    <w:qFormat/>
    <w:uiPriority w:val="0"/>
    <w:pPr>
      <w:autoSpaceDE/>
      <w:autoSpaceDN/>
      <w:jc w:val="both"/>
    </w:pPr>
    <w:rPr>
      <w:rFonts w:ascii="Times New Roman" w:hAnsi="Times New Roman" w:cs="Times New Roman"/>
      <w:kern w:val="2"/>
      <w:sz w:val="21"/>
      <w:szCs w:val="24"/>
      <w:lang w:val="en-US" w:bidi="ar-SA"/>
    </w:rPr>
  </w:style>
  <w:style w:type="paragraph" w:styleId="38">
    <w:name w:val="Title"/>
    <w:basedOn w:val="1"/>
    <w:link w:val="92"/>
    <w:autoRedefine/>
    <w:qFormat/>
    <w:uiPriority w:val="0"/>
    <w:pPr>
      <w:autoSpaceDE/>
      <w:autoSpaceDN/>
      <w:spacing w:before="240" w:after="60"/>
      <w:jc w:val="center"/>
      <w:outlineLvl w:val="0"/>
    </w:pPr>
    <w:rPr>
      <w:rFonts w:ascii="新宋体" w:hAnsi="新宋体" w:eastAsia="新宋体" w:cs="Arial"/>
      <w:b/>
      <w:bCs/>
      <w:kern w:val="2"/>
      <w:sz w:val="40"/>
      <w:szCs w:val="32"/>
      <w:lang w:val="en-US" w:bidi="ar-SA"/>
    </w:rPr>
  </w:style>
  <w:style w:type="paragraph" w:styleId="39">
    <w:name w:val="annotation subject"/>
    <w:basedOn w:val="14"/>
    <w:next w:val="14"/>
    <w:link w:val="93"/>
    <w:unhideWhenUsed/>
    <w:qFormat/>
    <w:uiPriority w:val="0"/>
    <w:rPr>
      <w:rFonts w:ascii="Times New Roman" w:hAnsi="Times New Roman" w:eastAsia="Times New Roman"/>
      <w:bCs/>
    </w:rPr>
  </w:style>
  <w:style w:type="paragraph" w:styleId="40">
    <w:name w:val="Body Text First Indent"/>
    <w:basedOn w:val="16"/>
    <w:link w:val="94"/>
    <w:qFormat/>
    <w:uiPriority w:val="0"/>
    <w:pPr>
      <w:autoSpaceDE/>
      <w:autoSpaceDN/>
      <w:spacing w:after="120"/>
      <w:ind w:firstLine="420" w:firstLineChars="100"/>
      <w:jc w:val="both"/>
    </w:pPr>
    <w:rPr>
      <w:rFonts w:ascii="Calibri" w:hAnsi="Calibri" w:cs="Times New Roman"/>
      <w:kern w:val="2"/>
      <w:sz w:val="21"/>
      <w:lang w:val="en-US" w:bidi="ar-SA"/>
    </w:rPr>
  </w:style>
  <w:style w:type="character" w:styleId="43">
    <w:name w:val="Strong"/>
    <w:basedOn w:val="42"/>
    <w:qFormat/>
    <w:uiPriority w:val="0"/>
    <w:rPr>
      <w:rFonts w:hint="default" w:ascii="Times New Roman" w:hAnsi="Times New Roman" w:cs="Times New Roman"/>
      <w:b/>
      <w:bCs/>
    </w:rPr>
  </w:style>
  <w:style w:type="character" w:styleId="44">
    <w:name w:val="page number"/>
    <w:basedOn w:val="42"/>
    <w:qFormat/>
    <w:uiPriority w:val="0"/>
  </w:style>
  <w:style w:type="character" w:styleId="45">
    <w:name w:val="FollowedHyperlink"/>
    <w:basedOn w:val="42"/>
    <w:qFormat/>
    <w:uiPriority w:val="99"/>
    <w:rPr>
      <w:color w:val="800080"/>
      <w:u w:val="none"/>
    </w:rPr>
  </w:style>
  <w:style w:type="character" w:styleId="46">
    <w:name w:val="HTML Definition"/>
    <w:basedOn w:val="42"/>
    <w:qFormat/>
    <w:uiPriority w:val="0"/>
  </w:style>
  <w:style w:type="character" w:styleId="47">
    <w:name w:val="HTML Typewriter"/>
    <w:basedOn w:val="42"/>
    <w:autoRedefine/>
    <w:qFormat/>
    <w:uiPriority w:val="0"/>
    <w:rPr>
      <w:rFonts w:ascii="monospace" w:hAnsi="monospace" w:eastAsia="monospace" w:cs="monospace"/>
      <w:sz w:val="20"/>
    </w:rPr>
  </w:style>
  <w:style w:type="character" w:styleId="48">
    <w:name w:val="HTML Acronym"/>
    <w:basedOn w:val="42"/>
    <w:qFormat/>
    <w:uiPriority w:val="0"/>
  </w:style>
  <w:style w:type="character" w:styleId="49">
    <w:name w:val="HTML Variable"/>
    <w:basedOn w:val="42"/>
    <w:autoRedefine/>
    <w:qFormat/>
    <w:uiPriority w:val="0"/>
  </w:style>
  <w:style w:type="character" w:styleId="50">
    <w:name w:val="Hyperlink"/>
    <w:qFormat/>
    <w:uiPriority w:val="99"/>
    <w:rPr>
      <w:color w:val="136EC2"/>
      <w:u w:val="single"/>
    </w:rPr>
  </w:style>
  <w:style w:type="character" w:styleId="51">
    <w:name w:val="HTML Code"/>
    <w:basedOn w:val="42"/>
    <w:autoRedefine/>
    <w:qFormat/>
    <w:uiPriority w:val="0"/>
    <w:rPr>
      <w:rFonts w:hint="default" w:ascii="monospace" w:hAnsi="monospace" w:eastAsia="monospace" w:cs="monospace"/>
      <w:sz w:val="20"/>
    </w:rPr>
  </w:style>
  <w:style w:type="character" w:styleId="52">
    <w:name w:val="annotation reference"/>
    <w:autoRedefine/>
    <w:qFormat/>
    <w:uiPriority w:val="0"/>
    <w:rPr>
      <w:sz w:val="21"/>
      <w:szCs w:val="21"/>
    </w:rPr>
  </w:style>
  <w:style w:type="character" w:styleId="53">
    <w:name w:val="HTML Cite"/>
    <w:basedOn w:val="42"/>
    <w:qFormat/>
    <w:uiPriority w:val="0"/>
  </w:style>
  <w:style w:type="character" w:styleId="54">
    <w:name w:val="HTML Keyboard"/>
    <w:basedOn w:val="42"/>
    <w:qFormat/>
    <w:uiPriority w:val="0"/>
    <w:rPr>
      <w:rFonts w:hint="default" w:ascii="monospace" w:hAnsi="monospace" w:eastAsia="monospace" w:cs="monospace"/>
      <w:sz w:val="20"/>
    </w:rPr>
  </w:style>
  <w:style w:type="character" w:styleId="55">
    <w:name w:val="HTML Sample"/>
    <w:basedOn w:val="42"/>
    <w:autoRedefine/>
    <w:qFormat/>
    <w:uiPriority w:val="0"/>
    <w:rPr>
      <w:rFonts w:hint="default" w:ascii="monospace" w:hAnsi="monospace" w:eastAsia="monospace" w:cs="monospace"/>
    </w:rPr>
  </w:style>
  <w:style w:type="paragraph" w:customStyle="1" w:styleId="56">
    <w:name w:val="列出段落1"/>
    <w:basedOn w:val="1"/>
    <w:autoRedefine/>
    <w:qFormat/>
    <w:uiPriority w:val="99"/>
    <w:pPr>
      <w:ind w:firstLine="420" w:firstLineChars="200"/>
    </w:pPr>
    <w:rPr>
      <w:szCs w:val="24"/>
    </w:rPr>
  </w:style>
  <w:style w:type="character" w:customStyle="1" w:styleId="57">
    <w:name w:val="标题 1 Char"/>
    <w:basedOn w:val="42"/>
    <w:link w:val="2"/>
    <w:qFormat/>
    <w:uiPriority w:val="0"/>
    <w:rPr>
      <w:rFonts w:ascii="宋体" w:hAnsi="宋体" w:cs="宋体"/>
      <w:b/>
      <w:bCs/>
      <w:sz w:val="36"/>
      <w:szCs w:val="36"/>
      <w:lang w:val="zh-CN" w:bidi="zh-CN"/>
    </w:rPr>
  </w:style>
  <w:style w:type="character" w:customStyle="1" w:styleId="58">
    <w:name w:val="标题 2 Char"/>
    <w:basedOn w:val="42"/>
    <w:link w:val="3"/>
    <w:qFormat/>
    <w:uiPriority w:val="0"/>
    <w:rPr>
      <w:rFonts w:ascii="宋体" w:hAnsi="宋体" w:cs="宋体"/>
      <w:b/>
      <w:bCs/>
      <w:sz w:val="32"/>
      <w:szCs w:val="32"/>
      <w:lang w:val="zh-CN" w:bidi="zh-CN"/>
    </w:rPr>
  </w:style>
  <w:style w:type="character" w:customStyle="1" w:styleId="59">
    <w:name w:val="标题 3 Char"/>
    <w:basedOn w:val="42"/>
    <w:link w:val="4"/>
    <w:qFormat/>
    <w:uiPriority w:val="0"/>
    <w:rPr>
      <w:rFonts w:ascii="黑体" w:hAnsi="黑体" w:eastAsia="黑体" w:cs="黑体"/>
      <w:sz w:val="32"/>
      <w:szCs w:val="32"/>
      <w:lang w:val="zh-CN" w:bidi="zh-CN"/>
    </w:rPr>
  </w:style>
  <w:style w:type="character" w:customStyle="1" w:styleId="60">
    <w:name w:val="标题 4 Char"/>
    <w:basedOn w:val="42"/>
    <w:link w:val="5"/>
    <w:autoRedefine/>
    <w:qFormat/>
    <w:uiPriority w:val="0"/>
    <w:rPr>
      <w:rFonts w:ascii="仿宋" w:hAnsi="仿宋" w:eastAsia="仿宋" w:cs="仿宋"/>
      <w:b/>
      <w:bCs/>
      <w:sz w:val="30"/>
      <w:szCs w:val="30"/>
      <w:u w:val="single" w:color="000000"/>
      <w:lang w:val="zh-CN" w:bidi="zh-CN"/>
    </w:rPr>
  </w:style>
  <w:style w:type="character" w:customStyle="1" w:styleId="61">
    <w:name w:val="标题 5 Char"/>
    <w:basedOn w:val="42"/>
    <w:link w:val="6"/>
    <w:qFormat/>
    <w:uiPriority w:val="0"/>
    <w:rPr>
      <w:rFonts w:ascii="仿宋" w:hAnsi="仿宋" w:eastAsia="仿宋" w:cs="仿宋"/>
      <w:sz w:val="30"/>
      <w:szCs w:val="30"/>
      <w:lang w:val="zh-CN" w:bidi="zh-CN"/>
    </w:rPr>
  </w:style>
  <w:style w:type="character" w:customStyle="1" w:styleId="62">
    <w:name w:val="标题 6 Char"/>
    <w:basedOn w:val="42"/>
    <w:link w:val="7"/>
    <w:autoRedefine/>
    <w:qFormat/>
    <w:uiPriority w:val="0"/>
    <w:rPr>
      <w:rFonts w:ascii="宋体" w:hAnsi="宋体" w:cs="宋体"/>
      <w:b/>
      <w:bCs/>
      <w:sz w:val="28"/>
      <w:szCs w:val="28"/>
      <w:lang w:val="zh-CN" w:bidi="zh-CN"/>
    </w:rPr>
  </w:style>
  <w:style w:type="character" w:customStyle="1" w:styleId="63">
    <w:name w:val="标题 7 Char"/>
    <w:basedOn w:val="42"/>
    <w:link w:val="8"/>
    <w:qFormat/>
    <w:uiPriority w:val="0"/>
    <w:rPr>
      <w:rFonts w:ascii="宋体" w:hAnsi="宋体" w:cs="宋体"/>
      <w:b/>
      <w:bCs/>
      <w:sz w:val="24"/>
      <w:szCs w:val="24"/>
      <w:lang w:val="zh-CN" w:bidi="zh-CN"/>
    </w:rPr>
  </w:style>
  <w:style w:type="character" w:customStyle="1" w:styleId="64">
    <w:name w:val="标题 8 Char"/>
    <w:basedOn w:val="42"/>
    <w:link w:val="9"/>
    <w:qFormat/>
    <w:uiPriority w:val="0"/>
    <w:rPr>
      <w:rFonts w:ascii="Arial" w:hAnsi="Arial" w:eastAsia="黑体"/>
      <w:sz w:val="24"/>
      <w:szCs w:val="24"/>
    </w:rPr>
  </w:style>
  <w:style w:type="character" w:customStyle="1" w:styleId="65">
    <w:name w:val="标题 9 Char"/>
    <w:basedOn w:val="42"/>
    <w:link w:val="10"/>
    <w:autoRedefine/>
    <w:qFormat/>
    <w:uiPriority w:val="0"/>
    <w:rPr>
      <w:rFonts w:ascii="Arial" w:hAnsi="Arial" w:eastAsia="黑体"/>
      <w:sz w:val="21"/>
      <w:szCs w:val="21"/>
    </w:rPr>
  </w:style>
  <w:style w:type="character" w:customStyle="1" w:styleId="66">
    <w:name w:val="正文文本 Char"/>
    <w:basedOn w:val="42"/>
    <w:link w:val="16"/>
    <w:autoRedefine/>
    <w:qFormat/>
    <w:uiPriority w:val="0"/>
    <w:rPr>
      <w:rFonts w:ascii="宋体" w:hAnsi="宋体" w:cs="宋体"/>
      <w:sz w:val="24"/>
      <w:szCs w:val="24"/>
      <w:lang w:val="zh-CN" w:bidi="zh-CN"/>
    </w:rPr>
  </w:style>
  <w:style w:type="character" w:customStyle="1" w:styleId="67">
    <w:name w:val="正文文本缩进 Char"/>
    <w:basedOn w:val="42"/>
    <w:link w:val="17"/>
    <w:autoRedefine/>
    <w:qFormat/>
    <w:uiPriority w:val="0"/>
    <w:rPr>
      <w:rFonts w:ascii="宋体" w:hAnsi="宋体" w:cs="宋体"/>
      <w:sz w:val="32"/>
      <w:lang w:val="zh-CN" w:bidi="zh-CN"/>
    </w:rPr>
  </w:style>
  <w:style w:type="character" w:customStyle="1" w:styleId="68">
    <w:name w:val="纯文本 Char"/>
    <w:basedOn w:val="42"/>
    <w:link w:val="20"/>
    <w:autoRedefine/>
    <w:qFormat/>
    <w:uiPriority w:val="0"/>
    <w:rPr>
      <w:rFonts w:ascii="宋体" w:hAnsi="Courier New" w:cs="Courier New"/>
      <w:sz w:val="22"/>
      <w:szCs w:val="21"/>
      <w:lang w:val="zh-CN" w:bidi="zh-CN"/>
    </w:rPr>
  </w:style>
  <w:style w:type="table" w:customStyle="1" w:styleId="69">
    <w:name w:val="Table Normal"/>
    <w:autoRedefine/>
    <w:semiHidden/>
    <w:unhideWhenUsed/>
    <w:qFormat/>
    <w:uiPriority w:val="2"/>
    <w:tblPr>
      <w:tblCellMar>
        <w:top w:w="0" w:type="dxa"/>
        <w:left w:w="0" w:type="dxa"/>
        <w:bottom w:w="0" w:type="dxa"/>
        <w:right w:w="0" w:type="dxa"/>
      </w:tblCellMar>
    </w:tblPr>
  </w:style>
  <w:style w:type="paragraph" w:styleId="70">
    <w:name w:val="List Paragraph"/>
    <w:basedOn w:val="1"/>
    <w:autoRedefine/>
    <w:qFormat/>
    <w:uiPriority w:val="1"/>
    <w:pPr>
      <w:ind w:left="673" w:firstLine="480"/>
    </w:pPr>
  </w:style>
  <w:style w:type="paragraph" w:customStyle="1" w:styleId="71">
    <w:name w:val="Table Paragraph"/>
    <w:basedOn w:val="1"/>
    <w:autoRedefine/>
    <w:qFormat/>
    <w:uiPriority w:val="1"/>
  </w:style>
  <w:style w:type="paragraph" w:customStyle="1" w:styleId="7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73">
    <w:name w:val="layui-layer-tabnow"/>
    <w:basedOn w:val="42"/>
    <w:autoRedefine/>
    <w:qFormat/>
    <w:uiPriority w:val="0"/>
    <w:rPr>
      <w:bdr w:val="single" w:color="CCCCCC" w:sz="6" w:space="0"/>
      <w:shd w:val="clear" w:color="auto" w:fill="FFFFFF"/>
    </w:rPr>
  </w:style>
  <w:style w:type="character" w:customStyle="1" w:styleId="74">
    <w:name w:val="first-child"/>
    <w:basedOn w:val="42"/>
    <w:autoRedefine/>
    <w:qFormat/>
    <w:uiPriority w:val="0"/>
  </w:style>
  <w:style w:type="paragraph" w:customStyle="1" w:styleId="75">
    <w:name w:val="@正文"/>
    <w:basedOn w:val="76"/>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76">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77">
    <w:name w:val="@一级小标题"/>
    <w:basedOn w:val="1"/>
    <w:next w:val="75"/>
    <w:autoRedefine/>
    <w:qFormat/>
    <w:uiPriority w:val="0"/>
    <w:pPr>
      <w:keepNext/>
      <w:spacing w:before="120" w:after="60"/>
      <w:outlineLvl w:val="2"/>
    </w:pPr>
    <w:rPr>
      <w:rFonts w:ascii="Calibri" w:hAnsi="Calibri" w:eastAsia="黑体"/>
      <w:kern w:val="28"/>
      <w:sz w:val="28"/>
    </w:rPr>
  </w:style>
  <w:style w:type="table" w:customStyle="1" w:styleId="78">
    <w:name w:val="网格型1"/>
    <w:basedOn w:val="41"/>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9">
    <w:name w:val="@标题"/>
    <w:basedOn w:val="1"/>
    <w:next w:val="75"/>
    <w:autoRedefine/>
    <w:qFormat/>
    <w:uiPriority w:val="0"/>
    <w:pPr>
      <w:keepNext/>
      <w:spacing w:before="50" w:beforeLines="50" w:after="50" w:afterLines="50"/>
      <w:jc w:val="center"/>
      <w:outlineLvl w:val="1"/>
    </w:pPr>
    <w:rPr>
      <w:rFonts w:ascii="Calibri" w:hAnsi="Calibri" w:eastAsia="黑体"/>
      <w:kern w:val="32"/>
      <w:sz w:val="32"/>
    </w:rPr>
  </w:style>
  <w:style w:type="character" w:customStyle="1" w:styleId="80">
    <w:name w:val="页眉 Char"/>
    <w:basedOn w:val="42"/>
    <w:link w:val="26"/>
    <w:autoRedefine/>
    <w:qFormat/>
    <w:uiPriority w:val="0"/>
    <w:rPr>
      <w:rFonts w:ascii="宋体" w:hAnsi="宋体" w:cs="宋体"/>
      <w:sz w:val="18"/>
      <w:szCs w:val="18"/>
      <w:lang w:val="zh-CN" w:bidi="zh-CN"/>
    </w:rPr>
  </w:style>
  <w:style w:type="character" w:customStyle="1" w:styleId="81">
    <w:name w:val="页脚 Char"/>
    <w:basedOn w:val="42"/>
    <w:link w:val="25"/>
    <w:autoRedefine/>
    <w:qFormat/>
    <w:uiPriority w:val="99"/>
    <w:rPr>
      <w:rFonts w:ascii="宋体" w:hAnsi="宋体" w:cs="宋体"/>
      <w:sz w:val="18"/>
      <w:szCs w:val="18"/>
      <w:lang w:val="zh-CN" w:bidi="zh-CN"/>
    </w:rPr>
  </w:style>
  <w:style w:type="character" w:customStyle="1" w:styleId="82">
    <w:name w:val="文档结构图 Char"/>
    <w:basedOn w:val="42"/>
    <w:link w:val="13"/>
    <w:autoRedefine/>
    <w:qFormat/>
    <w:uiPriority w:val="0"/>
    <w:rPr>
      <w:rFonts w:ascii="宋体" w:hAnsi="宋体"/>
      <w:b/>
      <w:kern w:val="2"/>
      <w:sz w:val="21"/>
      <w:szCs w:val="24"/>
      <w:shd w:val="clear" w:color="auto" w:fill="000080"/>
    </w:rPr>
  </w:style>
  <w:style w:type="character" w:customStyle="1" w:styleId="83">
    <w:name w:val="批注文字 Char"/>
    <w:basedOn w:val="42"/>
    <w:link w:val="14"/>
    <w:autoRedefine/>
    <w:qFormat/>
    <w:uiPriority w:val="0"/>
    <w:rPr>
      <w:rFonts w:ascii="宋体" w:hAnsi="宋体"/>
      <w:b/>
      <w:kern w:val="2"/>
      <w:sz w:val="21"/>
      <w:szCs w:val="24"/>
    </w:rPr>
  </w:style>
  <w:style w:type="character" w:customStyle="1" w:styleId="84">
    <w:name w:val="正文文本 3 Char"/>
    <w:basedOn w:val="42"/>
    <w:link w:val="15"/>
    <w:autoRedefine/>
    <w:qFormat/>
    <w:uiPriority w:val="0"/>
    <w:rPr>
      <w:rFonts w:ascii="宋体"/>
      <w:kern w:val="2"/>
      <w:sz w:val="24"/>
    </w:rPr>
  </w:style>
  <w:style w:type="character" w:customStyle="1" w:styleId="85">
    <w:name w:val="日期 Char"/>
    <w:basedOn w:val="42"/>
    <w:link w:val="22"/>
    <w:autoRedefine/>
    <w:qFormat/>
    <w:uiPriority w:val="0"/>
    <w:rPr>
      <w:kern w:val="2"/>
      <w:sz w:val="24"/>
    </w:rPr>
  </w:style>
  <w:style w:type="character" w:customStyle="1" w:styleId="86">
    <w:name w:val="正文文本缩进 2 Char"/>
    <w:basedOn w:val="42"/>
    <w:link w:val="23"/>
    <w:autoRedefine/>
    <w:qFormat/>
    <w:uiPriority w:val="0"/>
    <w:rPr>
      <w:rFonts w:ascii="宋体" w:hAnsi="宋体"/>
      <w:kern w:val="2"/>
      <w:sz w:val="28"/>
    </w:rPr>
  </w:style>
  <w:style w:type="character" w:customStyle="1" w:styleId="87">
    <w:name w:val="批注框文本 Char"/>
    <w:basedOn w:val="42"/>
    <w:link w:val="24"/>
    <w:autoRedefine/>
    <w:qFormat/>
    <w:uiPriority w:val="99"/>
    <w:rPr>
      <w:b/>
      <w:bCs/>
      <w:kern w:val="44"/>
      <w:sz w:val="44"/>
      <w:szCs w:val="44"/>
    </w:rPr>
  </w:style>
  <w:style w:type="character" w:customStyle="1" w:styleId="88">
    <w:name w:val="副标题 Char"/>
    <w:basedOn w:val="42"/>
    <w:link w:val="29"/>
    <w:autoRedefine/>
    <w:qFormat/>
    <w:uiPriority w:val="0"/>
    <w:rPr>
      <w:rFonts w:ascii="Cambria" w:hAnsi="Cambria"/>
      <w:b/>
      <w:bCs/>
      <w:kern w:val="28"/>
      <w:sz w:val="32"/>
      <w:szCs w:val="32"/>
    </w:rPr>
  </w:style>
  <w:style w:type="character" w:customStyle="1" w:styleId="89">
    <w:name w:val="正文文本缩进 3 Char"/>
    <w:basedOn w:val="42"/>
    <w:link w:val="31"/>
    <w:autoRedefine/>
    <w:qFormat/>
    <w:uiPriority w:val="0"/>
    <w:rPr>
      <w:kern w:val="2"/>
      <w:sz w:val="16"/>
      <w:szCs w:val="16"/>
    </w:rPr>
  </w:style>
  <w:style w:type="character" w:customStyle="1" w:styleId="90">
    <w:name w:val="正文文本 2 Char"/>
    <w:basedOn w:val="42"/>
    <w:link w:val="34"/>
    <w:autoRedefine/>
    <w:qFormat/>
    <w:uiPriority w:val="0"/>
    <w:rPr>
      <w:kern w:val="2"/>
      <w:sz w:val="28"/>
    </w:rPr>
  </w:style>
  <w:style w:type="character" w:customStyle="1" w:styleId="91">
    <w:name w:val="HTML 预设格式 Char"/>
    <w:basedOn w:val="42"/>
    <w:link w:val="35"/>
    <w:autoRedefine/>
    <w:qFormat/>
    <w:uiPriority w:val="0"/>
    <w:rPr>
      <w:rFonts w:ascii="宋体" w:hAnsi="宋体" w:cs="宋体"/>
      <w:sz w:val="24"/>
      <w:szCs w:val="24"/>
    </w:rPr>
  </w:style>
  <w:style w:type="character" w:customStyle="1" w:styleId="92">
    <w:name w:val="标题 Char"/>
    <w:basedOn w:val="42"/>
    <w:link w:val="38"/>
    <w:autoRedefine/>
    <w:qFormat/>
    <w:uiPriority w:val="0"/>
    <w:rPr>
      <w:rFonts w:ascii="新宋体" w:hAnsi="新宋体" w:eastAsia="新宋体" w:cs="Arial"/>
      <w:b/>
      <w:bCs/>
      <w:kern w:val="2"/>
      <w:sz w:val="40"/>
      <w:szCs w:val="32"/>
    </w:rPr>
  </w:style>
  <w:style w:type="character" w:customStyle="1" w:styleId="93">
    <w:name w:val="批注主题 Char"/>
    <w:basedOn w:val="83"/>
    <w:link w:val="39"/>
    <w:autoRedefine/>
    <w:qFormat/>
    <w:uiPriority w:val="0"/>
    <w:rPr>
      <w:rFonts w:ascii="宋体" w:hAnsi="宋体" w:eastAsia="Times New Roman"/>
      <w:bCs/>
      <w:kern w:val="2"/>
      <w:sz w:val="21"/>
      <w:szCs w:val="24"/>
    </w:rPr>
  </w:style>
  <w:style w:type="character" w:customStyle="1" w:styleId="94">
    <w:name w:val="正文首行缩进 Char"/>
    <w:basedOn w:val="66"/>
    <w:link w:val="40"/>
    <w:qFormat/>
    <w:uiPriority w:val="0"/>
    <w:rPr>
      <w:rFonts w:ascii="Calibri" w:hAnsi="Calibri" w:cs="宋体"/>
      <w:kern w:val="2"/>
      <w:sz w:val="21"/>
      <w:szCs w:val="24"/>
      <w:lang w:val="zh-CN" w:bidi="zh-CN"/>
    </w:rPr>
  </w:style>
  <w:style w:type="character" w:customStyle="1" w:styleId="95">
    <w:name w:val="Char Char17"/>
    <w:autoRedefine/>
    <w:qFormat/>
    <w:uiPriority w:val="0"/>
    <w:rPr>
      <w:rFonts w:ascii="Cambria" w:hAnsi="Cambria" w:eastAsia="宋体"/>
      <w:b/>
      <w:bCs/>
      <w:kern w:val="2"/>
      <w:sz w:val="32"/>
      <w:szCs w:val="32"/>
      <w:lang w:bidi="ar-SA"/>
    </w:rPr>
  </w:style>
  <w:style w:type="character" w:customStyle="1" w:styleId="96">
    <w:name w:val="Char Char16"/>
    <w:autoRedefine/>
    <w:qFormat/>
    <w:uiPriority w:val="0"/>
    <w:rPr>
      <w:rFonts w:eastAsia="宋体"/>
      <w:b/>
      <w:bCs/>
      <w:kern w:val="2"/>
      <w:sz w:val="32"/>
      <w:szCs w:val="32"/>
      <w:lang w:bidi="ar-SA"/>
    </w:rPr>
  </w:style>
  <w:style w:type="paragraph" w:customStyle="1" w:styleId="97">
    <w:name w:val="1"/>
    <w:basedOn w:val="1"/>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98">
    <w:name w:val="Char Char Char Char"/>
    <w:basedOn w:val="1"/>
    <w:autoRedefine/>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99">
    <w:name w:val="p0"/>
    <w:basedOn w:val="1"/>
    <w:autoRedefine/>
    <w:qFormat/>
    <w:uiPriority w:val="0"/>
    <w:pPr>
      <w:widowControl/>
      <w:autoSpaceDE/>
      <w:autoSpaceDN/>
    </w:pPr>
    <w:rPr>
      <w:rFonts w:ascii="Times New Roman" w:hAnsi="Times New Roman" w:cs="Times New Roman"/>
      <w:sz w:val="20"/>
      <w:szCs w:val="20"/>
      <w:lang w:val="en-US" w:bidi="ar-SA"/>
    </w:rPr>
  </w:style>
  <w:style w:type="paragraph" w:customStyle="1" w:styleId="100">
    <w:name w:val="p15"/>
    <w:basedOn w:val="1"/>
    <w:qFormat/>
    <w:uiPriority w:val="0"/>
    <w:pPr>
      <w:widowControl/>
      <w:autoSpaceDE/>
      <w:autoSpaceDN/>
      <w:spacing w:after="120"/>
      <w:ind w:firstLine="210"/>
    </w:pPr>
    <w:rPr>
      <w:rFonts w:ascii="Times New Roman" w:hAnsi="Times New Roman" w:cs="Times New Roman"/>
      <w:sz w:val="21"/>
      <w:szCs w:val="21"/>
      <w:lang w:val="en-US" w:bidi="ar-SA"/>
    </w:rPr>
  </w:style>
  <w:style w:type="paragraph" w:customStyle="1" w:styleId="101">
    <w:name w:val="p16"/>
    <w:basedOn w:val="1"/>
    <w:qFormat/>
    <w:uiPriority w:val="0"/>
    <w:pPr>
      <w:widowControl/>
      <w:autoSpaceDE/>
      <w:autoSpaceDN/>
      <w:ind w:left="5250"/>
    </w:pPr>
    <w:rPr>
      <w:rFonts w:ascii="Times New Roman" w:hAnsi="Times New Roman" w:cs="Times New Roman"/>
      <w:sz w:val="20"/>
      <w:szCs w:val="20"/>
      <w:lang w:val="en-US" w:bidi="ar-SA"/>
    </w:rPr>
  </w:style>
  <w:style w:type="paragraph" w:customStyle="1" w:styleId="102">
    <w:name w:val="p17"/>
    <w:basedOn w:val="1"/>
    <w:autoRedefine/>
    <w:qFormat/>
    <w:uiPriority w:val="0"/>
    <w:pPr>
      <w:widowControl/>
      <w:autoSpaceDE/>
      <w:autoSpaceDN/>
      <w:spacing w:line="360" w:lineRule="atLeast"/>
    </w:pPr>
    <w:rPr>
      <w:rFonts w:ascii="Times New Roman" w:hAnsi="Times New Roman" w:cs="Times New Roman"/>
      <w:sz w:val="24"/>
      <w:szCs w:val="24"/>
      <w:lang w:val="en-US" w:bidi="ar-SA"/>
    </w:rPr>
  </w:style>
  <w:style w:type="paragraph" w:customStyle="1" w:styleId="103">
    <w:name w:val="Char1"/>
    <w:basedOn w:val="1"/>
    <w:autoRedefine/>
    <w:qFormat/>
    <w:uiPriority w:val="0"/>
    <w:pPr>
      <w:autoSpaceDE/>
      <w:autoSpaceDN/>
      <w:jc w:val="both"/>
    </w:pPr>
    <w:rPr>
      <w:rFonts w:ascii="Tahoma" w:hAnsi="Tahoma" w:cs="Times New Roman"/>
      <w:kern w:val="2"/>
      <w:sz w:val="24"/>
      <w:szCs w:val="20"/>
      <w:lang w:val="en-US" w:bidi="ar-SA"/>
    </w:rPr>
  </w:style>
  <w:style w:type="paragraph" w:customStyle="1" w:styleId="104">
    <w:name w:val="Char"/>
    <w:basedOn w:val="1"/>
    <w:qFormat/>
    <w:uiPriority w:val="0"/>
    <w:pPr>
      <w:autoSpaceDE/>
      <w:autoSpaceDN/>
      <w:jc w:val="both"/>
    </w:pPr>
    <w:rPr>
      <w:rFonts w:ascii="Tahoma" w:hAnsi="Tahoma" w:cs="Times New Roman"/>
      <w:kern w:val="2"/>
      <w:sz w:val="24"/>
      <w:szCs w:val="20"/>
      <w:lang w:val="en-US" w:bidi="ar-SA"/>
    </w:rPr>
  </w:style>
  <w:style w:type="paragraph" w:customStyle="1" w:styleId="105">
    <w:name w:val="普通(网站)1"/>
    <w:basedOn w:val="1"/>
    <w:autoRedefine/>
    <w:qFormat/>
    <w:uiPriority w:val="0"/>
    <w:pPr>
      <w:widowControl/>
      <w:autoSpaceDE/>
      <w:autoSpaceDN/>
      <w:spacing w:before="100" w:beforeAutospacing="1" w:after="100" w:afterAutospacing="1" w:line="360" w:lineRule="auto"/>
      <w:ind w:firstLine="420" w:firstLineChars="200"/>
    </w:pPr>
    <w:rPr>
      <w:rFonts w:cs="Times New Roman"/>
      <w:sz w:val="24"/>
      <w:szCs w:val="20"/>
      <w:lang w:val="en-US" w:bidi="ar-SA"/>
    </w:rPr>
  </w:style>
  <w:style w:type="paragraph" w:customStyle="1" w:styleId="106">
    <w:name w:val="目录"/>
    <w:basedOn w:val="1"/>
    <w:autoRedefine/>
    <w:qFormat/>
    <w:uiPriority w:val="0"/>
    <w:pPr>
      <w:widowControl/>
      <w:autoSpaceDE/>
      <w:autoSpaceDN/>
      <w:jc w:val="center"/>
    </w:pPr>
    <w:rPr>
      <w:rFonts w:hAnsi="Times New Roman" w:cs="Times New Roman"/>
      <w:b/>
      <w:sz w:val="36"/>
      <w:szCs w:val="20"/>
      <w:lang w:val="en-US" w:bidi="ar-SA"/>
    </w:rPr>
  </w:style>
  <w:style w:type="character" w:customStyle="1" w:styleId="107">
    <w:name w:val="msonormal"/>
    <w:autoRedefine/>
    <w:qFormat/>
    <w:uiPriority w:val="0"/>
  </w:style>
  <w:style w:type="paragraph" w:customStyle="1" w:styleId="108">
    <w:name w:val="TOC 标题1"/>
    <w:basedOn w:val="2"/>
    <w:next w:val="1"/>
    <w:autoRedefine/>
    <w:qFormat/>
    <w:uiPriority w:val="0"/>
    <w:pPr>
      <w:keepNext/>
      <w:keepLines/>
      <w:widowControl/>
      <w:autoSpaceDE/>
      <w:autoSpaceDN/>
      <w:spacing w:before="480" w:line="276" w:lineRule="auto"/>
      <w:ind w:left="0" w:right="0"/>
      <w:jc w:val="left"/>
      <w:outlineLvl w:val="9"/>
    </w:pPr>
    <w:rPr>
      <w:rFonts w:ascii="Cambria" w:hAnsi="Cambria" w:cs="Times New Roman"/>
      <w:color w:val="365F91"/>
      <w:sz w:val="28"/>
      <w:szCs w:val="28"/>
      <w:lang w:val="en-US" w:bidi="ar-SA"/>
    </w:rPr>
  </w:style>
  <w:style w:type="paragraph" w:customStyle="1" w:styleId="109">
    <w:name w:val="xl22"/>
    <w:basedOn w:val="1"/>
    <w:autoRedefine/>
    <w:qFormat/>
    <w:uiPriority w:val="0"/>
    <w:pPr>
      <w:widowControl/>
      <w:autoSpaceDE/>
      <w:autoSpaceDN/>
      <w:spacing w:before="100" w:beforeAutospacing="1" w:after="100" w:afterAutospacing="1"/>
      <w:jc w:val="center"/>
    </w:pPr>
    <w:rPr>
      <w:rFonts w:cs="Times New Roman"/>
      <w:sz w:val="24"/>
      <w:szCs w:val="24"/>
      <w:lang w:val="en-US" w:bidi="ar-SA"/>
    </w:rPr>
  </w:style>
  <w:style w:type="paragraph" w:customStyle="1" w:styleId="11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val="en-US" w:bidi="ar-SA"/>
    </w:rPr>
  </w:style>
  <w:style w:type="character" w:customStyle="1" w:styleId="111">
    <w:name w:val="Char Char"/>
    <w:autoRedefine/>
    <w:qFormat/>
    <w:uiPriority w:val="0"/>
    <w:rPr>
      <w:rFonts w:ascii="Arial" w:hAnsi="Arial" w:eastAsia="黑体"/>
      <w:b/>
      <w:bCs/>
      <w:kern w:val="2"/>
      <w:sz w:val="28"/>
      <w:szCs w:val="28"/>
      <w:lang w:val="en-US" w:eastAsia="zh-CN" w:bidi="ar-SA"/>
    </w:rPr>
  </w:style>
  <w:style w:type="paragraph" w:customStyle="1" w:styleId="112">
    <w:name w:val="样式 标题 2 + Times New Roman 四号 非加粗 段前: 5 磅 段后: 0 磅 行距: 固定值 20..."/>
    <w:basedOn w:val="3"/>
    <w:qFormat/>
    <w:uiPriority w:val="0"/>
    <w:pPr>
      <w:keepNext/>
      <w:keepLines/>
      <w:autoSpaceDE/>
      <w:autoSpaceDN/>
      <w:spacing w:before="100" w:line="400" w:lineRule="exact"/>
      <w:ind w:left="0"/>
      <w:jc w:val="both"/>
    </w:pPr>
    <w:rPr>
      <w:rFonts w:ascii="Times New Roman" w:hAnsi="Times New Roman" w:eastAsia="黑体"/>
      <w:b w:val="0"/>
      <w:bCs w:val="0"/>
      <w:kern w:val="2"/>
      <w:sz w:val="28"/>
      <w:szCs w:val="20"/>
      <w:lang w:val="en-US" w:bidi="ar-SA"/>
    </w:rPr>
  </w:style>
  <w:style w:type="paragraph" w:customStyle="1" w:styleId="113">
    <w:name w:val="font5"/>
    <w:basedOn w:val="1"/>
    <w:qFormat/>
    <w:uiPriority w:val="0"/>
    <w:pPr>
      <w:widowControl/>
      <w:autoSpaceDE/>
      <w:autoSpaceDN/>
      <w:spacing w:before="100" w:beforeAutospacing="1" w:after="100" w:afterAutospacing="1"/>
    </w:pPr>
    <w:rPr>
      <w:sz w:val="18"/>
      <w:szCs w:val="18"/>
      <w:lang w:val="en-US" w:bidi="ar-SA"/>
    </w:rPr>
  </w:style>
  <w:style w:type="paragraph" w:customStyle="1" w:styleId="114">
    <w:name w:val="xl63"/>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color w:val="000000"/>
      <w:sz w:val="18"/>
      <w:szCs w:val="18"/>
      <w:lang w:val="en-US" w:bidi="ar-SA"/>
    </w:rPr>
  </w:style>
  <w:style w:type="paragraph" w:customStyle="1" w:styleId="115">
    <w:name w:val="xl64"/>
    <w:basedOn w:val="1"/>
    <w:autoRedefine/>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sz w:val="24"/>
      <w:szCs w:val="24"/>
      <w:lang w:val="en-US" w:bidi="ar-SA"/>
    </w:rPr>
  </w:style>
  <w:style w:type="paragraph" w:customStyle="1" w:styleId="116">
    <w:name w:val="xl65"/>
    <w:basedOn w:val="1"/>
    <w:autoRedefine/>
    <w:qFormat/>
    <w:uiPriority w:val="0"/>
    <w:pPr>
      <w:widowControl/>
      <w:pBdr>
        <w:top w:val="single" w:color="auto" w:sz="4" w:space="0"/>
        <w:left w:val="single" w:color="auto" w:sz="8" w:space="0"/>
        <w:bottom w:val="single" w:color="auto" w:sz="4" w:space="0"/>
        <w:right w:val="single" w:color="auto" w:sz="4" w:space="0"/>
      </w:pBdr>
      <w:autoSpaceDE/>
      <w:autoSpaceDN/>
      <w:spacing w:before="100" w:beforeAutospacing="1" w:after="100" w:afterAutospacing="1"/>
      <w:jc w:val="center"/>
      <w:textAlignment w:val="center"/>
    </w:pPr>
    <w:rPr>
      <w:color w:val="000000"/>
      <w:sz w:val="18"/>
      <w:szCs w:val="18"/>
      <w:lang w:val="en-US" w:bidi="ar-SA"/>
    </w:rPr>
  </w:style>
  <w:style w:type="paragraph" w:customStyle="1" w:styleId="117">
    <w:name w:val="xl6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color w:val="000000"/>
      <w:sz w:val="18"/>
      <w:szCs w:val="18"/>
      <w:lang w:val="en-US" w:bidi="ar-SA"/>
    </w:rPr>
  </w:style>
  <w:style w:type="paragraph" w:customStyle="1" w:styleId="118">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119">
    <w:name w:val="xl68"/>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120">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000000"/>
      <w:sz w:val="18"/>
      <w:szCs w:val="18"/>
      <w:lang w:val="en-US" w:bidi="ar-SA"/>
    </w:rPr>
  </w:style>
  <w:style w:type="paragraph" w:customStyle="1" w:styleId="121">
    <w:name w:val="xl7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lang w:val="en-US" w:bidi="ar-SA"/>
    </w:rPr>
  </w:style>
  <w:style w:type="paragraph" w:customStyle="1" w:styleId="122">
    <w:name w:val="xl71"/>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color w:val="000000"/>
      <w:sz w:val="18"/>
      <w:szCs w:val="18"/>
      <w:lang w:val="en-US" w:bidi="ar-SA"/>
    </w:rPr>
  </w:style>
  <w:style w:type="paragraph" w:customStyle="1" w:styleId="123">
    <w:name w:val="xl72"/>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color w:val="000000"/>
      <w:sz w:val="18"/>
      <w:szCs w:val="18"/>
      <w:lang w:val="en-US" w:bidi="ar-SA"/>
    </w:rPr>
  </w:style>
  <w:style w:type="character" w:customStyle="1" w:styleId="124">
    <w:name w:val="Char Char7"/>
    <w:qFormat/>
    <w:uiPriority w:val="0"/>
    <w:rPr>
      <w:rFonts w:ascii="Times New Roman" w:hAnsi="Times New Roman"/>
      <w:b/>
      <w:bCs/>
      <w:kern w:val="2"/>
      <w:sz w:val="32"/>
      <w:szCs w:val="32"/>
    </w:rPr>
  </w:style>
  <w:style w:type="character" w:customStyle="1" w:styleId="125">
    <w:name w:val="Char Char6"/>
    <w:qFormat/>
    <w:uiPriority w:val="0"/>
    <w:rPr>
      <w:rFonts w:ascii="Cambria" w:hAnsi="Cambria" w:eastAsia="宋体" w:cs="Times New Roman"/>
      <w:b/>
      <w:bCs/>
      <w:kern w:val="2"/>
      <w:sz w:val="28"/>
      <w:szCs w:val="28"/>
    </w:rPr>
  </w:style>
  <w:style w:type="paragraph" w:customStyle="1" w:styleId="126">
    <w:name w:val="msonormal1"/>
    <w:basedOn w:val="1"/>
    <w:qFormat/>
    <w:uiPriority w:val="0"/>
    <w:pPr>
      <w:widowControl/>
      <w:autoSpaceDE/>
      <w:autoSpaceDN/>
    </w:pPr>
    <w:rPr>
      <w:rFonts w:ascii="Arial" w:hAnsi="Arial" w:cs="Arial"/>
      <w:sz w:val="24"/>
      <w:szCs w:val="24"/>
      <w:lang w:val="en-US" w:bidi="ar-SA"/>
    </w:rPr>
  </w:style>
  <w:style w:type="paragraph" w:customStyle="1" w:styleId="127">
    <w:name w:val="修订1"/>
    <w:hidden/>
    <w:qFormat/>
    <w:uiPriority w:val="99"/>
    <w:rPr>
      <w:rFonts w:ascii="宋体" w:hAnsi="宋体" w:eastAsia="宋体" w:cs="Times New Roman"/>
      <w:b/>
      <w:kern w:val="2"/>
      <w:sz w:val="21"/>
      <w:szCs w:val="24"/>
      <w:lang w:val="en-US" w:eastAsia="zh-CN" w:bidi="ar-SA"/>
    </w:rPr>
  </w:style>
  <w:style w:type="paragraph" w:customStyle="1" w:styleId="128">
    <w:name w:val="font6"/>
    <w:basedOn w:val="1"/>
    <w:qFormat/>
    <w:uiPriority w:val="0"/>
    <w:pPr>
      <w:widowControl/>
      <w:autoSpaceDE/>
      <w:autoSpaceDN/>
      <w:spacing w:before="100" w:beforeAutospacing="1" w:after="100" w:afterAutospacing="1"/>
    </w:pPr>
    <w:rPr>
      <w:sz w:val="18"/>
      <w:szCs w:val="18"/>
      <w:lang w:val="en-US" w:bidi="ar-SA"/>
    </w:rPr>
  </w:style>
  <w:style w:type="paragraph" w:customStyle="1" w:styleId="129">
    <w:name w:val="xl7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lang w:val="en-US" w:bidi="ar-SA"/>
    </w:rPr>
  </w:style>
  <w:style w:type="paragraph" w:customStyle="1" w:styleId="130">
    <w:name w:val="xl74"/>
    <w:basedOn w:val="1"/>
    <w:qFormat/>
    <w:uiPriority w:val="0"/>
    <w:pPr>
      <w:widowControl/>
      <w:pBdr>
        <w:bottom w:val="single" w:color="FFFFFF" w:sz="4" w:space="0"/>
        <w:right w:val="single" w:color="FFFFFF" w:sz="4" w:space="0"/>
      </w:pBdr>
      <w:autoSpaceDE/>
      <w:autoSpaceDN/>
      <w:spacing w:before="100" w:beforeAutospacing="1" w:after="100" w:afterAutospacing="1"/>
      <w:jc w:val="center"/>
      <w:textAlignment w:val="center"/>
    </w:pPr>
    <w:rPr>
      <w:sz w:val="18"/>
      <w:szCs w:val="18"/>
      <w:lang w:val="en-US" w:bidi="ar-SA"/>
    </w:rPr>
  </w:style>
  <w:style w:type="paragraph" w:customStyle="1" w:styleId="131">
    <w:name w:val="xl75"/>
    <w:basedOn w:val="1"/>
    <w:qFormat/>
    <w:uiPriority w:val="0"/>
    <w:pPr>
      <w:widowControl/>
      <w:pBdr>
        <w:bottom w:val="single" w:color="FFFFFF" w:sz="4" w:space="0"/>
        <w:right w:val="single" w:color="FFFFFF" w:sz="4" w:space="0"/>
      </w:pBdr>
      <w:autoSpaceDE/>
      <w:autoSpaceDN/>
      <w:spacing w:before="100" w:beforeAutospacing="1" w:after="100" w:afterAutospacing="1"/>
      <w:jc w:val="center"/>
      <w:textAlignment w:val="center"/>
    </w:pPr>
    <w:rPr>
      <w:sz w:val="24"/>
      <w:szCs w:val="24"/>
      <w:lang w:val="en-US" w:bidi="ar-SA"/>
    </w:rPr>
  </w:style>
  <w:style w:type="paragraph" w:customStyle="1" w:styleId="132">
    <w:name w:val="xl76"/>
    <w:basedOn w:val="1"/>
    <w:qFormat/>
    <w:uiPriority w:val="0"/>
    <w:pPr>
      <w:widowControl/>
      <w:pBdr>
        <w:bottom w:val="single" w:color="FFFFFF" w:sz="4" w:space="0"/>
        <w:right w:val="single" w:color="FFFFFF" w:sz="4" w:space="0"/>
      </w:pBdr>
      <w:autoSpaceDE/>
      <w:autoSpaceDN/>
      <w:spacing w:before="100" w:beforeAutospacing="1" w:after="100" w:afterAutospacing="1"/>
      <w:textAlignment w:val="center"/>
    </w:pPr>
    <w:rPr>
      <w:sz w:val="24"/>
      <w:szCs w:val="24"/>
      <w:lang w:val="en-US" w:bidi="ar-SA"/>
    </w:rPr>
  </w:style>
  <w:style w:type="paragraph" w:customStyle="1" w:styleId="133">
    <w:name w:val="xl7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sz w:val="18"/>
      <w:szCs w:val="18"/>
      <w:lang w:val="en-US" w:bidi="ar-SA"/>
    </w:rPr>
  </w:style>
  <w:style w:type="paragraph" w:customStyle="1" w:styleId="134">
    <w:name w:val="xl7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35">
    <w:name w:val="xl79"/>
    <w:basedOn w:val="1"/>
    <w:qFormat/>
    <w:uiPriority w:val="0"/>
    <w:pPr>
      <w:widowControl/>
      <w:pBdr>
        <w:bottom w:val="single" w:color="FFFFFF" w:sz="4" w:space="0"/>
        <w:right w:val="single" w:color="FFFFFF" w:sz="4" w:space="0"/>
      </w:pBdr>
      <w:autoSpaceDE/>
      <w:autoSpaceDN/>
      <w:spacing w:before="100" w:beforeAutospacing="1" w:after="100" w:afterAutospacing="1"/>
      <w:jc w:val="center"/>
      <w:textAlignment w:val="center"/>
    </w:pPr>
    <w:rPr>
      <w:sz w:val="24"/>
      <w:szCs w:val="24"/>
      <w:lang w:val="en-US" w:bidi="ar-SA"/>
    </w:rPr>
  </w:style>
  <w:style w:type="paragraph" w:customStyle="1" w:styleId="136">
    <w:name w:val="xl8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sz w:val="18"/>
      <w:szCs w:val="18"/>
      <w:lang w:val="en-US" w:bidi="ar-SA"/>
    </w:rPr>
  </w:style>
  <w:style w:type="paragraph" w:customStyle="1" w:styleId="137">
    <w:name w:val="xl81"/>
    <w:basedOn w:val="1"/>
    <w:qFormat/>
    <w:uiPriority w:val="0"/>
    <w:pPr>
      <w:widowControl/>
      <w:pBdr>
        <w:bottom w:val="single" w:color="FFFFFF" w:sz="4" w:space="0"/>
        <w:right w:val="single" w:color="FFFFFF" w:sz="4" w:space="0"/>
      </w:pBdr>
      <w:autoSpaceDE/>
      <w:autoSpaceDN/>
      <w:spacing w:before="100" w:beforeAutospacing="1" w:after="100" w:afterAutospacing="1"/>
      <w:textAlignment w:val="center"/>
    </w:pPr>
    <w:rPr>
      <w:sz w:val="18"/>
      <w:szCs w:val="18"/>
      <w:lang w:val="en-US" w:bidi="ar-SA"/>
    </w:rPr>
  </w:style>
  <w:style w:type="paragraph" w:customStyle="1" w:styleId="138">
    <w:name w:val="xl82"/>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textAlignment w:val="center"/>
    </w:pPr>
    <w:rPr>
      <w:sz w:val="24"/>
      <w:szCs w:val="24"/>
      <w:lang w:val="en-US" w:bidi="ar-SA"/>
    </w:rPr>
  </w:style>
  <w:style w:type="paragraph" w:customStyle="1" w:styleId="139">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40">
    <w:name w:val="xl8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lang w:val="en-US" w:bidi="ar-SA"/>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42">
    <w:name w:val="xl8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color w:val="FF0000"/>
      <w:sz w:val="18"/>
      <w:szCs w:val="18"/>
      <w:lang w:val="en-US" w:bidi="ar-SA"/>
    </w:rPr>
  </w:style>
  <w:style w:type="paragraph" w:customStyle="1" w:styleId="143">
    <w:name w:val="xl8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FF0000"/>
      <w:sz w:val="18"/>
      <w:szCs w:val="18"/>
      <w:lang w:val="en-US" w:bidi="ar-SA"/>
    </w:rPr>
  </w:style>
  <w:style w:type="paragraph" w:customStyle="1" w:styleId="144">
    <w:name w:val="xl8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FF0000"/>
      <w:sz w:val="24"/>
      <w:szCs w:val="24"/>
      <w:lang w:val="en-US" w:bidi="ar-SA"/>
    </w:rPr>
  </w:style>
  <w:style w:type="paragraph" w:customStyle="1" w:styleId="145">
    <w:name w:val="xl8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46">
    <w:name w:val="xl9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FF0000"/>
      <w:sz w:val="18"/>
      <w:szCs w:val="18"/>
      <w:lang w:val="en-US" w:bidi="ar-SA"/>
    </w:rPr>
  </w:style>
  <w:style w:type="paragraph" w:customStyle="1" w:styleId="147">
    <w:name w:val="xl9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FF0000"/>
      <w:sz w:val="18"/>
      <w:szCs w:val="18"/>
      <w:lang w:val="en-US" w:bidi="ar-SA"/>
    </w:rPr>
  </w:style>
  <w:style w:type="paragraph" w:customStyle="1" w:styleId="148">
    <w:name w:val="xl9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FF0000"/>
      <w:sz w:val="18"/>
      <w:szCs w:val="18"/>
      <w:lang w:val="en-US" w:bidi="ar-SA"/>
    </w:rPr>
  </w:style>
  <w:style w:type="paragraph" w:customStyle="1" w:styleId="149">
    <w:name w:val="xl9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50">
    <w:name w:val="xl9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color w:val="FF0000"/>
      <w:sz w:val="18"/>
      <w:szCs w:val="18"/>
      <w:lang w:val="en-US" w:bidi="ar-SA"/>
    </w:rPr>
  </w:style>
  <w:style w:type="paragraph" w:customStyle="1" w:styleId="15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textAlignment w:val="center"/>
    </w:pPr>
    <w:rPr>
      <w:sz w:val="18"/>
      <w:szCs w:val="18"/>
      <w:lang w:val="en-US" w:bidi="ar-SA"/>
    </w:rPr>
  </w:style>
  <w:style w:type="paragraph" w:customStyle="1" w:styleId="15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sz w:val="18"/>
      <w:szCs w:val="18"/>
      <w:lang w:val="en-US" w:bidi="ar-SA"/>
    </w:rPr>
  </w:style>
  <w:style w:type="paragraph" w:customStyle="1" w:styleId="15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sz w:val="18"/>
      <w:szCs w:val="18"/>
      <w:lang w:val="en-US" w:bidi="ar-SA"/>
    </w:rPr>
  </w:style>
  <w:style w:type="paragraph" w:customStyle="1" w:styleId="154">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sz w:val="18"/>
      <w:szCs w:val="18"/>
      <w:lang w:val="en-US" w:bidi="ar-SA"/>
    </w:rPr>
  </w:style>
  <w:style w:type="paragraph" w:customStyle="1" w:styleId="15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sz w:val="18"/>
      <w:szCs w:val="18"/>
      <w:lang w:val="en-US" w:bidi="ar-SA"/>
    </w:rPr>
  </w:style>
  <w:style w:type="paragraph" w:customStyle="1" w:styleId="156">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color w:val="FF0000"/>
      <w:sz w:val="24"/>
      <w:szCs w:val="24"/>
      <w:lang w:val="en-US" w:bidi="ar-SA"/>
    </w:rPr>
  </w:style>
  <w:style w:type="paragraph" w:customStyle="1" w:styleId="157">
    <w:name w:val="xl101"/>
    <w:basedOn w:val="1"/>
    <w:qFormat/>
    <w:uiPriority w:val="0"/>
    <w:pPr>
      <w:widowControl/>
      <w:autoSpaceDE/>
      <w:autoSpaceDN/>
      <w:spacing w:before="100" w:beforeAutospacing="1" w:after="100" w:afterAutospacing="1"/>
      <w:jc w:val="center"/>
      <w:textAlignment w:val="center"/>
    </w:pPr>
    <w:rPr>
      <w:b/>
      <w:bCs/>
      <w:sz w:val="32"/>
      <w:szCs w:val="32"/>
      <w:lang w:val="en-US" w:bidi="ar-SA"/>
    </w:rPr>
  </w:style>
  <w:style w:type="paragraph" w:customStyle="1" w:styleId="158">
    <w:name w:val="xl102"/>
    <w:basedOn w:val="1"/>
    <w:qFormat/>
    <w:uiPriority w:val="0"/>
    <w:pPr>
      <w:widowControl/>
      <w:pBdr>
        <w:bottom w:val="single" w:color="auto" w:sz="4" w:space="0"/>
      </w:pBdr>
      <w:autoSpaceDE/>
      <w:autoSpaceDN/>
      <w:spacing w:before="100" w:beforeAutospacing="1" w:after="100" w:afterAutospacing="1"/>
      <w:textAlignment w:val="center"/>
    </w:pPr>
    <w:rPr>
      <w:sz w:val="18"/>
      <w:szCs w:val="18"/>
      <w:lang w:val="en-US" w:bidi="ar-SA"/>
    </w:rPr>
  </w:style>
  <w:style w:type="paragraph" w:customStyle="1" w:styleId="159">
    <w:name w:val="font1"/>
    <w:basedOn w:val="1"/>
    <w:qFormat/>
    <w:uiPriority w:val="0"/>
    <w:pPr>
      <w:widowControl/>
      <w:autoSpaceDE/>
      <w:autoSpaceDN/>
      <w:spacing w:before="100" w:beforeAutospacing="1" w:after="100" w:afterAutospacing="1"/>
    </w:pPr>
    <w:rPr>
      <w:rFonts w:ascii="Arial" w:hAnsi="Arial" w:cs="Arial"/>
      <w:color w:val="000000"/>
      <w:sz w:val="20"/>
      <w:szCs w:val="20"/>
      <w:lang w:val="en-US" w:bidi="ar-SA"/>
    </w:rPr>
  </w:style>
  <w:style w:type="paragraph" w:customStyle="1" w:styleId="160">
    <w:name w:val="font7"/>
    <w:basedOn w:val="1"/>
    <w:qFormat/>
    <w:uiPriority w:val="0"/>
    <w:pPr>
      <w:widowControl/>
      <w:autoSpaceDE/>
      <w:autoSpaceDN/>
      <w:spacing w:before="100" w:beforeAutospacing="1" w:after="100" w:afterAutospacing="1"/>
    </w:pPr>
    <w:rPr>
      <w:color w:val="000000"/>
      <w:sz w:val="18"/>
      <w:szCs w:val="18"/>
      <w:lang w:val="en-US" w:bidi="ar-SA"/>
    </w:rPr>
  </w:style>
  <w:style w:type="paragraph" w:customStyle="1" w:styleId="161">
    <w:name w:val="xl103"/>
    <w:basedOn w:val="1"/>
    <w:qFormat/>
    <w:uiPriority w:val="0"/>
    <w:pPr>
      <w:widowControl/>
      <w:autoSpaceDE/>
      <w:autoSpaceDN/>
      <w:spacing w:before="100" w:beforeAutospacing="1" w:after="100" w:afterAutospacing="1"/>
      <w:jc w:val="center"/>
      <w:textAlignment w:val="center"/>
    </w:pPr>
    <w:rPr>
      <w:b/>
      <w:bCs/>
      <w:sz w:val="32"/>
      <w:szCs w:val="32"/>
      <w:lang w:val="en-US" w:bidi="ar-SA"/>
    </w:rPr>
  </w:style>
  <w:style w:type="paragraph" w:customStyle="1" w:styleId="162">
    <w:name w:val="xl104"/>
    <w:basedOn w:val="1"/>
    <w:qFormat/>
    <w:uiPriority w:val="0"/>
    <w:pPr>
      <w:widowControl/>
      <w:pBdr>
        <w:bottom w:val="single" w:color="auto" w:sz="4" w:space="0"/>
      </w:pBdr>
      <w:autoSpaceDE/>
      <w:autoSpaceDN/>
      <w:spacing w:before="100" w:beforeAutospacing="1" w:after="100" w:afterAutospacing="1"/>
      <w:textAlignment w:val="center"/>
    </w:pPr>
    <w:rPr>
      <w:sz w:val="18"/>
      <w:szCs w:val="18"/>
      <w:lang w:val="en-US" w:bidi="ar-SA"/>
    </w:rPr>
  </w:style>
  <w:style w:type="paragraph" w:customStyle="1" w:styleId="163">
    <w:name w:val="样式 标题 3 + (中文) 黑体 小四 非加粗 段前: 7.8 磅 段后: 0 磅 行距: 固定值 20 磅"/>
    <w:basedOn w:val="4"/>
    <w:qFormat/>
    <w:uiPriority w:val="0"/>
    <w:pPr>
      <w:widowControl/>
      <w:autoSpaceDE/>
      <w:autoSpaceDN/>
      <w:spacing w:line="400" w:lineRule="exact"/>
      <w:ind w:left="0" w:firstLine="0"/>
    </w:pPr>
    <w:rPr>
      <w:rFonts w:ascii="Cambria" w:hAnsi="Cambria" w:cs="Times New Roman"/>
      <w:b/>
      <w:bCs/>
      <w:i/>
      <w:iCs/>
      <w:smallCaps/>
      <w:spacing w:val="5"/>
      <w:sz w:val="24"/>
      <w:szCs w:val="26"/>
      <w:lang w:val="en-US" w:eastAsia="en-US" w:bidi="en-US"/>
    </w:rPr>
  </w:style>
  <w:style w:type="character" w:customStyle="1" w:styleId="164">
    <w:name w:val="z-窗体底端 Char"/>
    <w:basedOn w:val="42"/>
    <w:link w:val="165"/>
    <w:qFormat/>
    <w:uiPriority w:val="0"/>
    <w:rPr>
      <w:rFonts w:ascii="Arial" w:hAnsi="Arial"/>
      <w:vanish/>
      <w:sz w:val="16"/>
      <w:szCs w:val="16"/>
    </w:rPr>
  </w:style>
  <w:style w:type="paragraph" w:customStyle="1" w:styleId="165">
    <w:name w:val="z-窗体底端1"/>
    <w:basedOn w:val="1"/>
    <w:next w:val="1"/>
    <w:link w:val="164"/>
    <w:qFormat/>
    <w:uiPriority w:val="0"/>
    <w:pPr>
      <w:widowControl/>
      <w:pBdr>
        <w:top w:val="single" w:color="auto" w:sz="6" w:space="1"/>
      </w:pBdr>
      <w:autoSpaceDE/>
      <w:autoSpaceDN/>
      <w:jc w:val="center"/>
    </w:pPr>
    <w:rPr>
      <w:rFonts w:ascii="Arial" w:hAnsi="Arial" w:cs="Times New Roman"/>
      <w:vanish/>
      <w:sz w:val="16"/>
      <w:szCs w:val="16"/>
      <w:lang w:val="en-US" w:bidi="ar-SA"/>
    </w:rPr>
  </w:style>
  <w:style w:type="character" w:customStyle="1" w:styleId="166">
    <w:name w:val="z-窗体底端 Char1"/>
    <w:basedOn w:val="42"/>
    <w:qFormat/>
    <w:uiPriority w:val="99"/>
    <w:rPr>
      <w:rFonts w:ascii="Arial" w:hAnsi="Arial" w:cs="Arial"/>
      <w:b/>
      <w:vanish/>
      <w:kern w:val="2"/>
      <w:sz w:val="16"/>
      <w:szCs w:val="16"/>
    </w:rPr>
  </w:style>
  <w:style w:type="character" w:customStyle="1" w:styleId="167">
    <w:name w:val="ҳŻ"/>
    <w:basedOn w:val="42"/>
    <w:link w:val="168"/>
    <w:qFormat/>
    <w:locked/>
    <w:uiPriority w:val="0"/>
    <w:rPr>
      <w:rFonts w:ascii="Arial" w:hAnsi="Arial"/>
      <w:sz w:val="32"/>
      <w:szCs w:val="32"/>
    </w:rPr>
  </w:style>
  <w:style w:type="paragraph" w:customStyle="1" w:styleId="168">
    <w:name w:val="ҳŠChar1"/>
    <w:basedOn w:val="1"/>
    <w:link w:val="167"/>
    <w:qFormat/>
    <w:uiPriority w:val="0"/>
    <w:pPr>
      <w:keepNext/>
      <w:widowControl/>
      <w:autoSpaceDE/>
      <w:autoSpaceDN/>
      <w:spacing w:after="120" w:line="400" w:lineRule="atLeast"/>
      <w:jc w:val="center"/>
    </w:pPr>
    <w:rPr>
      <w:rFonts w:ascii="Arial" w:hAnsi="Arial" w:cs="Times New Roman"/>
      <w:sz w:val="32"/>
      <w:szCs w:val="32"/>
      <w:lang w:val="en-US" w:bidi="ar-SA"/>
    </w:rPr>
  </w:style>
  <w:style w:type="character" w:customStyle="1" w:styleId="169">
    <w:name w:val="无间隔 Char"/>
    <w:basedOn w:val="42"/>
    <w:link w:val="170"/>
    <w:qFormat/>
    <w:locked/>
    <w:uiPriority w:val="0"/>
    <w:rPr>
      <w:rFonts w:eastAsia="Times New Roman"/>
      <w:sz w:val="22"/>
      <w:lang w:eastAsia="en-US"/>
    </w:rPr>
  </w:style>
  <w:style w:type="paragraph" w:customStyle="1" w:styleId="170">
    <w:name w:val="无间隔1"/>
    <w:link w:val="169"/>
    <w:qFormat/>
    <w:uiPriority w:val="0"/>
    <w:rPr>
      <w:rFonts w:ascii="Times New Roman" w:hAnsi="Times New Roman" w:eastAsia="Times New Roman" w:cs="Times New Roman"/>
      <w:sz w:val="22"/>
      <w:lang w:val="en-US" w:eastAsia="en-US" w:bidi="ar-SA"/>
    </w:rPr>
  </w:style>
  <w:style w:type="character" w:customStyle="1" w:styleId="171">
    <w:name w:val="ꌢ 2 Char"/>
    <w:basedOn w:val="42"/>
    <w:link w:val="172"/>
    <w:qFormat/>
    <w:locked/>
    <w:uiPriority w:val="0"/>
    <w:rPr>
      <w:rFonts w:ascii="Arial" w:hAnsi="Arial"/>
      <w:b/>
      <w:bCs/>
    </w:rPr>
  </w:style>
  <w:style w:type="paragraph" w:customStyle="1" w:styleId="172">
    <w:name w:val="ꌢ 2"/>
    <w:basedOn w:val="1"/>
    <w:link w:val="171"/>
    <w:qFormat/>
    <w:uiPriority w:val="0"/>
    <w:pPr>
      <w:widowControl/>
      <w:autoSpaceDE/>
      <w:autoSpaceDN/>
      <w:jc w:val="both"/>
    </w:pPr>
    <w:rPr>
      <w:rFonts w:ascii="Arial" w:hAnsi="Arial" w:cs="Times New Roman"/>
      <w:b/>
      <w:bCs/>
      <w:sz w:val="20"/>
      <w:szCs w:val="20"/>
      <w:lang w:val="en-US" w:bidi="ar-SA"/>
    </w:rPr>
  </w:style>
  <w:style w:type="character" w:customStyle="1" w:styleId="173">
    <w:name w:val="明显引用 Char"/>
    <w:basedOn w:val="42"/>
    <w:link w:val="174"/>
    <w:qFormat/>
    <w:locked/>
    <w:uiPriority w:val="0"/>
    <w:rPr>
      <w:rFonts w:ascii="Calibri" w:hAnsi="Calibri"/>
      <w:b/>
      <w:bCs/>
      <w:i/>
      <w:iCs/>
      <w:color w:val="4F81BD"/>
      <w:sz w:val="22"/>
      <w:lang w:eastAsia="en-US"/>
    </w:rPr>
  </w:style>
  <w:style w:type="paragraph" w:customStyle="1" w:styleId="174">
    <w:name w:val="明显引用1"/>
    <w:basedOn w:val="1"/>
    <w:next w:val="1"/>
    <w:link w:val="173"/>
    <w:qFormat/>
    <w:uiPriority w:val="0"/>
    <w:pPr>
      <w:widowControl/>
      <w:pBdr>
        <w:bottom w:val="single" w:color="4F81BD" w:sz="4" w:space="4"/>
      </w:pBdr>
      <w:autoSpaceDE/>
      <w:autoSpaceDN/>
      <w:spacing w:before="200" w:after="280" w:line="276" w:lineRule="auto"/>
      <w:ind w:left="936" w:right="936"/>
    </w:pPr>
    <w:rPr>
      <w:rFonts w:ascii="Calibri" w:hAnsi="Calibri" w:cs="Times New Roman"/>
      <w:b/>
      <w:bCs/>
      <w:i/>
      <w:iCs/>
      <w:color w:val="4F81BD"/>
      <w:szCs w:val="20"/>
      <w:lang w:val="en-US" w:eastAsia="en-US" w:bidi="ar-SA"/>
    </w:rPr>
  </w:style>
  <w:style w:type="character" w:customStyle="1" w:styleId="175">
    <w:name w:val="引用 Char"/>
    <w:basedOn w:val="42"/>
    <w:link w:val="176"/>
    <w:qFormat/>
    <w:locked/>
    <w:uiPriority w:val="0"/>
    <w:rPr>
      <w:rFonts w:ascii="Calibri" w:hAnsi="Calibri"/>
      <w:i/>
      <w:iCs/>
      <w:color w:val="000000"/>
      <w:sz w:val="22"/>
      <w:lang w:eastAsia="en-US"/>
    </w:rPr>
  </w:style>
  <w:style w:type="paragraph" w:customStyle="1" w:styleId="176">
    <w:name w:val="引用1"/>
    <w:basedOn w:val="1"/>
    <w:next w:val="1"/>
    <w:link w:val="175"/>
    <w:qFormat/>
    <w:uiPriority w:val="0"/>
    <w:pPr>
      <w:widowControl/>
      <w:autoSpaceDE/>
      <w:autoSpaceDN/>
      <w:spacing w:after="200" w:line="276" w:lineRule="auto"/>
    </w:pPr>
    <w:rPr>
      <w:rFonts w:ascii="Calibri" w:hAnsi="Calibri" w:cs="Times New Roman"/>
      <w:i/>
      <w:iCs/>
      <w:color w:val="000000"/>
      <w:szCs w:val="20"/>
      <w:lang w:val="en-US" w:eastAsia="en-US" w:bidi="ar-SA"/>
    </w:rPr>
  </w:style>
  <w:style w:type="character" w:customStyle="1" w:styleId="177">
    <w:name w:val="z-窗体顶端 Char"/>
    <w:basedOn w:val="42"/>
    <w:link w:val="178"/>
    <w:qFormat/>
    <w:uiPriority w:val="0"/>
    <w:rPr>
      <w:rFonts w:ascii="Arial" w:hAnsi="Arial"/>
      <w:vanish/>
      <w:sz w:val="16"/>
      <w:szCs w:val="16"/>
    </w:rPr>
  </w:style>
  <w:style w:type="paragraph" w:customStyle="1" w:styleId="178">
    <w:name w:val="z-窗体顶端1"/>
    <w:basedOn w:val="1"/>
    <w:next w:val="1"/>
    <w:link w:val="177"/>
    <w:qFormat/>
    <w:uiPriority w:val="0"/>
    <w:pPr>
      <w:widowControl/>
      <w:pBdr>
        <w:bottom w:val="single" w:color="auto" w:sz="6" w:space="1"/>
      </w:pBdr>
      <w:autoSpaceDE/>
      <w:autoSpaceDN/>
      <w:jc w:val="center"/>
    </w:pPr>
    <w:rPr>
      <w:rFonts w:ascii="Arial" w:hAnsi="Arial" w:cs="Times New Roman"/>
      <w:vanish/>
      <w:sz w:val="16"/>
      <w:szCs w:val="16"/>
      <w:lang w:val="en-US" w:bidi="ar-SA"/>
    </w:rPr>
  </w:style>
  <w:style w:type="character" w:customStyle="1" w:styleId="179">
    <w:name w:val="z-窗体顶端 Char1"/>
    <w:basedOn w:val="42"/>
    <w:qFormat/>
    <w:uiPriority w:val="99"/>
    <w:rPr>
      <w:rFonts w:ascii="Arial" w:hAnsi="Arial" w:cs="Arial"/>
      <w:b/>
      <w:vanish/>
      <w:kern w:val="2"/>
      <w:sz w:val="16"/>
      <w:szCs w:val="16"/>
    </w:rPr>
  </w:style>
  <w:style w:type="character" w:customStyle="1" w:styleId="180">
    <w:name w:val="标题3 Char"/>
    <w:basedOn w:val="42"/>
    <w:link w:val="181"/>
    <w:qFormat/>
    <w:locked/>
    <w:uiPriority w:val="0"/>
    <w:rPr>
      <w:rFonts w:ascii="宋体" w:hAnsi="宋体"/>
      <w:b/>
      <w:bCs/>
      <w:kern w:val="44"/>
      <w:sz w:val="24"/>
      <w:szCs w:val="24"/>
    </w:rPr>
  </w:style>
  <w:style w:type="paragraph" w:customStyle="1" w:styleId="181">
    <w:name w:val="标题3"/>
    <w:basedOn w:val="2"/>
    <w:link w:val="180"/>
    <w:qFormat/>
    <w:uiPriority w:val="0"/>
    <w:pPr>
      <w:keepNext/>
      <w:keepLines/>
      <w:autoSpaceDE/>
      <w:autoSpaceDN/>
      <w:spacing w:before="340" w:beforeLines="50" w:after="330" w:afterLines="50" w:line="400" w:lineRule="exact"/>
      <w:ind w:left="0" w:right="0"/>
      <w:jc w:val="both"/>
    </w:pPr>
    <w:rPr>
      <w:rFonts w:cs="Times New Roman"/>
      <w:kern w:val="44"/>
      <w:sz w:val="24"/>
      <w:szCs w:val="24"/>
      <w:lang w:val="en-US" w:bidi="ar-SA"/>
    </w:rPr>
  </w:style>
  <w:style w:type="character" w:customStyle="1" w:styleId="182">
    <w:name w:val="标题 Char1"/>
    <w:basedOn w:val="42"/>
    <w:qFormat/>
    <w:uiPriority w:val="10"/>
    <w:rPr>
      <w:rFonts w:eastAsia="宋体" w:asciiTheme="majorHAnsi" w:hAnsiTheme="majorHAnsi" w:cstheme="majorBidi"/>
      <w:b/>
      <w:bCs/>
      <w:sz w:val="32"/>
      <w:szCs w:val="32"/>
      <w:lang w:eastAsia="en-US" w:bidi="en-US"/>
    </w:rPr>
  </w:style>
  <w:style w:type="character" w:customStyle="1" w:styleId="183">
    <w:name w:val="ꌢ 3 Char"/>
    <w:basedOn w:val="42"/>
    <w:link w:val="184"/>
    <w:qFormat/>
    <w:locked/>
    <w:uiPriority w:val="0"/>
    <w:rPr>
      <w:rFonts w:ascii="???" w:hAnsi="???"/>
      <w:b/>
      <w:bCs/>
    </w:rPr>
  </w:style>
  <w:style w:type="paragraph" w:customStyle="1" w:styleId="184">
    <w:name w:val="ꌢ 3"/>
    <w:basedOn w:val="1"/>
    <w:link w:val="183"/>
    <w:qFormat/>
    <w:uiPriority w:val="0"/>
    <w:pPr>
      <w:widowControl/>
      <w:autoSpaceDE/>
      <w:autoSpaceDN/>
      <w:jc w:val="both"/>
    </w:pPr>
    <w:rPr>
      <w:rFonts w:ascii="???" w:hAnsi="???" w:cs="Times New Roman"/>
      <w:b/>
      <w:bCs/>
      <w:sz w:val="20"/>
      <w:szCs w:val="20"/>
      <w:lang w:val="en-US" w:bidi="ar-SA"/>
    </w:rPr>
  </w:style>
  <w:style w:type="character" w:customStyle="1" w:styleId="185">
    <w:name w:val="副标题 Char1"/>
    <w:basedOn w:val="42"/>
    <w:qFormat/>
    <w:uiPriority w:val="11"/>
    <w:rPr>
      <w:rFonts w:eastAsia="宋体" w:asciiTheme="majorHAnsi" w:hAnsiTheme="majorHAnsi" w:cstheme="majorBidi"/>
      <w:b/>
      <w:bCs/>
      <w:kern w:val="28"/>
      <w:sz w:val="32"/>
      <w:szCs w:val="32"/>
      <w:lang w:eastAsia="en-US" w:bidi="en-US"/>
    </w:rPr>
  </w:style>
  <w:style w:type="paragraph" w:customStyle="1" w:styleId="186">
    <w:name w:val="样式1"/>
    <w:basedOn w:val="1"/>
    <w:qFormat/>
    <w:uiPriority w:val="0"/>
    <w:pPr>
      <w:keepNext/>
      <w:numPr>
        <w:ilvl w:val="0"/>
        <w:numId w:val="1"/>
      </w:numPr>
      <w:autoSpaceDE/>
      <w:autoSpaceDN/>
      <w:jc w:val="both"/>
    </w:pPr>
    <w:rPr>
      <w:rFonts w:ascii="Times New Roman" w:hAnsi="Times New Roman" w:cs="Times New Roman"/>
      <w:b/>
      <w:kern w:val="2"/>
      <w:sz w:val="32"/>
      <w:szCs w:val="24"/>
      <w:lang w:val="en-US" w:bidi="ar-SA"/>
    </w:rPr>
  </w:style>
  <w:style w:type="paragraph" w:customStyle="1" w:styleId="187">
    <w:name w:val="样式 标题 2 + 小型大写字母 左 段前: 0 磅 段后: 0 磅 行距: 单倍行距"/>
    <w:basedOn w:val="3"/>
    <w:link w:val="188"/>
    <w:qFormat/>
    <w:uiPriority w:val="0"/>
    <w:pPr>
      <w:keepNext/>
      <w:keepLines/>
      <w:numPr>
        <w:ilvl w:val="1"/>
        <w:numId w:val="1"/>
      </w:numPr>
      <w:autoSpaceDE/>
      <w:autoSpaceDN/>
    </w:pPr>
    <w:rPr>
      <w:rFonts w:ascii="Arial" w:hAnsi="Arial" w:eastAsia="黑体"/>
      <w:smallCaps/>
      <w:spacing w:val="5"/>
      <w:kern w:val="2"/>
      <w:sz w:val="28"/>
      <w:szCs w:val="20"/>
      <w:lang w:val="en-US" w:bidi="ar-SA"/>
    </w:rPr>
  </w:style>
  <w:style w:type="character" w:customStyle="1" w:styleId="188">
    <w:name w:val="样式 标题 2 + 小型大写字母 左 段前: 0 磅 段后: 0 磅 行距: 单倍行距 Char"/>
    <w:basedOn w:val="90"/>
    <w:link w:val="187"/>
    <w:qFormat/>
    <w:uiPriority w:val="0"/>
    <w:rPr>
      <w:rFonts w:ascii="Arial" w:hAnsi="Arial" w:eastAsia="黑体" w:cs="宋体"/>
      <w:b/>
      <w:bCs/>
      <w:smallCaps/>
      <w:spacing w:val="5"/>
      <w:kern w:val="2"/>
      <w:sz w:val="28"/>
    </w:rPr>
  </w:style>
  <w:style w:type="paragraph" w:customStyle="1" w:styleId="189">
    <w:name w:val="列出段落2"/>
    <w:basedOn w:val="1"/>
    <w:unhideWhenUsed/>
    <w:qFormat/>
    <w:uiPriority w:val="0"/>
    <w:pPr>
      <w:widowControl/>
      <w:autoSpaceDE/>
      <w:autoSpaceDN/>
      <w:spacing w:after="200" w:line="276" w:lineRule="auto"/>
      <w:ind w:firstLine="420" w:firstLineChars="200"/>
    </w:pPr>
    <w:rPr>
      <w:rFonts w:ascii="Cambria" w:hAnsi="Cambria" w:cs="Times New Roman"/>
      <w:lang w:val="en-US" w:eastAsia="en-US" w:bidi="en-US"/>
    </w:rPr>
  </w:style>
  <w:style w:type="character" w:customStyle="1" w:styleId="190">
    <w:name w:val="标题 Char2"/>
    <w:basedOn w:val="42"/>
    <w:qFormat/>
    <w:uiPriority w:val="10"/>
    <w:rPr>
      <w:rFonts w:ascii="Cambria" w:hAnsi="Cambria" w:eastAsia="宋体" w:cs="Times New Roman"/>
      <w:b/>
      <w:bCs/>
      <w:kern w:val="0"/>
      <w:sz w:val="32"/>
      <w:szCs w:val="32"/>
      <w:lang w:eastAsia="en-US"/>
    </w:rPr>
  </w:style>
  <w:style w:type="character" w:customStyle="1" w:styleId="191">
    <w:name w:val="副标题 Char2"/>
    <w:basedOn w:val="42"/>
    <w:qFormat/>
    <w:uiPriority w:val="11"/>
    <w:rPr>
      <w:rFonts w:ascii="Cambria" w:hAnsi="Cambria" w:eastAsia="宋体" w:cs="Times New Roman"/>
      <w:b/>
      <w:bCs/>
      <w:kern w:val="28"/>
      <w:sz w:val="32"/>
      <w:szCs w:val="32"/>
      <w:lang w:eastAsia="en-US"/>
    </w:rPr>
  </w:style>
  <w:style w:type="paragraph" w:customStyle="1" w:styleId="192">
    <w:name w:val="List Paragraph1"/>
    <w:basedOn w:val="1"/>
    <w:qFormat/>
    <w:uiPriority w:val="99"/>
    <w:pPr>
      <w:autoSpaceDE/>
      <w:autoSpaceDN/>
      <w:ind w:firstLine="420" w:firstLineChars="200"/>
      <w:jc w:val="both"/>
    </w:pPr>
    <w:rPr>
      <w:rFonts w:ascii="Times New Roman" w:hAnsi="Times New Roman" w:cs="Times New Roman"/>
      <w:kern w:val="2"/>
      <w:sz w:val="21"/>
      <w:szCs w:val="24"/>
      <w:lang w:val="en-US" w:bidi="ar-SA"/>
    </w:rPr>
  </w:style>
  <w:style w:type="paragraph" w:customStyle="1" w:styleId="193">
    <w:name w:val="样式 标题2 + 宋体 小四 行距: 固定值 22 磅"/>
    <w:basedOn w:val="1"/>
    <w:qFormat/>
    <w:uiPriority w:val="0"/>
    <w:pPr>
      <w:numPr>
        <w:ilvl w:val="0"/>
        <w:numId w:val="2"/>
      </w:numPr>
      <w:autoSpaceDE/>
      <w:autoSpaceDN/>
      <w:spacing w:line="440" w:lineRule="exact"/>
      <w:jc w:val="both"/>
    </w:pPr>
    <w:rPr>
      <w:kern w:val="2"/>
      <w:sz w:val="24"/>
      <w:szCs w:val="20"/>
      <w:lang w:val="en-US" w:bidi="ar-SA"/>
    </w:rPr>
  </w:style>
  <w:style w:type="paragraph" w:customStyle="1" w:styleId="194">
    <w:name w:val="_Style 1"/>
    <w:basedOn w:val="1"/>
    <w:qFormat/>
    <w:uiPriority w:val="0"/>
    <w:pPr>
      <w:autoSpaceDE/>
      <w:autoSpaceDN/>
      <w:ind w:firstLine="420" w:firstLineChars="200"/>
      <w:jc w:val="both"/>
    </w:pPr>
    <w:rPr>
      <w:rFonts w:ascii="Times New Roman" w:hAnsi="Times New Roman" w:cs="Times New Roman"/>
      <w:kern w:val="2"/>
      <w:sz w:val="21"/>
      <w:szCs w:val="20"/>
      <w:lang w:val="en-US" w:bidi="ar-SA"/>
    </w:rPr>
  </w:style>
  <w:style w:type="paragraph" w:customStyle="1" w:styleId="195">
    <w:name w:val="font8"/>
    <w:basedOn w:val="1"/>
    <w:qFormat/>
    <w:uiPriority w:val="0"/>
    <w:pPr>
      <w:widowControl/>
      <w:autoSpaceDE/>
      <w:autoSpaceDN/>
      <w:spacing w:before="100" w:beforeAutospacing="1" w:after="100" w:afterAutospacing="1"/>
    </w:pPr>
    <w:rPr>
      <w:sz w:val="18"/>
      <w:szCs w:val="18"/>
      <w:lang w:val="en-US" w:bidi="ar-SA"/>
    </w:rPr>
  </w:style>
  <w:style w:type="paragraph" w:customStyle="1" w:styleId="196">
    <w:name w:val="font9"/>
    <w:basedOn w:val="1"/>
    <w:qFormat/>
    <w:uiPriority w:val="0"/>
    <w:pPr>
      <w:widowControl/>
      <w:autoSpaceDE/>
      <w:autoSpaceDN/>
      <w:spacing w:before="100" w:beforeAutospacing="1" w:after="100" w:afterAutospacing="1"/>
    </w:pPr>
    <w:rPr>
      <w:rFonts w:ascii="Arial" w:hAnsi="Arial" w:cs="Arial"/>
      <w:sz w:val="20"/>
      <w:szCs w:val="20"/>
      <w:lang w:val="en-US" w:bidi="ar-SA"/>
    </w:rPr>
  </w:style>
  <w:style w:type="paragraph" w:customStyle="1" w:styleId="197">
    <w:name w:val="font10"/>
    <w:basedOn w:val="1"/>
    <w:qFormat/>
    <w:uiPriority w:val="0"/>
    <w:pPr>
      <w:widowControl/>
      <w:autoSpaceDE/>
      <w:autoSpaceDN/>
      <w:spacing w:before="100" w:beforeAutospacing="1" w:after="100" w:afterAutospacing="1"/>
    </w:pPr>
    <w:rPr>
      <w:sz w:val="20"/>
      <w:szCs w:val="20"/>
      <w:lang w:val="en-US" w:bidi="ar-SA"/>
    </w:rPr>
  </w:style>
  <w:style w:type="paragraph" w:customStyle="1" w:styleId="198">
    <w:name w:val="font11"/>
    <w:basedOn w:val="1"/>
    <w:qFormat/>
    <w:uiPriority w:val="0"/>
    <w:pPr>
      <w:widowControl/>
      <w:autoSpaceDE/>
      <w:autoSpaceDN/>
      <w:spacing w:before="100" w:beforeAutospacing="1" w:after="100" w:afterAutospacing="1"/>
    </w:pPr>
    <w:rPr>
      <w:sz w:val="20"/>
      <w:szCs w:val="20"/>
      <w:lang w:val="en-US" w:bidi="ar-SA"/>
    </w:rPr>
  </w:style>
  <w:style w:type="paragraph" w:customStyle="1" w:styleId="199">
    <w:name w:val="font12"/>
    <w:basedOn w:val="1"/>
    <w:qFormat/>
    <w:uiPriority w:val="0"/>
    <w:pPr>
      <w:widowControl/>
      <w:autoSpaceDE/>
      <w:autoSpaceDN/>
      <w:spacing w:before="100" w:beforeAutospacing="1" w:after="100" w:afterAutospacing="1"/>
    </w:pPr>
    <w:rPr>
      <w:color w:val="000000"/>
      <w:sz w:val="18"/>
      <w:szCs w:val="18"/>
      <w:lang w:val="en-US" w:bidi="ar-SA"/>
    </w:rPr>
  </w:style>
  <w:style w:type="paragraph" w:customStyle="1" w:styleId="200">
    <w:name w:val="font13"/>
    <w:basedOn w:val="1"/>
    <w:qFormat/>
    <w:uiPriority w:val="0"/>
    <w:pPr>
      <w:widowControl/>
      <w:autoSpaceDE/>
      <w:autoSpaceDN/>
      <w:spacing w:before="100" w:beforeAutospacing="1" w:after="100" w:afterAutospacing="1"/>
    </w:pPr>
    <w:rPr>
      <w:sz w:val="18"/>
      <w:szCs w:val="18"/>
      <w:lang w:val="en-US" w:bidi="ar-SA"/>
    </w:rPr>
  </w:style>
  <w:style w:type="paragraph" w:customStyle="1" w:styleId="201">
    <w:name w:val="font14"/>
    <w:basedOn w:val="1"/>
    <w:qFormat/>
    <w:uiPriority w:val="0"/>
    <w:pPr>
      <w:widowControl/>
      <w:autoSpaceDE/>
      <w:autoSpaceDN/>
      <w:spacing w:before="100" w:beforeAutospacing="1" w:after="100" w:afterAutospacing="1"/>
    </w:pPr>
    <w:rPr>
      <w:sz w:val="18"/>
      <w:szCs w:val="18"/>
      <w:lang w:val="en-US" w:bidi="ar-SA"/>
    </w:rPr>
  </w:style>
  <w:style w:type="paragraph" w:customStyle="1" w:styleId="202">
    <w:name w:val="font15"/>
    <w:basedOn w:val="1"/>
    <w:qFormat/>
    <w:uiPriority w:val="0"/>
    <w:pPr>
      <w:widowControl/>
      <w:autoSpaceDE/>
      <w:autoSpaceDN/>
      <w:spacing w:before="100" w:beforeAutospacing="1" w:after="100" w:afterAutospacing="1"/>
    </w:pPr>
    <w:rPr>
      <w:color w:val="000000"/>
      <w:sz w:val="18"/>
      <w:szCs w:val="18"/>
      <w:lang w:val="en-US" w:bidi="ar-SA"/>
    </w:rPr>
  </w:style>
  <w:style w:type="paragraph" w:customStyle="1" w:styleId="203">
    <w:name w:val="font16"/>
    <w:basedOn w:val="1"/>
    <w:qFormat/>
    <w:uiPriority w:val="0"/>
    <w:pPr>
      <w:widowControl/>
      <w:autoSpaceDE/>
      <w:autoSpaceDN/>
      <w:spacing w:before="100" w:beforeAutospacing="1" w:after="100" w:afterAutospacing="1"/>
    </w:pPr>
    <w:rPr>
      <w:sz w:val="18"/>
      <w:szCs w:val="18"/>
      <w:lang w:val="en-US" w:bidi="ar-SA"/>
    </w:rPr>
  </w:style>
  <w:style w:type="paragraph" w:customStyle="1" w:styleId="204">
    <w:name w:val="font17"/>
    <w:basedOn w:val="1"/>
    <w:qFormat/>
    <w:uiPriority w:val="0"/>
    <w:pPr>
      <w:widowControl/>
      <w:autoSpaceDE/>
      <w:autoSpaceDN/>
      <w:spacing w:before="100" w:beforeAutospacing="1" w:after="100" w:afterAutospacing="1"/>
    </w:pPr>
    <w:rPr>
      <w:sz w:val="18"/>
      <w:szCs w:val="18"/>
      <w:lang w:val="en-US" w:bidi="ar-SA"/>
    </w:rPr>
  </w:style>
  <w:style w:type="paragraph" w:customStyle="1" w:styleId="205">
    <w:name w:val="font18"/>
    <w:basedOn w:val="1"/>
    <w:qFormat/>
    <w:uiPriority w:val="0"/>
    <w:pPr>
      <w:widowControl/>
      <w:autoSpaceDE/>
      <w:autoSpaceDN/>
      <w:spacing w:before="100" w:beforeAutospacing="1" w:after="100" w:afterAutospacing="1"/>
    </w:pPr>
    <w:rPr>
      <w:sz w:val="18"/>
      <w:szCs w:val="18"/>
      <w:lang w:val="en-US" w:bidi="ar-SA"/>
    </w:rPr>
  </w:style>
  <w:style w:type="paragraph" w:customStyle="1" w:styleId="206">
    <w:name w:val="xl111"/>
    <w:basedOn w:val="1"/>
    <w:qFormat/>
    <w:uiPriority w:val="0"/>
    <w:pPr>
      <w:widowControl/>
      <w:shd w:val="clear" w:color="000000" w:fill="FFFFFF"/>
      <w:autoSpaceDE/>
      <w:autoSpaceDN/>
      <w:spacing w:before="100" w:beforeAutospacing="1" w:after="100" w:afterAutospacing="1"/>
    </w:pPr>
    <w:rPr>
      <w:rFonts w:ascii="Arial" w:hAnsi="Arial" w:cs="Arial"/>
      <w:sz w:val="20"/>
      <w:szCs w:val="20"/>
      <w:lang w:val="en-US" w:bidi="ar-SA"/>
    </w:rPr>
  </w:style>
  <w:style w:type="paragraph" w:customStyle="1" w:styleId="207">
    <w:name w:val="xl112"/>
    <w:basedOn w:val="1"/>
    <w:qFormat/>
    <w:uiPriority w:val="0"/>
    <w:pPr>
      <w:widowControl/>
      <w:shd w:val="clear" w:color="000000" w:fill="FFFFFF"/>
      <w:autoSpaceDE/>
      <w:autoSpaceDN/>
      <w:spacing w:before="100" w:beforeAutospacing="1" w:after="100" w:afterAutospacing="1"/>
    </w:pPr>
    <w:rPr>
      <w:sz w:val="24"/>
      <w:szCs w:val="24"/>
      <w:lang w:val="en-US" w:bidi="ar-SA"/>
    </w:rPr>
  </w:style>
  <w:style w:type="paragraph" w:customStyle="1" w:styleId="20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color w:val="000000"/>
      <w:sz w:val="18"/>
      <w:szCs w:val="18"/>
      <w:lang w:val="en-US" w:bidi="ar-SA"/>
    </w:rPr>
  </w:style>
  <w:style w:type="paragraph" w:customStyle="1" w:styleId="209">
    <w:name w:val="xl114"/>
    <w:basedOn w:val="1"/>
    <w:qFormat/>
    <w:uiPriority w:val="0"/>
    <w:pPr>
      <w:widowControl/>
      <w:shd w:val="clear" w:color="000000" w:fill="FFFFFF"/>
      <w:autoSpaceDE/>
      <w:autoSpaceDN/>
      <w:spacing w:before="100" w:beforeAutospacing="1" w:after="100" w:afterAutospacing="1"/>
      <w:jc w:val="center"/>
    </w:pPr>
    <w:rPr>
      <w:sz w:val="24"/>
      <w:szCs w:val="24"/>
      <w:lang w:val="en-US" w:bidi="ar-SA"/>
    </w:rPr>
  </w:style>
  <w:style w:type="paragraph" w:customStyle="1" w:styleId="210">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autoSpaceDE/>
      <w:autoSpaceDN/>
      <w:spacing w:before="100" w:beforeAutospacing="1" w:after="100" w:afterAutospacing="1"/>
      <w:jc w:val="center"/>
      <w:textAlignment w:val="center"/>
    </w:pPr>
    <w:rPr>
      <w:sz w:val="18"/>
      <w:szCs w:val="18"/>
      <w:lang w:val="en-US" w:bidi="ar-SA"/>
    </w:rPr>
  </w:style>
  <w:style w:type="paragraph" w:customStyle="1" w:styleId="21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autoSpaceDE/>
      <w:autoSpaceDN/>
      <w:spacing w:before="100" w:beforeAutospacing="1" w:after="100" w:afterAutospacing="1"/>
      <w:textAlignment w:val="center"/>
    </w:pPr>
    <w:rPr>
      <w:color w:val="000000"/>
      <w:sz w:val="18"/>
      <w:szCs w:val="18"/>
      <w:lang w:val="en-US" w:bidi="ar-SA"/>
    </w:rPr>
  </w:style>
  <w:style w:type="paragraph" w:customStyle="1" w:styleId="212">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autoSpaceDE/>
      <w:autoSpaceDN/>
      <w:spacing w:before="100" w:beforeAutospacing="1" w:after="100" w:afterAutospacing="1"/>
      <w:jc w:val="center"/>
      <w:textAlignment w:val="center"/>
    </w:pPr>
    <w:rPr>
      <w:rFonts w:ascii="Arial" w:hAnsi="Arial" w:cs="Arial"/>
      <w:color w:val="000000"/>
      <w:sz w:val="18"/>
      <w:szCs w:val="18"/>
      <w:lang w:val="en-US" w:bidi="ar-SA"/>
    </w:rPr>
  </w:style>
  <w:style w:type="paragraph" w:customStyle="1" w:styleId="213">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autoSpaceDE/>
      <w:autoSpaceDN/>
      <w:spacing w:before="100" w:beforeAutospacing="1" w:after="100" w:afterAutospacing="1"/>
      <w:textAlignment w:val="center"/>
    </w:pPr>
    <w:rPr>
      <w:sz w:val="18"/>
      <w:szCs w:val="18"/>
      <w:lang w:val="en-US" w:bidi="ar-SA"/>
    </w:rPr>
  </w:style>
  <w:style w:type="paragraph" w:customStyle="1" w:styleId="214">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autoSpaceDE/>
      <w:autoSpaceDN/>
      <w:spacing w:before="100" w:beforeAutospacing="1" w:after="100" w:afterAutospacing="1"/>
      <w:jc w:val="center"/>
      <w:textAlignment w:val="center"/>
    </w:pPr>
    <w:rPr>
      <w:color w:val="000000"/>
      <w:sz w:val="18"/>
      <w:szCs w:val="18"/>
      <w:lang w:val="en-US" w:bidi="ar-SA"/>
    </w:rPr>
  </w:style>
  <w:style w:type="paragraph" w:customStyle="1" w:styleId="215">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autoSpaceDE/>
      <w:autoSpaceDN/>
      <w:spacing w:before="100" w:beforeAutospacing="1" w:after="100" w:afterAutospacing="1"/>
      <w:textAlignment w:val="center"/>
    </w:pPr>
    <w:rPr>
      <w:sz w:val="18"/>
      <w:szCs w:val="18"/>
      <w:lang w:val="en-US" w:bidi="ar-SA"/>
    </w:rPr>
  </w:style>
  <w:style w:type="paragraph" w:customStyle="1" w:styleId="216">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autoSpaceDE/>
      <w:autoSpaceDN/>
      <w:spacing w:before="100" w:beforeAutospacing="1" w:after="100" w:afterAutospacing="1"/>
      <w:jc w:val="center"/>
    </w:pPr>
    <w:rPr>
      <w:sz w:val="24"/>
      <w:szCs w:val="24"/>
      <w:lang w:val="en-US" w:bidi="ar-SA"/>
    </w:rPr>
  </w:style>
  <w:style w:type="paragraph" w:customStyle="1" w:styleId="217">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autoSpaceDE/>
      <w:autoSpaceDN/>
      <w:spacing w:before="100" w:beforeAutospacing="1" w:after="100" w:afterAutospacing="1"/>
      <w:textAlignment w:val="center"/>
    </w:pPr>
    <w:rPr>
      <w:color w:val="800080"/>
      <w:sz w:val="18"/>
      <w:szCs w:val="18"/>
      <w:lang w:val="en-US" w:bidi="ar-SA"/>
    </w:rPr>
  </w:style>
  <w:style w:type="paragraph" w:customStyle="1" w:styleId="218">
    <w:name w:val="xl12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CE8CF"/>
      <w:autoSpaceDE/>
      <w:autoSpaceDN/>
      <w:spacing w:before="100" w:beforeAutospacing="1" w:after="100" w:afterAutospacing="1"/>
      <w:textAlignment w:val="center"/>
    </w:pPr>
    <w:rPr>
      <w:sz w:val="20"/>
      <w:szCs w:val="20"/>
      <w:lang w:val="en-US" w:bidi="ar-SA"/>
    </w:rPr>
  </w:style>
  <w:style w:type="paragraph" w:customStyle="1" w:styleId="219">
    <w:name w:val="xl124"/>
    <w:basedOn w:val="1"/>
    <w:qFormat/>
    <w:uiPriority w:val="0"/>
    <w:pPr>
      <w:widowControl/>
      <w:pBdr>
        <w:left w:val="single" w:color="auto" w:sz="4" w:space="0"/>
        <w:bottom w:val="single" w:color="auto" w:sz="4" w:space="0"/>
        <w:right w:val="single" w:color="auto" w:sz="8" w:space="0"/>
      </w:pBdr>
      <w:shd w:val="clear" w:color="000000" w:fill="CCE8CF"/>
      <w:autoSpaceDE/>
      <w:autoSpaceDN/>
      <w:spacing w:before="100" w:beforeAutospacing="1" w:after="100" w:afterAutospacing="1"/>
      <w:jc w:val="center"/>
      <w:textAlignment w:val="center"/>
    </w:pPr>
    <w:rPr>
      <w:sz w:val="18"/>
      <w:szCs w:val="18"/>
      <w:lang w:val="en-US" w:bidi="ar-SA"/>
    </w:rPr>
  </w:style>
  <w:style w:type="paragraph" w:customStyle="1" w:styleId="22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autoSpaceDE/>
      <w:autoSpaceDN/>
      <w:spacing w:before="100" w:beforeAutospacing="1" w:after="100" w:afterAutospacing="1"/>
      <w:jc w:val="center"/>
      <w:textAlignment w:val="center"/>
    </w:pPr>
    <w:rPr>
      <w:color w:val="000000"/>
      <w:sz w:val="18"/>
      <w:szCs w:val="18"/>
      <w:lang w:val="en-US" w:bidi="ar-SA"/>
    </w:rPr>
  </w:style>
  <w:style w:type="paragraph" w:customStyle="1" w:styleId="221">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autoSpaceDE/>
      <w:autoSpaceDN/>
      <w:spacing w:before="100" w:beforeAutospacing="1" w:after="100" w:afterAutospacing="1"/>
      <w:jc w:val="center"/>
      <w:textAlignment w:val="center"/>
    </w:pPr>
    <w:rPr>
      <w:sz w:val="18"/>
      <w:szCs w:val="18"/>
      <w:lang w:val="en-US" w:bidi="ar-SA"/>
    </w:rPr>
  </w:style>
  <w:style w:type="paragraph" w:customStyle="1" w:styleId="222">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autoSpaceDE/>
      <w:autoSpaceDN/>
      <w:spacing w:before="100" w:beforeAutospacing="1" w:after="100" w:afterAutospacing="1"/>
      <w:jc w:val="center"/>
    </w:pPr>
    <w:rPr>
      <w:rFonts w:ascii="Arial" w:hAnsi="Arial" w:cs="Arial"/>
      <w:sz w:val="20"/>
      <w:szCs w:val="20"/>
      <w:lang w:val="en-US" w:bidi="ar-SA"/>
    </w:rPr>
  </w:style>
  <w:style w:type="paragraph" w:customStyle="1" w:styleId="223">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autoSpaceDE/>
      <w:autoSpaceDN/>
      <w:spacing w:before="100" w:beforeAutospacing="1" w:after="100" w:afterAutospacing="1"/>
      <w:jc w:val="center"/>
    </w:pPr>
    <w:rPr>
      <w:sz w:val="20"/>
      <w:szCs w:val="20"/>
      <w:lang w:val="en-US" w:bidi="ar-SA"/>
    </w:rPr>
  </w:style>
  <w:style w:type="paragraph" w:customStyle="1" w:styleId="224">
    <w:name w:val="xl129"/>
    <w:basedOn w:val="1"/>
    <w:qFormat/>
    <w:uiPriority w:val="0"/>
    <w:pPr>
      <w:widowControl/>
      <w:pBdr>
        <w:top w:val="single" w:color="auto" w:sz="4" w:space="0"/>
        <w:left w:val="single" w:color="auto" w:sz="4" w:space="0"/>
        <w:right w:val="single" w:color="auto" w:sz="4" w:space="0"/>
      </w:pBdr>
      <w:shd w:val="clear" w:color="000000" w:fill="CCE8CF"/>
      <w:autoSpaceDE/>
      <w:autoSpaceDN/>
      <w:spacing w:before="100" w:beforeAutospacing="1" w:after="100" w:afterAutospacing="1"/>
      <w:jc w:val="center"/>
      <w:textAlignment w:val="center"/>
    </w:pPr>
    <w:rPr>
      <w:sz w:val="18"/>
      <w:szCs w:val="18"/>
      <w:lang w:val="en-US" w:bidi="ar-SA"/>
    </w:rPr>
  </w:style>
  <w:style w:type="paragraph" w:customStyle="1" w:styleId="225">
    <w:name w:val="xl130"/>
    <w:basedOn w:val="1"/>
    <w:qFormat/>
    <w:uiPriority w:val="0"/>
    <w:pPr>
      <w:widowControl/>
      <w:pBdr>
        <w:left w:val="single" w:color="auto" w:sz="4" w:space="0"/>
        <w:right w:val="single" w:color="auto" w:sz="4" w:space="0"/>
      </w:pBdr>
      <w:shd w:val="clear" w:color="000000" w:fill="CCE8CF"/>
      <w:autoSpaceDE/>
      <w:autoSpaceDN/>
      <w:spacing w:before="100" w:beforeAutospacing="1" w:after="100" w:afterAutospacing="1"/>
      <w:jc w:val="center"/>
      <w:textAlignment w:val="center"/>
    </w:pPr>
    <w:rPr>
      <w:sz w:val="18"/>
      <w:szCs w:val="18"/>
      <w:lang w:val="en-US" w:bidi="ar-SA"/>
    </w:rPr>
  </w:style>
  <w:style w:type="paragraph" w:customStyle="1" w:styleId="226">
    <w:name w:val="xl131"/>
    <w:basedOn w:val="1"/>
    <w:qFormat/>
    <w:uiPriority w:val="0"/>
    <w:pPr>
      <w:widowControl/>
      <w:pBdr>
        <w:left w:val="single" w:color="auto" w:sz="4" w:space="0"/>
        <w:bottom w:val="single" w:color="auto" w:sz="4" w:space="0"/>
        <w:right w:val="single" w:color="auto" w:sz="4" w:space="0"/>
      </w:pBdr>
      <w:shd w:val="clear" w:color="000000" w:fill="CCE8CF"/>
      <w:autoSpaceDE/>
      <w:autoSpaceDN/>
      <w:spacing w:before="100" w:beforeAutospacing="1" w:after="100" w:afterAutospacing="1"/>
      <w:jc w:val="center"/>
      <w:textAlignment w:val="center"/>
    </w:pPr>
    <w:rPr>
      <w:sz w:val="18"/>
      <w:szCs w:val="18"/>
      <w:lang w:val="en-US" w:bidi="ar-SA"/>
    </w:rPr>
  </w:style>
  <w:style w:type="character" w:customStyle="1" w:styleId="227">
    <w:name w:val="Char Char1"/>
    <w:qFormat/>
    <w:uiPriority w:val="0"/>
    <w:rPr>
      <w:rFonts w:ascii="Times New Roman" w:hAnsi="Times New Roman" w:eastAsia="宋体" w:cs="Times New Roman"/>
      <w:kern w:val="2"/>
      <w:sz w:val="18"/>
      <w:szCs w:val="18"/>
      <w:lang w:val="en-US" w:eastAsia="zh-CN" w:bidi="ar-SA"/>
    </w:rPr>
  </w:style>
  <w:style w:type="paragraph" w:customStyle="1" w:styleId="228">
    <w:name w:val="xl10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0"/>
      <w:szCs w:val="20"/>
      <w:lang w:val="en-US" w:bidi="ar-SA"/>
    </w:rPr>
  </w:style>
  <w:style w:type="paragraph" w:customStyle="1" w:styleId="229">
    <w:name w:val="Char Char Char Char Char Char Char Char Char Char"/>
    <w:basedOn w:val="1"/>
    <w:qFormat/>
    <w:uiPriority w:val="0"/>
    <w:pPr>
      <w:autoSpaceDE/>
      <w:autoSpaceDN/>
      <w:spacing w:afterLines="50" w:line="520" w:lineRule="exact"/>
      <w:jc w:val="center"/>
    </w:pPr>
    <w:rPr>
      <w:rFonts w:ascii="Times New Roman" w:hAnsi="Times New Roman" w:cs="Times New Roman"/>
      <w:sz w:val="20"/>
      <w:szCs w:val="20"/>
      <w:lang w:val="en-US" w:bidi="ar-SA"/>
    </w:rPr>
  </w:style>
  <w:style w:type="paragraph" w:customStyle="1" w:styleId="230">
    <w:name w:val="Char Char Char Char Char Char Char Char"/>
    <w:basedOn w:val="1"/>
    <w:qFormat/>
    <w:uiPriority w:val="0"/>
    <w:pPr>
      <w:autoSpaceDE/>
      <w:autoSpaceDN/>
      <w:spacing w:afterLines="50" w:line="520" w:lineRule="exact"/>
      <w:jc w:val="center"/>
    </w:pPr>
    <w:rPr>
      <w:rFonts w:ascii="Times New Roman" w:hAnsi="Times New Roman" w:cs="Times New Roman"/>
      <w:sz w:val="20"/>
      <w:szCs w:val="20"/>
      <w:lang w:val="en-US" w:bidi="ar-SA"/>
    </w:rPr>
  </w:style>
  <w:style w:type="paragraph" w:customStyle="1" w:styleId="231">
    <w:name w:val="xl108"/>
    <w:basedOn w:val="1"/>
    <w:qFormat/>
    <w:uiPriority w:val="0"/>
    <w:pPr>
      <w:widowControl/>
      <w:pBdr>
        <w:top w:val="single" w:color="auto" w:sz="4" w:space="0"/>
        <w:left w:val="single" w:color="auto" w:sz="4" w:space="0"/>
      </w:pBdr>
      <w:autoSpaceDE/>
      <w:autoSpaceDN/>
      <w:spacing w:before="100" w:beforeAutospacing="1" w:after="100" w:afterAutospacing="1"/>
    </w:pPr>
    <w:rPr>
      <w:lang w:val="en-US" w:bidi="ar-SA"/>
    </w:rPr>
  </w:style>
  <w:style w:type="paragraph" w:customStyle="1" w:styleId="232">
    <w:name w:val="xl110"/>
    <w:basedOn w:val="1"/>
    <w:qFormat/>
    <w:uiPriority w:val="0"/>
    <w:pPr>
      <w:widowControl/>
      <w:pBdr>
        <w:top w:val="single" w:color="auto" w:sz="4" w:space="0"/>
        <w:right w:val="single" w:color="auto" w:sz="4" w:space="0"/>
      </w:pBdr>
      <w:autoSpaceDE/>
      <w:autoSpaceDN/>
      <w:spacing w:before="100" w:beforeAutospacing="1" w:after="100" w:afterAutospacing="1"/>
    </w:pPr>
    <w:rPr>
      <w:lang w:val="en-US" w:bidi="ar-SA"/>
    </w:rPr>
  </w:style>
  <w:style w:type="paragraph" w:customStyle="1" w:styleId="233">
    <w:name w:val="xl10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textAlignment w:val="center"/>
    </w:pPr>
    <w:rPr>
      <w:sz w:val="20"/>
      <w:szCs w:val="20"/>
      <w:lang w:val="en-US" w:bidi="ar-SA"/>
    </w:rPr>
  </w:style>
  <w:style w:type="paragraph" w:customStyle="1" w:styleId="234">
    <w:name w:val="Char Char Char1 Char Char Char Char Char Char Char"/>
    <w:basedOn w:val="1"/>
    <w:qFormat/>
    <w:uiPriority w:val="0"/>
    <w:pPr>
      <w:autoSpaceDE/>
      <w:autoSpaceDN/>
      <w:adjustRightInd w:val="0"/>
      <w:spacing w:line="312" w:lineRule="auto"/>
      <w:jc w:val="both"/>
      <w:textAlignment w:val="baseline"/>
    </w:pPr>
    <w:rPr>
      <w:rFonts w:ascii="Tahoma" w:hAnsi="Tahoma" w:cs="Times New Roman"/>
      <w:sz w:val="24"/>
      <w:szCs w:val="20"/>
      <w:lang w:val="en-US" w:bidi="ar-SA"/>
    </w:rPr>
  </w:style>
  <w:style w:type="paragraph" w:customStyle="1" w:styleId="235">
    <w:name w:val="xl109"/>
    <w:basedOn w:val="1"/>
    <w:qFormat/>
    <w:uiPriority w:val="0"/>
    <w:pPr>
      <w:widowControl/>
      <w:pBdr>
        <w:top w:val="single" w:color="auto" w:sz="4" w:space="0"/>
      </w:pBdr>
      <w:autoSpaceDE/>
      <w:autoSpaceDN/>
      <w:spacing w:before="100" w:beforeAutospacing="1" w:after="100" w:afterAutospacing="1"/>
    </w:pPr>
    <w:rPr>
      <w:lang w:val="en-US" w:bidi="ar-SA"/>
    </w:rPr>
  </w:style>
  <w:style w:type="paragraph" w:customStyle="1" w:styleId="236">
    <w:name w:val="xl105"/>
    <w:basedOn w:val="1"/>
    <w:qFormat/>
    <w:uiPriority w:val="0"/>
    <w:pPr>
      <w:widowControl/>
      <w:pBdr>
        <w:top w:val="single" w:color="000000" w:sz="4" w:space="0"/>
        <w:left w:val="single" w:color="000000" w:sz="4" w:space="0"/>
        <w:bottom w:val="single" w:color="000000" w:sz="8" w:space="0"/>
        <w:right w:val="single" w:color="000000" w:sz="4" w:space="0"/>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237">
    <w:name w:val="Blockquote"/>
    <w:basedOn w:val="1"/>
    <w:qFormat/>
    <w:uiPriority w:val="0"/>
    <w:pPr>
      <w:adjustRightInd w:val="0"/>
      <w:spacing w:before="100" w:after="100"/>
      <w:ind w:left="360" w:right="360"/>
    </w:pPr>
    <w:rPr>
      <w:rFonts w:ascii="Times New Roman" w:hAnsi="Times New Roman" w:cs="Times New Roman"/>
      <w:sz w:val="24"/>
      <w:szCs w:val="20"/>
      <w:lang w:val="en-US" w:bidi="ar-SA"/>
    </w:rPr>
  </w:style>
  <w:style w:type="paragraph" w:customStyle="1" w:styleId="238">
    <w:name w:val="普通(网站)2"/>
    <w:basedOn w:val="1"/>
    <w:qFormat/>
    <w:uiPriority w:val="0"/>
    <w:pPr>
      <w:widowControl/>
      <w:autoSpaceDE/>
      <w:autoSpaceDN/>
      <w:spacing w:before="100" w:beforeAutospacing="1" w:after="100" w:afterAutospacing="1"/>
    </w:pPr>
    <w:rPr>
      <w:sz w:val="24"/>
      <w:szCs w:val="24"/>
      <w:lang w:val="en-US" w:bidi="ar-SA"/>
    </w:rPr>
  </w:style>
  <w:style w:type="paragraph" w:customStyle="1" w:styleId="239">
    <w:name w:val="列出段落3"/>
    <w:basedOn w:val="1"/>
    <w:qFormat/>
    <w:uiPriority w:val="1"/>
    <w:pPr>
      <w:autoSpaceDE/>
      <w:autoSpaceDN/>
      <w:ind w:left="151"/>
      <w:jc w:val="both"/>
    </w:pPr>
    <w:rPr>
      <w:rFonts w:ascii="Calibri" w:hAnsi="Calibri" w:cs="Times New Roman"/>
      <w:kern w:val="2"/>
      <w:sz w:val="21"/>
      <w:szCs w:val="24"/>
      <w:lang w:val="en-US" w:bidi="ar-SA"/>
    </w:rPr>
  </w:style>
  <w:style w:type="character" w:customStyle="1" w:styleId="240">
    <w:name w:val="15"/>
    <w:basedOn w:val="42"/>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124</Pages>
  <Words>60347</Words>
  <Characters>63398</Characters>
  <Lines>506</Lines>
  <Paragraphs>142</Paragraphs>
  <TotalTime>5</TotalTime>
  <ScaleCrop>false</ScaleCrop>
  <LinksUpToDate>false</LinksUpToDate>
  <CharactersWithSpaces>66656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2022-11-24T07:19:00Z</dcterms:created>
  <dc:creator>User</dc:creator>
  <cp:lastModifiedBy>孙敬腾</cp:lastModifiedBy>
  <cp:lastPrinted>2024-06-25T08:54:00Z</cp:lastPrinted>
  <dcterms:modified xsi:type="dcterms:W3CDTF">2024-06-28T01:45:19Z</dcterms:modified>
  <dc:title>政府采购货物和服务项目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WPS 文字</vt:lpwstr>
  </property>
  <property fmtid="{D5CDD505-2E9C-101B-9397-08002B2CF9AE}" pid="4" name="LastSaved">
    <vt:filetime>2022-11-24T00:00:00Z</vt:filetime>
  </property>
  <property fmtid="{D5CDD505-2E9C-101B-9397-08002B2CF9AE}" pid="5" name="KSOProductBuildVer">
    <vt:lpwstr>2052-12.1.0.17133</vt:lpwstr>
  </property>
  <property fmtid="{D5CDD505-2E9C-101B-9397-08002B2CF9AE}" pid="6" name="ICV">
    <vt:lpwstr>ADAE4B92278E4A98AC181163D0ADF70E</vt:lpwstr>
  </property>
</Properties>
</file>