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658237">
      <w:pPr>
        <w:spacing w:line="360" w:lineRule="auto"/>
        <w:ind w:firstLine="420" w:firstLineChars="200"/>
        <w:rPr>
          <w:rFonts w:ascii="宋体" w:hAnsi="宋体" w:cs="宋体"/>
          <w:color w:val="000000"/>
          <w:szCs w:val="16"/>
        </w:rPr>
      </w:pPr>
      <w:r>
        <w:rPr>
          <w:rFonts w:hint="eastAsia" w:ascii="宋体" w:hAnsi="宋体" w:cs="宋体"/>
          <w:color w:val="000000"/>
          <w:szCs w:val="16"/>
        </w:rPr>
        <w:t>发包人(全称，以下简称甲方)：</w:t>
      </w:r>
      <w:r>
        <w:rPr>
          <w:rFonts w:hint="eastAsia" w:ascii="宋体" w:hAnsi="宋体" w:cs="宋体"/>
          <w:color w:val="000000"/>
          <w:szCs w:val="16"/>
          <w:u w:val="single"/>
        </w:rPr>
        <w:t xml:space="preserve">                              </w:t>
      </w:r>
      <w:r>
        <w:rPr>
          <w:rFonts w:hint="eastAsia" w:ascii="宋体" w:hAnsi="宋体" w:cs="宋体"/>
          <w:color w:val="000000"/>
          <w:szCs w:val="16"/>
        </w:rPr>
        <w:t xml:space="preserve"> </w:t>
      </w:r>
    </w:p>
    <w:p w14:paraId="164D1120">
      <w:pPr>
        <w:spacing w:line="360" w:lineRule="auto"/>
        <w:ind w:firstLine="420" w:firstLineChars="200"/>
        <w:rPr>
          <w:rFonts w:ascii="宋体" w:hAnsi="宋体" w:cs="宋体"/>
          <w:color w:val="000000"/>
          <w:szCs w:val="16"/>
        </w:rPr>
      </w:pPr>
      <w:r>
        <w:rPr>
          <w:rFonts w:hint="eastAsia" w:ascii="宋体" w:hAnsi="宋体" w:cs="宋体"/>
          <w:color w:val="000000"/>
          <w:szCs w:val="16"/>
        </w:rPr>
        <w:t>承包人(全称，以下简称乙方)：</w:t>
      </w:r>
      <w:r>
        <w:rPr>
          <w:rFonts w:hint="eastAsia" w:ascii="宋体" w:hAnsi="宋体" w:cs="宋体"/>
          <w:color w:val="000000"/>
          <w:szCs w:val="16"/>
          <w:u w:val="single"/>
        </w:rPr>
        <w:t xml:space="preserve">                              </w:t>
      </w:r>
    </w:p>
    <w:p w14:paraId="14D5FE4B">
      <w:pPr>
        <w:spacing w:line="360" w:lineRule="auto"/>
        <w:ind w:firstLine="420" w:firstLineChars="200"/>
        <w:rPr>
          <w:rFonts w:ascii="宋体" w:hAnsi="宋体" w:cs="宋体"/>
          <w:color w:val="000000"/>
          <w:szCs w:val="16"/>
        </w:rPr>
      </w:pPr>
      <w:r>
        <w:rPr>
          <w:rFonts w:hint="eastAsia" w:ascii="宋体" w:hAnsi="宋体" w:cs="宋体"/>
          <w:color w:val="000000"/>
          <w:szCs w:val="16"/>
        </w:rPr>
        <w:t>依照《中华人民共和国民法典》第三编、《中华人民共和国建筑法》等法律、行政法规，遵循平等、自愿、公平和诚实信用的原则，双方就本项目的事项订立本合同，乙方愿按本合同约定的付款方式承担本项目任务，双方达成如下协议：</w:t>
      </w:r>
    </w:p>
    <w:p w14:paraId="68715BF0">
      <w:pPr>
        <w:spacing w:line="360" w:lineRule="auto"/>
        <w:ind w:firstLine="422" w:firstLineChars="200"/>
        <w:rPr>
          <w:rFonts w:ascii="宋体" w:hAnsi="宋体" w:cs="宋体"/>
          <w:b/>
          <w:bCs/>
          <w:color w:val="000000"/>
          <w:szCs w:val="16"/>
        </w:rPr>
      </w:pPr>
      <w:r>
        <w:rPr>
          <w:rFonts w:hint="eastAsia" w:ascii="宋体" w:hAnsi="宋体" w:cs="宋体"/>
          <w:b/>
          <w:bCs/>
          <w:color w:val="000000"/>
          <w:szCs w:val="16"/>
        </w:rPr>
        <w:t>一、工程概况：</w:t>
      </w:r>
    </w:p>
    <w:p w14:paraId="1FB0BF60">
      <w:pPr>
        <w:spacing w:line="360" w:lineRule="auto"/>
        <w:ind w:firstLine="420" w:firstLineChars="200"/>
        <w:rPr>
          <w:rFonts w:ascii="宋体" w:hAnsi="宋体" w:cs="宋体"/>
          <w:color w:val="000000"/>
          <w:szCs w:val="16"/>
          <w:u w:val="single"/>
        </w:rPr>
      </w:pPr>
      <w:r>
        <w:rPr>
          <w:rFonts w:hint="eastAsia" w:ascii="宋体" w:hAnsi="宋体" w:cs="宋体"/>
          <w:color w:val="000000"/>
          <w:szCs w:val="16"/>
        </w:rPr>
        <w:t>1、工程范围及规模：</w:t>
      </w:r>
      <w:r>
        <w:rPr>
          <w:rFonts w:hint="eastAsia" w:ascii="宋体" w:hAnsi="宋体" w:cs="宋体"/>
          <w:color w:val="000000"/>
          <w:szCs w:val="16"/>
          <w:u w:val="single"/>
        </w:rPr>
        <w:t xml:space="preserve">                              </w:t>
      </w:r>
    </w:p>
    <w:p w14:paraId="2DD9796B">
      <w:pPr>
        <w:spacing w:line="360" w:lineRule="auto"/>
        <w:ind w:firstLine="420" w:firstLineChars="200"/>
        <w:rPr>
          <w:rFonts w:ascii="宋体" w:hAnsi="宋体" w:cs="宋体"/>
          <w:color w:val="000000"/>
          <w:szCs w:val="16"/>
        </w:rPr>
      </w:pPr>
      <w:r>
        <w:rPr>
          <w:rFonts w:hint="eastAsia" w:ascii="宋体" w:hAnsi="宋体" w:cs="宋体"/>
          <w:color w:val="000000"/>
          <w:szCs w:val="16"/>
        </w:rPr>
        <w:t>2、工程日期：</w:t>
      </w:r>
    </w:p>
    <w:p w14:paraId="15204F39">
      <w:pPr>
        <w:spacing w:line="360" w:lineRule="auto"/>
        <w:ind w:firstLine="420" w:firstLineChars="200"/>
        <w:rPr>
          <w:rFonts w:ascii="宋体" w:hAnsi="宋体" w:cs="宋体"/>
          <w:color w:val="000000"/>
          <w:szCs w:val="16"/>
          <w:u w:val="single"/>
        </w:rPr>
      </w:pPr>
      <w:r>
        <w:rPr>
          <w:rFonts w:hint="eastAsia" w:ascii="宋体" w:hAnsi="宋体" w:cs="宋体"/>
          <w:color w:val="000000"/>
          <w:szCs w:val="16"/>
        </w:rPr>
        <w:t>开工日期：</w:t>
      </w:r>
      <w:r>
        <w:rPr>
          <w:rFonts w:hint="eastAsia" w:ascii="宋体" w:hAnsi="宋体" w:cs="宋体"/>
          <w:color w:val="000000"/>
          <w:szCs w:val="16"/>
          <w:u w:val="single"/>
        </w:rPr>
        <w:t xml:space="preserve">            </w:t>
      </w:r>
      <w:r>
        <w:rPr>
          <w:rFonts w:hint="eastAsia" w:ascii="宋体" w:hAnsi="宋体" w:cs="宋体"/>
          <w:color w:val="000000"/>
          <w:szCs w:val="16"/>
        </w:rPr>
        <w:t>完工日期</w:t>
      </w:r>
      <w:r>
        <w:rPr>
          <w:rFonts w:hint="eastAsia" w:ascii="宋体" w:hAnsi="宋体" w:cs="宋体"/>
          <w:color w:val="000000"/>
          <w:szCs w:val="16"/>
          <w:u w:val="single"/>
        </w:rPr>
        <w:t xml:space="preserve">：              </w:t>
      </w:r>
    </w:p>
    <w:p w14:paraId="41F1A202">
      <w:pPr>
        <w:spacing w:line="360" w:lineRule="auto"/>
        <w:ind w:firstLine="420" w:firstLineChars="200"/>
        <w:rPr>
          <w:rFonts w:ascii="宋体" w:hAnsi="宋体" w:cs="宋体"/>
          <w:color w:val="000000"/>
          <w:szCs w:val="16"/>
        </w:rPr>
      </w:pPr>
      <w:r>
        <w:rPr>
          <w:rFonts w:hint="eastAsia" w:ascii="宋体" w:hAnsi="宋体" w:cs="宋体"/>
          <w:color w:val="000000"/>
          <w:szCs w:val="16"/>
        </w:rPr>
        <w:t>3、施工标准：</w:t>
      </w:r>
    </w:p>
    <w:p w14:paraId="1D8B4294">
      <w:pPr>
        <w:spacing w:line="360" w:lineRule="auto"/>
        <w:ind w:firstLine="420" w:firstLineChars="200"/>
        <w:rPr>
          <w:rFonts w:ascii="宋体" w:hAnsi="宋体" w:cs="宋体"/>
          <w:color w:val="000000"/>
          <w:szCs w:val="16"/>
        </w:rPr>
      </w:pPr>
      <w:r>
        <w:rPr>
          <w:rFonts w:hint="eastAsia" w:ascii="宋体" w:hAnsi="宋体" w:cs="宋体"/>
          <w:color w:val="000000"/>
          <w:szCs w:val="16"/>
        </w:rPr>
        <w:t>3.1高新区GX3-21-8宗地配合文勘工程</w:t>
      </w:r>
      <w:r>
        <w:rPr>
          <w:color w:val="000000"/>
          <w:szCs w:val="21"/>
        </w:rPr>
        <w:t>（</w:t>
      </w:r>
      <w:r>
        <w:rPr>
          <w:rFonts w:hint="eastAsia"/>
          <w:color w:val="000000"/>
          <w:szCs w:val="21"/>
        </w:rPr>
        <w:t>位于西安市高新区天谷七路以南，云水六路以西</w:t>
      </w:r>
      <w:r>
        <w:rPr>
          <w:color w:val="000000"/>
          <w:szCs w:val="21"/>
        </w:rPr>
        <w:t>）范围内垃圾内倒</w:t>
      </w:r>
      <w:r>
        <w:rPr>
          <w:rFonts w:hint="eastAsia" w:ascii="宋体" w:hAnsi="宋体" w:cs="宋体"/>
          <w:color w:val="000000"/>
          <w:szCs w:val="16"/>
        </w:rPr>
        <w:t>，垃圾内倒回填方量：36059.4立方米，内倒运距：2公里内，同时符合《安全生产管理条例》的标准；符合土方工程相关规范要求；符合西安市建筑工地创卫达标条件和高新区环卫部门要求，做好治污减霾工作。</w:t>
      </w:r>
    </w:p>
    <w:p w14:paraId="0FFB06D7">
      <w:pPr>
        <w:spacing w:line="360" w:lineRule="auto"/>
        <w:ind w:firstLine="420" w:firstLineChars="200"/>
        <w:rPr>
          <w:rFonts w:ascii="宋体" w:hAnsi="宋体" w:cs="宋体"/>
          <w:color w:val="000000"/>
          <w:szCs w:val="16"/>
        </w:rPr>
      </w:pPr>
      <w:r>
        <w:rPr>
          <w:rFonts w:hint="eastAsia" w:ascii="宋体" w:hAnsi="宋体" w:cs="宋体"/>
          <w:color w:val="000000"/>
          <w:szCs w:val="16"/>
        </w:rPr>
        <w:t>3.</w:t>
      </w:r>
      <w:r>
        <w:rPr>
          <w:rFonts w:ascii="宋体" w:hAnsi="宋体" w:cs="宋体"/>
          <w:color w:val="000000"/>
          <w:szCs w:val="16"/>
        </w:rPr>
        <w:t>2</w:t>
      </w:r>
      <w:r>
        <w:rPr>
          <w:rFonts w:hint="eastAsia" w:ascii="宋体" w:hAnsi="宋体" w:cs="宋体"/>
          <w:color w:val="000000"/>
          <w:szCs w:val="16"/>
        </w:rPr>
        <w:t>施工中搞好安全文明生产。</w:t>
      </w:r>
    </w:p>
    <w:p w14:paraId="735FB361">
      <w:pPr>
        <w:spacing w:line="360" w:lineRule="auto"/>
        <w:ind w:firstLine="422" w:firstLineChars="200"/>
        <w:rPr>
          <w:rFonts w:ascii="宋体" w:hAnsi="宋体" w:cs="宋体"/>
          <w:b/>
          <w:bCs/>
          <w:color w:val="000000"/>
          <w:szCs w:val="16"/>
        </w:rPr>
      </w:pPr>
      <w:r>
        <w:rPr>
          <w:rFonts w:hint="eastAsia" w:ascii="宋体" w:hAnsi="宋体" w:cs="宋体"/>
          <w:b/>
          <w:bCs/>
          <w:color w:val="000000"/>
          <w:szCs w:val="16"/>
        </w:rPr>
        <w:t>二、合同的组成部分：</w:t>
      </w:r>
    </w:p>
    <w:p w14:paraId="0DF7657F">
      <w:pPr>
        <w:spacing w:line="360" w:lineRule="auto"/>
        <w:ind w:firstLine="420" w:firstLineChars="200"/>
        <w:rPr>
          <w:rFonts w:ascii="宋体" w:hAnsi="宋体" w:cs="宋体"/>
          <w:color w:val="000000"/>
          <w:szCs w:val="16"/>
        </w:rPr>
      </w:pPr>
      <w:r>
        <w:rPr>
          <w:rFonts w:hint="eastAsia" w:ascii="宋体" w:hAnsi="宋体" w:cs="宋体"/>
          <w:color w:val="000000"/>
          <w:szCs w:val="16"/>
        </w:rPr>
        <w:t>1、乙方成交的响应文件（投标响应低于磋商文件时以磋商文件为准）；</w:t>
      </w:r>
    </w:p>
    <w:p w14:paraId="2A4762D4">
      <w:pPr>
        <w:spacing w:line="360" w:lineRule="auto"/>
        <w:ind w:firstLine="420" w:firstLineChars="200"/>
        <w:rPr>
          <w:rFonts w:ascii="宋体" w:hAnsi="宋体" w:cs="宋体"/>
          <w:color w:val="000000"/>
          <w:szCs w:val="16"/>
        </w:rPr>
      </w:pPr>
      <w:r>
        <w:rPr>
          <w:rFonts w:hint="eastAsia" w:ascii="宋体" w:hAnsi="宋体" w:cs="宋体"/>
          <w:color w:val="000000"/>
          <w:szCs w:val="16"/>
        </w:rPr>
        <w:t>2、磋商文件及补充文件；</w:t>
      </w:r>
    </w:p>
    <w:p w14:paraId="713244CE">
      <w:pPr>
        <w:spacing w:line="360" w:lineRule="auto"/>
        <w:ind w:firstLine="420" w:firstLineChars="200"/>
        <w:rPr>
          <w:rFonts w:ascii="宋体" w:hAnsi="宋体" w:cs="宋体"/>
          <w:color w:val="000000"/>
          <w:szCs w:val="16"/>
        </w:rPr>
      </w:pPr>
      <w:r>
        <w:rPr>
          <w:rFonts w:hint="eastAsia" w:ascii="宋体" w:hAnsi="宋体" w:cs="宋体"/>
          <w:color w:val="000000"/>
          <w:szCs w:val="16"/>
        </w:rPr>
        <w:t>3、标准、规范和有关技术资料；</w:t>
      </w:r>
    </w:p>
    <w:p w14:paraId="50E5C2DF">
      <w:pPr>
        <w:spacing w:line="360" w:lineRule="auto"/>
        <w:ind w:firstLine="420" w:firstLineChars="200"/>
        <w:rPr>
          <w:rFonts w:ascii="宋体" w:hAnsi="宋体" w:cs="宋体"/>
          <w:color w:val="000000"/>
          <w:szCs w:val="16"/>
        </w:rPr>
      </w:pPr>
      <w:r>
        <w:rPr>
          <w:rFonts w:hint="eastAsia" w:ascii="宋体" w:hAnsi="宋体" w:cs="宋体"/>
          <w:color w:val="000000"/>
          <w:szCs w:val="16"/>
        </w:rPr>
        <w:t>4、其他有关文件。</w:t>
      </w:r>
    </w:p>
    <w:p w14:paraId="43EAA11E">
      <w:pPr>
        <w:spacing w:line="360" w:lineRule="auto"/>
        <w:ind w:firstLine="422" w:firstLineChars="200"/>
        <w:rPr>
          <w:rFonts w:ascii="宋体" w:hAnsi="宋体" w:cs="宋体"/>
          <w:b/>
          <w:bCs/>
          <w:color w:val="000000"/>
          <w:szCs w:val="16"/>
        </w:rPr>
      </w:pPr>
      <w:r>
        <w:rPr>
          <w:rFonts w:hint="eastAsia" w:ascii="宋体" w:hAnsi="宋体" w:cs="宋体"/>
          <w:b/>
          <w:bCs/>
          <w:color w:val="000000"/>
          <w:szCs w:val="16"/>
        </w:rPr>
        <w:t>三、双方的权利及义务</w:t>
      </w:r>
    </w:p>
    <w:p w14:paraId="2B794122">
      <w:pPr>
        <w:spacing w:line="360" w:lineRule="auto"/>
        <w:ind w:firstLine="422" w:firstLineChars="200"/>
        <w:rPr>
          <w:rFonts w:ascii="宋体" w:hAnsi="宋体" w:cs="宋体"/>
          <w:b/>
          <w:color w:val="000000"/>
          <w:szCs w:val="16"/>
        </w:rPr>
      </w:pPr>
      <w:r>
        <w:rPr>
          <w:rFonts w:hint="eastAsia" w:ascii="宋体" w:hAnsi="宋体" w:cs="宋体"/>
          <w:b/>
          <w:color w:val="000000"/>
          <w:szCs w:val="16"/>
        </w:rPr>
        <w:t>1、甲方的权利和义务</w:t>
      </w:r>
    </w:p>
    <w:p w14:paraId="645BA4B8">
      <w:pPr>
        <w:spacing w:line="360" w:lineRule="auto"/>
        <w:ind w:firstLine="420" w:firstLineChars="200"/>
        <w:rPr>
          <w:rFonts w:ascii="宋体" w:hAnsi="宋体" w:cs="宋体"/>
          <w:color w:val="000000"/>
          <w:szCs w:val="16"/>
        </w:rPr>
      </w:pPr>
      <w:r>
        <w:rPr>
          <w:rFonts w:hint="eastAsia" w:ascii="宋体" w:hAnsi="宋体" w:cs="宋体"/>
          <w:color w:val="000000"/>
          <w:szCs w:val="16"/>
        </w:rPr>
        <w:t>1.1有权随时检查、监督现场及工程进度、质量和安全；</w:t>
      </w:r>
    </w:p>
    <w:p w14:paraId="2E4D58D3">
      <w:pPr>
        <w:spacing w:line="360" w:lineRule="auto"/>
        <w:ind w:firstLine="420" w:firstLineChars="200"/>
        <w:rPr>
          <w:rFonts w:ascii="宋体" w:hAnsi="宋体" w:cs="宋体"/>
          <w:color w:val="000000"/>
          <w:szCs w:val="16"/>
        </w:rPr>
      </w:pPr>
      <w:r>
        <w:rPr>
          <w:rFonts w:hint="eastAsia" w:ascii="宋体" w:hAnsi="宋体" w:cs="宋体"/>
          <w:color w:val="000000"/>
          <w:szCs w:val="16"/>
        </w:rPr>
        <w:t>1.2有对现场工作的认定权；</w:t>
      </w:r>
    </w:p>
    <w:p w14:paraId="57D7AD46">
      <w:pPr>
        <w:spacing w:line="360" w:lineRule="auto"/>
        <w:ind w:firstLine="422" w:firstLineChars="200"/>
        <w:rPr>
          <w:rFonts w:ascii="宋体" w:hAnsi="宋体" w:cs="宋体"/>
          <w:b/>
          <w:color w:val="000000"/>
          <w:szCs w:val="16"/>
        </w:rPr>
      </w:pPr>
      <w:r>
        <w:rPr>
          <w:rFonts w:hint="eastAsia" w:ascii="宋体" w:hAnsi="宋体" w:cs="宋体"/>
          <w:b/>
          <w:color w:val="000000"/>
          <w:szCs w:val="16"/>
        </w:rPr>
        <w:t>2、乙方的权利和义务：</w:t>
      </w:r>
    </w:p>
    <w:p w14:paraId="1EB20CB0">
      <w:pPr>
        <w:spacing w:line="360" w:lineRule="auto"/>
        <w:ind w:firstLine="420" w:firstLineChars="200"/>
        <w:rPr>
          <w:rFonts w:ascii="宋体" w:hAnsi="宋体" w:cs="宋体"/>
          <w:color w:val="000000"/>
          <w:szCs w:val="16"/>
        </w:rPr>
      </w:pPr>
      <w:r>
        <w:rPr>
          <w:rFonts w:hint="eastAsia" w:ascii="宋体" w:hAnsi="宋体" w:cs="宋体"/>
          <w:color w:val="000000"/>
          <w:szCs w:val="16"/>
        </w:rPr>
        <w:t>2.1乙方有权按投标书中的承诺获得约定的工程费；</w:t>
      </w:r>
    </w:p>
    <w:p w14:paraId="2C0857CB">
      <w:pPr>
        <w:spacing w:line="360" w:lineRule="auto"/>
        <w:ind w:firstLine="420" w:firstLineChars="200"/>
        <w:rPr>
          <w:rFonts w:ascii="宋体" w:hAnsi="宋体" w:cs="宋体"/>
          <w:color w:val="000000"/>
          <w:szCs w:val="16"/>
        </w:rPr>
      </w:pPr>
      <w:r>
        <w:rPr>
          <w:rFonts w:hint="eastAsia" w:ascii="宋体" w:hAnsi="宋体" w:cs="宋体"/>
          <w:color w:val="000000"/>
          <w:szCs w:val="16"/>
        </w:rPr>
        <w:t>2.2乙方不得将工程转包，渣土外运所发生的一切费用由乙方负责，乙方严格按照高新区建筑垃圾内倒相关规定做好清运工作及治污减霾措施，并自行承担相关费用；</w:t>
      </w:r>
    </w:p>
    <w:p w14:paraId="385C53F0">
      <w:pPr>
        <w:spacing w:line="360" w:lineRule="auto"/>
        <w:ind w:firstLine="420" w:firstLineChars="200"/>
        <w:rPr>
          <w:rFonts w:ascii="宋体" w:hAnsi="宋体" w:cs="宋体"/>
          <w:color w:val="000000"/>
          <w:szCs w:val="16"/>
        </w:rPr>
      </w:pPr>
      <w:r>
        <w:rPr>
          <w:rFonts w:hint="eastAsia" w:ascii="宋体" w:hAnsi="宋体" w:cs="宋体"/>
          <w:color w:val="000000"/>
          <w:szCs w:val="16"/>
        </w:rPr>
        <w:t>2.3接受发包人和各级建设主管部门的监督和管理；</w:t>
      </w:r>
    </w:p>
    <w:p w14:paraId="622851CF">
      <w:pPr>
        <w:spacing w:line="360" w:lineRule="auto"/>
        <w:ind w:firstLine="420" w:firstLineChars="200"/>
        <w:rPr>
          <w:rFonts w:ascii="宋体" w:hAnsi="宋体" w:cs="宋体"/>
          <w:color w:val="000000"/>
          <w:szCs w:val="16"/>
        </w:rPr>
      </w:pPr>
      <w:r>
        <w:rPr>
          <w:rFonts w:hint="eastAsia" w:ascii="宋体" w:hAnsi="宋体" w:cs="宋体"/>
          <w:color w:val="000000"/>
          <w:szCs w:val="16"/>
        </w:rPr>
        <w:t>2.4乙方按照合同的规定承担认定范围内的相关任务；</w:t>
      </w:r>
    </w:p>
    <w:p w14:paraId="43C6A845">
      <w:pPr>
        <w:spacing w:line="360" w:lineRule="auto"/>
        <w:ind w:firstLine="420" w:firstLineChars="200"/>
        <w:rPr>
          <w:rFonts w:ascii="宋体" w:hAnsi="宋体" w:cs="宋体"/>
          <w:color w:val="000000"/>
          <w:szCs w:val="16"/>
        </w:rPr>
      </w:pPr>
      <w:r>
        <w:rPr>
          <w:rFonts w:hint="eastAsia" w:ascii="宋体" w:hAnsi="宋体" w:cs="宋体"/>
          <w:color w:val="000000"/>
          <w:szCs w:val="16"/>
        </w:rPr>
        <w:t>2.5乙方要按合同约定制定施工方案，确保按规定实施；</w:t>
      </w:r>
    </w:p>
    <w:p w14:paraId="058ED494">
      <w:pPr>
        <w:spacing w:line="360" w:lineRule="auto"/>
        <w:ind w:firstLine="420" w:firstLineChars="200"/>
        <w:rPr>
          <w:rFonts w:ascii="宋体" w:hAnsi="宋体" w:cs="宋体"/>
          <w:color w:val="000000"/>
          <w:szCs w:val="16"/>
        </w:rPr>
      </w:pPr>
      <w:r>
        <w:rPr>
          <w:rFonts w:hint="eastAsia" w:ascii="宋体" w:hAnsi="宋体" w:cs="宋体"/>
          <w:color w:val="000000"/>
          <w:szCs w:val="16"/>
        </w:rPr>
        <w:t>2.6乙方按有关部门的规定装载，严禁超载，要做好蓬盖；</w:t>
      </w:r>
    </w:p>
    <w:p w14:paraId="2C8B0380">
      <w:pPr>
        <w:spacing w:line="360" w:lineRule="auto"/>
        <w:ind w:firstLine="420" w:firstLineChars="200"/>
        <w:rPr>
          <w:rFonts w:ascii="宋体" w:hAnsi="宋体" w:cs="宋体"/>
          <w:color w:val="000000"/>
          <w:szCs w:val="16"/>
        </w:rPr>
      </w:pPr>
      <w:r>
        <w:rPr>
          <w:rFonts w:hint="eastAsia" w:ascii="宋体" w:hAnsi="宋体" w:cs="宋体"/>
          <w:color w:val="000000"/>
          <w:szCs w:val="16"/>
        </w:rPr>
        <w:t>2.7必须按规定将清理无及时运出现场，不得在现场随意堆放和处理；</w:t>
      </w:r>
    </w:p>
    <w:p w14:paraId="79C596AF">
      <w:pPr>
        <w:spacing w:line="360" w:lineRule="auto"/>
        <w:ind w:firstLine="420" w:firstLineChars="200"/>
        <w:rPr>
          <w:rFonts w:ascii="宋体" w:hAnsi="宋体" w:cs="宋体"/>
          <w:color w:val="000000"/>
          <w:szCs w:val="16"/>
        </w:rPr>
      </w:pPr>
      <w:r>
        <w:rPr>
          <w:rFonts w:hint="eastAsia" w:ascii="宋体" w:hAnsi="宋体" w:cs="宋体"/>
          <w:color w:val="000000"/>
          <w:szCs w:val="16"/>
        </w:rPr>
        <w:t>2.8加强易燃、易爆物品的管理；</w:t>
      </w:r>
    </w:p>
    <w:p w14:paraId="1FB61B34">
      <w:pPr>
        <w:spacing w:line="360" w:lineRule="auto"/>
        <w:ind w:firstLine="420" w:firstLineChars="200"/>
        <w:rPr>
          <w:rFonts w:ascii="宋体" w:hAnsi="宋体" w:cs="宋体"/>
          <w:color w:val="000000"/>
          <w:szCs w:val="16"/>
        </w:rPr>
      </w:pPr>
      <w:r>
        <w:rPr>
          <w:rFonts w:hint="eastAsia" w:ascii="宋体" w:hAnsi="宋体" w:cs="宋体"/>
          <w:color w:val="000000"/>
          <w:szCs w:val="16"/>
        </w:rPr>
        <w:t>2.9工程完成后，须及时向有关部门提出工程验收申请，如验收不合格，则必须在限期内整改完毕并达到合格标准；</w:t>
      </w:r>
    </w:p>
    <w:p w14:paraId="430DBA31">
      <w:pPr>
        <w:spacing w:line="360" w:lineRule="auto"/>
        <w:ind w:firstLine="420" w:firstLineChars="200"/>
        <w:rPr>
          <w:rFonts w:ascii="宋体" w:hAnsi="宋体" w:cs="宋体"/>
          <w:color w:val="000000"/>
          <w:szCs w:val="16"/>
        </w:rPr>
      </w:pPr>
      <w:r>
        <w:rPr>
          <w:rFonts w:hint="eastAsia" w:ascii="宋体" w:hAnsi="宋体" w:cs="宋体"/>
          <w:color w:val="000000"/>
          <w:szCs w:val="16"/>
        </w:rPr>
        <w:t>2.11要切实做好安全与文明施工，乙方要制定安全生产责任制，责任落实到人，乙方要与有关部门签订安全责任书，如发生安全问题完全由乙方负责；</w:t>
      </w:r>
    </w:p>
    <w:p w14:paraId="29D0DD46">
      <w:pPr>
        <w:spacing w:line="360" w:lineRule="auto"/>
        <w:ind w:firstLine="420" w:firstLineChars="200"/>
        <w:rPr>
          <w:rFonts w:ascii="宋体" w:hAnsi="宋体" w:cs="宋体"/>
          <w:smallCaps/>
          <w:color w:val="000000"/>
          <w:szCs w:val="16"/>
        </w:rPr>
      </w:pPr>
      <w:r>
        <w:rPr>
          <w:rFonts w:hint="eastAsia" w:ascii="宋体" w:hAnsi="宋体" w:cs="宋体"/>
          <w:color w:val="000000"/>
          <w:szCs w:val="16"/>
        </w:rPr>
        <w:t>2.12要切实加强各类管线的防护工作，按甲方和管线单位的要求做好防护措施（各项防护措施费已包括在投标单价内，结算时不再另行计算）；</w:t>
      </w:r>
    </w:p>
    <w:p w14:paraId="0C70DFDF">
      <w:pPr>
        <w:spacing w:line="360" w:lineRule="auto"/>
        <w:ind w:firstLine="420" w:firstLineChars="200"/>
        <w:rPr>
          <w:rFonts w:ascii="宋体" w:hAnsi="宋体" w:cs="宋体"/>
          <w:color w:val="000000"/>
          <w:szCs w:val="16"/>
        </w:rPr>
      </w:pPr>
      <w:r>
        <w:rPr>
          <w:rFonts w:hint="eastAsia" w:ascii="宋体" w:hAnsi="宋体" w:cs="宋体"/>
          <w:color w:val="000000"/>
          <w:szCs w:val="16"/>
        </w:rPr>
        <w:t>2.15 乙方应在现场设置项目经理部，项目经理部常驻人员名单应在开工前向甲方提交；项目经理应具有二级及以上注册建造师资格；本工程项目经理为</w:t>
      </w:r>
      <w:r>
        <w:rPr>
          <w:rFonts w:hint="eastAsia" w:ascii="宋体" w:hAnsi="宋体" w:cs="宋体"/>
          <w:color w:val="000000"/>
          <w:szCs w:val="16"/>
          <w:u w:val="single"/>
        </w:rPr>
        <w:t xml:space="preserve">    </w:t>
      </w:r>
      <w:r>
        <w:rPr>
          <w:rFonts w:hint="eastAsia" w:ascii="宋体" w:hAnsi="宋体" w:cs="宋体"/>
          <w:color w:val="000000"/>
          <w:szCs w:val="16"/>
        </w:rPr>
        <w:t>，注册证号</w:t>
      </w:r>
      <w:r>
        <w:rPr>
          <w:rFonts w:hint="eastAsia" w:ascii="宋体" w:hAnsi="宋体" w:cs="宋体"/>
          <w:color w:val="000000"/>
          <w:szCs w:val="16"/>
          <w:u w:val="single"/>
        </w:rPr>
        <w:t xml:space="preserve">      </w:t>
      </w:r>
      <w:r>
        <w:rPr>
          <w:rFonts w:hint="eastAsia" w:ascii="宋体" w:hAnsi="宋体" w:cs="宋体"/>
          <w:color w:val="000000"/>
          <w:szCs w:val="16"/>
        </w:rPr>
        <w:t>，安全考核合格证号</w:t>
      </w:r>
      <w:r>
        <w:rPr>
          <w:rFonts w:hint="eastAsia" w:ascii="宋体" w:hAnsi="宋体" w:cs="宋体"/>
          <w:color w:val="000000"/>
          <w:szCs w:val="16"/>
          <w:u w:val="single"/>
        </w:rPr>
        <w:t xml:space="preserve">           </w:t>
      </w:r>
      <w:r>
        <w:rPr>
          <w:rFonts w:hint="eastAsia" w:ascii="宋体" w:hAnsi="宋体" w:cs="宋体"/>
          <w:color w:val="000000"/>
          <w:szCs w:val="16"/>
        </w:rPr>
        <w:t>。</w:t>
      </w:r>
    </w:p>
    <w:p w14:paraId="02A89A32">
      <w:pPr>
        <w:spacing w:line="360" w:lineRule="auto"/>
        <w:ind w:firstLine="420" w:firstLineChars="200"/>
        <w:rPr>
          <w:rFonts w:ascii="宋体" w:hAnsi="宋体" w:cs="宋体"/>
          <w:color w:val="000000"/>
          <w:szCs w:val="16"/>
        </w:rPr>
      </w:pPr>
      <w:r>
        <w:rPr>
          <w:rFonts w:hint="eastAsia" w:ascii="宋体" w:hAnsi="宋体" w:cs="宋体"/>
          <w:color w:val="000000"/>
          <w:szCs w:val="16"/>
        </w:rPr>
        <w:t>2.16 乙方未经甲方同意，不得擅自更换甲方认定的本工程施工负责人（项目经理）及管理机构人员；</w:t>
      </w:r>
    </w:p>
    <w:p w14:paraId="3F7043B8">
      <w:pPr>
        <w:spacing w:line="360" w:lineRule="auto"/>
        <w:ind w:firstLine="420" w:firstLineChars="200"/>
        <w:rPr>
          <w:rFonts w:ascii="宋体" w:hAnsi="宋体" w:cs="宋体"/>
          <w:color w:val="000000"/>
          <w:szCs w:val="16"/>
        </w:rPr>
      </w:pPr>
      <w:r>
        <w:rPr>
          <w:rFonts w:hint="eastAsia" w:ascii="宋体" w:hAnsi="宋体" w:cs="宋体"/>
          <w:color w:val="000000"/>
          <w:szCs w:val="16"/>
        </w:rPr>
        <w:t>2.17 乙方必须自行施工，不得转包，确需分包个别子项时，须征得甲方同意；</w:t>
      </w:r>
    </w:p>
    <w:p w14:paraId="7349DB86">
      <w:pPr>
        <w:spacing w:line="360" w:lineRule="auto"/>
        <w:ind w:firstLine="420" w:firstLineChars="200"/>
        <w:rPr>
          <w:rFonts w:ascii="宋体" w:hAnsi="宋体" w:cs="宋体"/>
          <w:color w:val="000000"/>
          <w:szCs w:val="16"/>
        </w:rPr>
      </w:pPr>
      <w:r>
        <w:rPr>
          <w:rFonts w:hint="eastAsia" w:ascii="宋体" w:hAnsi="宋体" w:cs="宋体"/>
          <w:color w:val="000000"/>
          <w:szCs w:val="16"/>
        </w:rPr>
        <w:t>2.18 乙方在施工过程中所发生的由自身原因造成的损失和后果自负；</w:t>
      </w:r>
    </w:p>
    <w:p w14:paraId="6505C40C">
      <w:pPr>
        <w:spacing w:line="360" w:lineRule="auto"/>
        <w:ind w:firstLine="420" w:firstLineChars="200"/>
        <w:rPr>
          <w:rFonts w:ascii="宋体" w:hAnsi="宋体" w:cs="宋体"/>
          <w:color w:val="000000"/>
          <w:szCs w:val="16"/>
        </w:rPr>
      </w:pPr>
      <w:r>
        <w:rPr>
          <w:rFonts w:hint="eastAsia" w:ascii="宋体" w:hAnsi="宋体" w:cs="宋体"/>
          <w:color w:val="000000"/>
          <w:szCs w:val="16"/>
        </w:rPr>
        <w:t>2.19 工程结算时，乙方须按高新区财政结算评审相关规定提供结算所需资料； 乙方负责确保工程结算、评审、审计的资料齐全，因资料不全无法进行工程结算、评审、审计的，乙方自行承担责任。</w:t>
      </w:r>
    </w:p>
    <w:p w14:paraId="00EC0FBA">
      <w:pPr>
        <w:spacing w:line="360" w:lineRule="auto"/>
        <w:ind w:firstLine="422" w:firstLineChars="200"/>
        <w:rPr>
          <w:rFonts w:ascii="宋体" w:hAnsi="宋体" w:cs="宋体"/>
          <w:b/>
          <w:bCs/>
          <w:color w:val="000000"/>
          <w:szCs w:val="16"/>
        </w:rPr>
      </w:pPr>
      <w:r>
        <w:rPr>
          <w:rFonts w:hint="eastAsia" w:ascii="宋体" w:hAnsi="宋体" w:cs="宋体"/>
          <w:b/>
          <w:bCs/>
          <w:color w:val="000000"/>
          <w:szCs w:val="16"/>
        </w:rPr>
        <w:t>四、合同价款和付款方式：</w:t>
      </w:r>
    </w:p>
    <w:p w14:paraId="66B0F46A">
      <w:pPr>
        <w:spacing w:line="360" w:lineRule="auto"/>
        <w:ind w:firstLine="422" w:firstLineChars="200"/>
        <w:rPr>
          <w:rFonts w:ascii="宋体" w:hAnsi="宋体" w:cs="宋体"/>
          <w:b/>
          <w:color w:val="000000"/>
          <w:szCs w:val="16"/>
        </w:rPr>
      </w:pPr>
      <w:r>
        <w:rPr>
          <w:rFonts w:hint="eastAsia" w:ascii="宋体" w:hAnsi="宋体" w:cs="宋体"/>
          <w:b/>
          <w:color w:val="000000"/>
          <w:szCs w:val="16"/>
        </w:rPr>
        <w:t>（一）合同价款</w:t>
      </w:r>
    </w:p>
    <w:p w14:paraId="00E6A9CE">
      <w:pPr>
        <w:spacing w:line="360" w:lineRule="auto"/>
        <w:ind w:firstLine="420" w:firstLineChars="200"/>
        <w:rPr>
          <w:rFonts w:ascii="宋体" w:hAnsi="宋体" w:cs="宋体"/>
          <w:color w:val="000000"/>
          <w:szCs w:val="16"/>
        </w:rPr>
      </w:pPr>
      <w:r>
        <w:rPr>
          <w:rFonts w:hint="eastAsia" w:ascii="宋体" w:hAnsi="宋体" w:cs="宋体"/>
          <w:color w:val="000000"/>
          <w:szCs w:val="16"/>
        </w:rPr>
        <w:t>1、本工程采用固定综合单价合同方式，单价：</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2"/>
        <w:gridCol w:w="1534"/>
        <w:gridCol w:w="891"/>
        <w:gridCol w:w="1217"/>
        <w:gridCol w:w="1229"/>
        <w:gridCol w:w="1229"/>
        <w:gridCol w:w="1230"/>
      </w:tblGrid>
      <w:tr w14:paraId="1CA90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trPr>
        <w:tc>
          <w:tcPr>
            <w:tcW w:w="1192" w:type="dxa"/>
            <w:vAlign w:val="center"/>
          </w:tcPr>
          <w:p w14:paraId="5EC1FD37">
            <w:pPr>
              <w:spacing w:line="360" w:lineRule="auto"/>
              <w:jc w:val="center"/>
              <w:rPr>
                <w:rFonts w:ascii="宋体" w:hAnsi="宋体"/>
                <w:szCs w:val="21"/>
              </w:rPr>
            </w:pPr>
            <w:r>
              <w:rPr>
                <w:rFonts w:hint="eastAsia" w:ascii="宋体" w:hAnsi="宋体"/>
                <w:szCs w:val="21"/>
              </w:rPr>
              <w:t>序号</w:t>
            </w:r>
          </w:p>
        </w:tc>
        <w:tc>
          <w:tcPr>
            <w:tcW w:w="1534" w:type="dxa"/>
            <w:vAlign w:val="center"/>
          </w:tcPr>
          <w:p w14:paraId="531C1C78">
            <w:pPr>
              <w:spacing w:line="360" w:lineRule="auto"/>
              <w:jc w:val="center"/>
              <w:rPr>
                <w:rFonts w:ascii="宋体" w:hAnsi="宋体"/>
                <w:szCs w:val="21"/>
              </w:rPr>
            </w:pPr>
            <w:r>
              <w:rPr>
                <w:rFonts w:hint="eastAsia" w:ascii="宋体" w:hAnsi="宋体"/>
                <w:szCs w:val="21"/>
              </w:rPr>
              <w:t>文勘机械</w:t>
            </w:r>
          </w:p>
        </w:tc>
        <w:tc>
          <w:tcPr>
            <w:tcW w:w="891" w:type="dxa"/>
            <w:vAlign w:val="center"/>
          </w:tcPr>
          <w:p w14:paraId="787CFA3D">
            <w:pPr>
              <w:spacing w:line="360" w:lineRule="auto"/>
              <w:jc w:val="center"/>
              <w:rPr>
                <w:rFonts w:ascii="宋体" w:hAnsi="宋体"/>
                <w:szCs w:val="21"/>
              </w:rPr>
            </w:pPr>
            <w:r>
              <w:rPr>
                <w:rFonts w:hint="eastAsia" w:ascii="宋体" w:hAnsi="宋体"/>
                <w:szCs w:val="21"/>
              </w:rPr>
              <w:t>单位</w:t>
            </w:r>
          </w:p>
        </w:tc>
        <w:tc>
          <w:tcPr>
            <w:tcW w:w="1217" w:type="dxa"/>
            <w:vAlign w:val="center"/>
          </w:tcPr>
          <w:p w14:paraId="6D98DD69">
            <w:pPr>
              <w:spacing w:line="360" w:lineRule="auto"/>
              <w:jc w:val="center"/>
              <w:rPr>
                <w:rFonts w:ascii="宋体" w:hAnsi="宋体"/>
                <w:szCs w:val="21"/>
              </w:rPr>
            </w:pPr>
            <w:r>
              <w:rPr>
                <w:rFonts w:hint="eastAsia" w:ascii="宋体" w:hAnsi="宋体"/>
                <w:szCs w:val="21"/>
              </w:rPr>
              <w:t>台班数量(预估)</w:t>
            </w:r>
          </w:p>
        </w:tc>
        <w:tc>
          <w:tcPr>
            <w:tcW w:w="1229" w:type="dxa"/>
            <w:vAlign w:val="center"/>
          </w:tcPr>
          <w:p w14:paraId="1C72EAAD">
            <w:pPr>
              <w:spacing w:before="255"/>
              <w:jc w:val="center"/>
              <w:rPr>
                <w:rFonts w:ascii="宋体" w:hAnsi="宋体"/>
                <w:szCs w:val="21"/>
              </w:rPr>
            </w:pPr>
            <w:r>
              <w:rPr>
                <w:rFonts w:hint="eastAsia" w:ascii="宋体" w:hAnsi="宋体"/>
                <w:szCs w:val="21"/>
              </w:rPr>
              <w:t>全费用含税</w:t>
            </w:r>
          </w:p>
          <w:p w14:paraId="7FA1A71E">
            <w:pPr>
              <w:spacing w:line="360" w:lineRule="auto"/>
              <w:jc w:val="center"/>
              <w:rPr>
                <w:rFonts w:ascii="宋体" w:hAnsi="宋体"/>
                <w:szCs w:val="21"/>
              </w:rPr>
            </w:pPr>
            <w:r>
              <w:rPr>
                <w:rFonts w:hint="eastAsia" w:ascii="宋体" w:hAnsi="宋体"/>
                <w:szCs w:val="21"/>
              </w:rPr>
              <w:t>单价(元)</w:t>
            </w:r>
          </w:p>
        </w:tc>
        <w:tc>
          <w:tcPr>
            <w:tcW w:w="1229" w:type="dxa"/>
            <w:vAlign w:val="center"/>
          </w:tcPr>
          <w:p w14:paraId="7795138B">
            <w:pPr>
              <w:spacing w:line="360" w:lineRule="auto"/>
              <w:jc w:val="center"/>
              <w:rPr>
                <w:rFonts w:ascii="宋体" w:hAnsi="宋体"/>
                <w:szCs w:val="21"/>
              </w:rPr>
            </w:pPr>
            <w:r>
              <w:rPr>
                <w:rFonts w:hint="eastAsia" w:ascii="宋体" w:hAnsi="宋体"/>
                <w:szCs w:val="21"/>
              </w:rPr>
              <w:t>合价(元)</w:t>
            </w:r>
          </w:p>
        </w:tc>
        <w:tc>
          <w:tcPr>
            <w:tcW w:w="1230" w:type="dxa"/>
            <w:vAlign w:val="center"/>
          </w:tcPr>
          <w:p w14:paraId="2D1BC032">
            <w:pPr>
              <w:spacing w:line="360" w:lineRule="auto"/>
              <w:jc w:val="center"/>
              <w:rPr>
                <w:rFonts w:ascii="宋体" w:hAnsi="宋体"/>
                <w:szCs w:val="21"/>
              </w:rPr>
            </w:pPr>
            <w:r>
              <w:rPr>
                <w:rFonts w:hint="eastAsia" w:ascii="宋体" w:hAnsi="宋体"/>
                <w:szCs w:val="21"/>
              </w:rPr>
              <w:t>备注</w:t>
            </w:r>
          </w:p>
        </w:tc>
      </w:tr>
      <w:tr w14:paraId="615F8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2" w:type="dxa"/>
            <w:vAlign w:val="center"/>
          </w:tcPr>
          <w:p w14:paraId="1C3EC4BB">
            <w:pPr>
              <w:spacing w:line="360" w:lineRule="auto"/>
              <w:jc w:val="center"/>
              <w:rPr>
                <w:rFonts w:ascii="宋体" w:hAnsi="宋体"/>
                <w:szCs w:val="21"/>
              </w:rPr>
            </w:pPr>
            <w:r>
              <w:rPr>
                <w:rFonts w:hint="eastAsia" w:ascii="宋体" w:hAnsi="宋体"/>
                <w:szCs w:val="21"/>
              </w:rPr>
              <w:t>1</w:t>
            </w:r>
          </w:p>
        </w:tc>
        <w:tc>
          <w:tcPr>
            <w:tcW w:w="1534" w:type="dxa"/>
            <w:vAlign w:val="center"/>
          </w:tcPr>
          <w:p w14:paraId="2F0DF427">
            <w:pPr>
              <w:spacing w:line="360" w:lineRule="auto"/>
              <w:jc w:val="center"/>
              <w:rPr>
                <w:rFonts w:ascii="宋体" w:hAnsi="宋体"/>
                <w:spacing w:val="5"/>
                <w:szCs w:val="21"/>
              </w:rPr>
            </w:pPr>
            <w:r>
              <w:rPr>
                <w:rFonts w:hint="eastAsia" w:ascii="宋体" w:hAnsi="宋体"/>
                <w:spacing w:val="5"/>
                <w:szCs w:val="21"/>
              </w:rPr>
              <w:t>挖掘机(350型)</w:t>
            </w:r>
          </w:p>
        </w:tc>
        <w:tc>
          <w:tcPr>
            <w:tcW w:w="891" w:type="dxa"/>
            <w:vAlign w:val="center"/>
          </w:tcPr>
          <w:p w14:paraId="455C5B2D">
            <w:pPr>
              <w:spacing w:line="360" w:lineRule="auto"/>
              <w:jc w:val="center"/>
              <w:rPr>
                <w:rFonts w:ascii="宋体" w:hAnsi="宋体"/>
                <w:spacing w:val="5"/>
                <w:szCs w:val="21"/>
              </w:rPr>
            </w:pPr>
            <w:r>
              <w:rPr>
                <w:rFonts w:hint="eastAsia" w:ascii="宋体" w:hAnsi="宋体"/>
                <w:spacing w:val="5"/>
                <w:szCs w:val="21"/>
              </w:rPr>
              <w:t>台班</w:t>
            </w:r>
          </w:p>
        </w:tc>
        <w:tc>
          <w:tcPr>
            <w:tcW w:w="1217" w:type="dxa"/>
            <w:vAlign w:val="center"/>
          </w:tcPr>
          <w:p w14:paraId="0322B37B">
            <w:pPr>
              <w:spacing w:line="360" w:lineRule="auto"/>
              <w:jc w:val="center"/>
              <w:rPr>
                <w:rFonts w:hint="default" w:ascii="宋体" w:hAnsi="宋体" w:eastAsia="宋体"/>
                <w:szCs w:val="21"/>
                <w:lang w:val="en-US" w:eastAsia="zh-CN"/>
              </w:rPr>
            </w:pPr>
            <w:r>
              <w:rPr>
                <w:rFonts w:hint="eastAsia" w:ascii="宋体" w:hAnsi="宋体"/>
                <w:spacing w:val="-2"/>
                <w:szCs w:val="21"/>
                <w:lang w:val="en-US" w:eastAsia="zh-CN"/>
              </w:rPr>
              <w:t>83</w:t>
            </w:r>
          </w:p>
        </w:tc>
        <w:tc>
          <w:tcPr>
            <w:tcW w:w="1229" w:type="dxa"/>
            <w:vAlign w:val="center"/>
          </w:tcPr>
          <w:p w14:paraId="654C18E6">
            <w:pPr>
              <w:spacing w:line="360" w:lineRule="auto"/>
              <w:jc w:val="center"/>
              <w:rPr>
                <w:rFonts w:ascii="宋体" w:hAnsi="宋体"/>
                <w:szCs w:val="21"/>
              </w:rPr>
            </w:pPr>
          </w:p>
        </w:tc>
        <w:tc>
          <w:tcPr>
            <w:tcW w:w="1229" w:type="dxa"/>
            <w:vAlign w:val="center"/>
          </w:tcPr>
          <w:p w14:paraId="336417A2">
            <w:pPr>
              <w:spacing w:line="360" w:lineRule="auto"/>
              <w:jc w:val="center"/>
              <w:rPr>
                <w:rFonts w:ascii="宋体" w:hAnsi="宋体"/>
                <w:szCs w:val="21"/>
              </w:rPr>
            </w:pPr>
          </w:p>
        </w:tc>
        <w:tc>
          <w:tcPr>
            <w:tcW w:w="1230" w:type="dxa"/>
            <w:vAlign w:val="center"/>
          </w:tcPr>
          <w:p w14:paraId="21EB77CC">
            <w:pPr>
              <w:spacing w:line="360" w:lineRule="auto"/>
              <w:jc w:val="center"/>
              <w:rPr>
                <w:rFonts w:ascii="宋体" w:hAnsi="宋体"/>
                <w:szCs w:val="21"/>
              </w:rPr>
            </w:pPr>
          </w:p>
        </w:tc>
      </w:tr>
      <w:tr w14:paraId="48B2C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2" w:type="dxa"/>
            <w:vAlign w:val="center"/>
          </w:tcPr>
          <w:p w14:paraId="29CBD589">
            <w:pPr>
              <w:spacing w:line="360" w:lineRule="auto"/>
              <w:jc w:val="center"/>
              <w:rPr>
                <w:rFonts w:ascii="宋体" w:hAnsi="宋体"/>
                <w:szCs w:val="21"/>
              </w:rPr>
            </w:pPr>
            <w:r>
              <w:rPr>
                <w:rFonts w:hint="eastAsia" w:ascii="宋体" w:hAnsi="宋体"/>
                <w:szCs w:val="21"/>
              </w:rPr>
              <w:t>2</w:t>
            </w:r>
          </w:p>
        </w:tc>
        <w:tc>
          <w:tcPr>
            <w:tcW w:w="1534" w:type="dxa"/>
            <w:vAlign w:val="center"/>
          </w:tcPr>
          <w:p w14:paraId="0BCBA384">
            <w:pPr>
              <w:spacing w:line="360" w:lineRule="auto"/>
              <w:jc w:val="center"/>
              <w:rPr>
                <w:rFonts w:ascii="宋体" w:hAnsi="宋体"/>
                <w:spacing w:val="5"/>
                <w:szCs w:val="21"/>
              </w:rPr>
            </w:pPr>
            <w:r>
              <w:rPr>
                <w:rFonts w:hint="eastAsia" w:ascii="宋体" w:hAnsi="宋体"/>
                <w:spacing w:val="5"/>
                <w:szCs w:val="21"/>
              </w:rPr>
              <w:t>挖掘机(225型)</w:t>
            </w:r>
          </w:p>
        </w:tc>
        <w:tc>
          <w:tcPr>
            <w:tcW w:w="891" w:type="dxa"/>
            <w:vAlign w:val="center"/>
          </w:tcPr>
          <w:p w14:paraId="1E4CC204">
            <w:pPr>
              <w:spacing w:line="360" w:lineRule="auto"/>
              <w:jc w:val="center"/>
              <w:rPr>
                <w:rFonts w:ascii="宋体" w:hAnsi="宋体"/>
                <w:spacing w:val="5"/>
                <w:szCs w:val="21"/>
              </w:rPr>
            </w:pPr>
            <w:r>
              <w:rPr>
                <w:rFonts w:hint="eastAsia" w:ascii="宋体" w:hAnsi="宋体"/>
                <w:spacing w:val="5"/>
                <w:szCs w:val="21"/>
              </w:rPr>
              <w:t>台班</w:t>
            </w:r>
          </w:p>
        </w:tc>
        <w:tc>
          <w:tcPr>
            <w:tcW w:w="1217" w:type="dxa"/>
            <w:vAlign w:val="center"/>
          </w:tcPr>
          <w:p w14:paraId="01BBDCBD">
            <w:pPr>
              <w:spacing w:line="360" w:lineRule="auto"/>
              <w:jc w:val="center"/>
              <w:rPr>
                <w:rFonts w:hint="default" w:ascii="宋体" w:hAnsi="宋体" w:eastAsia="宋体"/>
                <w:szCs w:val="21"/>
                <w:lang w:val="en-US" w:eastAsia="zh-CN"/>
              </w:rPr>
            </w:pPr>
            <w:r>
              <w:rPr>
                <w:rFonts w:hint="eastAsia" w:ascii="宋体" w:hAnsi="宋体"/>
                <w:szCs w:val="21"/>
                <w:lang w:val="en-US" w:eastAsia="zh-CN"/>
              </w:rPr>
              <w:t>83</w:t>
            </w:r>
          </w:p>
        </w:tc>
        <w:tc>
          <w:tcPr>
            <w:tcW w:w="1229" w:type="dxa"/>
            <w:vAlign w:val="center"/>
          </w:tcPr>
          <w:p w14:paraId="1F0FE480">
            <w:pPr>
              <w:spacing w:line="360" w:lineRule="auto"/>
              <w:jc w:val="center"/>
              <w:rPr>
                <w:rFonts w:ascii="宋体" w:hAnsi="宋体"/>
                <w:szCs w:val="21"/>
              </w:rPr>
            </w:pPr>
          </w:p>
        </w:tc>
        <w:tc>
          <w:tcPr>
            <w:tcW w:w="1229" w:type="dxa"/>
            <w:vAlign w:val="center"/>
          </w:tcPr>
          <w:p w14:paraId="3FBDD1ED">
            <w:pPr>
              <w:spacing w:line="360" w:lineRule="auto"/>
              <w:jc w:val="center"/>
              <w:rPr>
                <w:rFonts w:ascii="宋体" w:hAnsi="宋体"/>
                <w:szCs w:val="21"/>
              </w:rPr>
            </w:pPr>
          </w:p>
        </w:tc>
        <w:tc>
          <w:tcPr>
            <w:tcW w:w="1230" w:type="dxa"/>
            <w:vAlign w:val="center"/>
          </w:tcPr>
          <w:p w14:paraId="702B5041">
            <w:pPr>
              <w:spacing w:line="360" w:lineRule="auto"/>
              <w:jc w:val="center"/>
              <w:rPr>
                <w:rFonts w:ascii="宋体" w:hAnsi="宋体"/>
                <w:szCs w:val="21"/>
              </w:rPr>
            </w:pPr>
          </w:p>
        </w:tc>
      </w:tr>
      <w:tr w14:paraId="2F5C3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2" w:type="dxa"/>
            <w:vAlign w:val="center"/>
          </w:tcPr>
          <w:p w14:paraId="0CBCF1A0">
            <w:pPr>
              <w:spacing w:line="360" w:lineRule="auto"/>
              <w:jc w:val="center"/>
              <w:rPr>
                <w:rFonts w:ascii="宋体" w:hAnsi="宋体"/>
                <w:szCs w:val="21"/>
              </w:rPr>
            </w:pPr>
            <w:r>
              <w:rPr>
                <w:rFonts w:hint="eastAsia" w:ascii="宋体" w:hAnsi="宋体"/>
                <w:szCs w:val="21"/>
              </w:rPr>
              <w:t>3</w:t>
            </w:r>
          </w:p>
        </w:tc>
        <w:tc>
          <w:tcPr>
            <w:tcW w:w="1534" w:type="dxa"/>
            <w:vAlign w:val="center"/>
          </w:tcPr>
          <w:p w14:paraId="478E508E">
            <w:pPr>
              <w:spacing w:line="360" w:lineRule="auto"/>
              <w:jc w:val="center"/>
              <w:rPr>
                <w:rFonts w:ascii="宋体" w:hAnsi="宋体"/>
                <w:spacing w:val="5"/>
                <w:szCs w:val="21"/>
              </w:rPr>
            </w:pPr>
            <w:r>
              <w:rPr>
                <w:rFonts w:hint="eastAsia" w:ascii="宋体" w:hAnsi="宋体"/>
                <w:spacing w:val="5"/>
                <w:szCs w:val="21"/>
              </w:rPr>
              <w:t>推土机(综合)</w:t>
            </w:r>
          </w:p>
        </w:tc>
        <w:tc>
          <w:tcPr>
            <w:tcW w:w="891" w:type="dxa"/>
            <w:vAlign w:val="center"/>
          </w:tcPr>
          <w:p w14:paraId="39B531BA">
            <w:pPr>
              <w:spacing w:line="360" w:lineRule="auto"/>
              <w:jc w:val="center"/>
              <w:rPr>
                <w:rFonts w:ascii="宋体" w:hAnsi="宋体"/>
                <w:spacing w:val="5"/>
                <w:szCs w:val="21"/>
              </w:rPr>
            </w:pPr>
            <w:r>
              <w:rPr>
                <w:rFonts w:hint="eastAsia" w:ascii="宋体" w:hAnsi="宋体"/>
                <w:spacing w:val="5"/>
                <w:szCs w:val="21"/>
              </w:rPr>
              <w:t>台班</w:t>
            </w:r>
          </w:p>
        </w:tc>
        <w:tc>
          <w:tcPr>
            <w:tcW w:w="1217" w:type="dxa"/>
            <w:vAlign w:val="center"/>
          </w:tcPr>
          <w:p w14:paraId="774173C0">
            <w:pPr>
              <w:spacing w:line="360" w:lineRule="auto"/>
              <w:jc w:val="center"/>
              <w:rPr>
                <w:rFonts w:hint="default" w:ascii="宋体" w:hAnsi="宋体" w:eastAsia="宋体"/>
                <w:szCs w:val="21"/>
                <w:lang w:val="en-US" w:eastAsia="zh-CN"/>
              </w:rPr>
            </w:pPr>
            <w:r>
              <w:rPr>
                <w:rFonts w:hint="eastAsia" w:ascii="宋体" w:hAnsi="宋体"/>
                <w:szCs w:val="21"/>
                <w:lang w:val="en-US" w:eastAsia="zh-CN"/>
              </w:rPr>
              <w:t>189</w:t>
            </w:r>
          </w:p>
        </w:tc>
        <w:tc>
          <w:tcPr>
            <w:tcW w:w="1229" w:type="dxa"/>
            <w:vAlign w:val="center"/>
          </w:tcPr>
          <w:p w14:paraId="25027C05">
            <w:pPr>
              <w:spacing w:line="360" w:lineRule="auto"/>
              <w:jc w:val="center"/>
              <w:rPr>
                <w:rFonts w:ascii="宋体" w:hAnsi="宋体"/>
                <w:szCs w:val="21"/>
              </w:rPr>
            </w:pPr>
          </w:p>
        </w:tc>
        <w:tc>
          <w:tcPr>
            <w:tcW w:w="1229" w:type="dxa"/>
            <w:vAlign w:val="center"/>
          </w:tcPr>
          <w:p w14:paraId="6B5C9B9D">
            <w:pPr>
              <w:spacing w:line="360" w:lineRule="auto"/>
              <w:jc w:val="center"/>
              <w:rPr>
                <w:rFonts w:ascii="宋体" w:hAnsi="宋体"/>
                <w:szCs w:val="21"/>
              </w:rPr>
            </w:pPr>
          </w:p>
        </w:tc>
        <w:tc>
          <w:tcPr>
            <w:tcW w:w="1230" w:type="dxa"/>
            <w:vAlign w:val="center"/>
          </w:tcPr>
          <w:p w14:paraId="5ACAC108">
            <w:pPr>
              <w:spacing w:line="360" w:lineRule="auto"/>
              <w:jc w:val="center"/>
              <w:rPr>
                <w:rFonts w:ascii="宋体" w:hAnsi="宋体"/>
                <w:szCs w:val="21"/>
              </w:rPr>
            </w:pPr>
          </w:p>
        </w:tc>
      </w:tr>
      <w:tr w14:paraId="7C6DC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2" w:type="dxa"/>
            <w:vAlign w:val="center"/>
          </w:tcPr>
          <w:p w14:paraId="7FEDBCB5">
            <w:pPr>
              <w:spacing w:line="360" w:lineRule="auto"/>
              <w:jc w:val="center"/>
              <w:rPr>
                <w:rFonts w:ascii="宋体" w:hAnsi="宋体"/>
                <w:szCs w:val="21"/>
              </w:rPr>
            </w:pPr>
            <w:r>
              <w:rPr>
                <w:rFonts w:hint="eastAsia" w:ascii="宋体" w:hAnsi="宋体"/>
                <w:szCs w:val="21"/>
              </w:rPr>
              <w:t>4</w:t>
            </w:r>
          </w:p>
        </w:tc>
        <w:tc>
          <w:tcPr>
            <w:tcW w:w="1534" w:type="dxa"/>
            <w:vAlign w:val="center"/>
          </w:tcPr>
          <w:p w14:paraId="5E6D6968">
            <w:pPr>
              <w:spacing w:line="360" w:lineRule="auto"/>
              <w:jc w:val="center"/>
              <w:rPr>
                <w:rFonts w:ascii="宋体" w:hAnsi="宋体"/>
                <w:spacing w:val="5"/>
                <w:szCs w:val="21"/>
              </w:rPr>
            </w:pPr>
            <w:r>
              <w:rPr>
                <w:rFonts w:hint="eastAsia" w:ascii="宋体" w:hAnsi="宋体"/>
                <w:spacing w:val="5"/>
                <w:szCs w:val="21"/>
              </w:rPr>
              <w:t>渣土车(满载)</w:t>
            </w:r>
          </w:p>
        </w:tc>
        <w:tc>
          <w:tcPr>
            <w:tcW w:w="891" w:type="dxa"/>
            <w:vAlign w:val="center"/>
          </w:tcPr>
          <w:p w14:paraId="2671AC26">
            <w:pPr>
              <w:spacing w:line="360" w:lineRule="auto"/>
              <w:jc w:val="center"/>
              <w:rPr>
                <w:rFonts w:ascii="宋体" w:hAnsi="宋体"/>
                <w:spacing w:val="5"/>
                <w:szCs w:val="21"/>
              </w:rPr>
            </w:pPr>
            <w:r>
              <w:rPr>
                <w:rFonts w:hint="eastAsia" w:ascii="宋体" w:hAnsi="宋体"/>
                <w:spacing w:val="5"/>
                <w:szCs w:val="21"/>
              </w:rPr>
              <w:t>台班</w:t>
            </w:r>
          </w:p>
        </w:tc>
        <w:tc>
          <w:tcPr>
            <w:tcW w:w="1217" w:type="dxa"/>
            <w:vAlign w:val="center"/>
          </w:tcPr>
          <w:p w14:paraId="71E600D3">
            <w:pPr>
              <w:spacing w:line="360" w:lineRule="auto"/>
              <w:jc w:val="center"/>
              <w:rPr>
                <w:rFonts w:hint="default" w:ascii="宋体" w:hAnsi="宋体" w:eastAsia="宋体"/>
                <w:szCs w:val="21"/>
                <w:lang w:val="en-US" w:eastAsia="zh-CN"/>
              </w:rPr>
            </w:pPr>
            <w:r>
              <w:rPr>
                <w:rFonts w:hint="eastAsia" w:ascii="宋体" w:hAnsi="宋体"/>
                <w:spacing w:val="-7"/>
                <w:szCs w:val="21"/>
                <w:lang w:val="en-US" w:eastAsia="zh-CN"/>
              </w:rPr>
              <w:t>85</w:t>
            </w:r>
          </w:p>
        </w:tc>
        <w:tc>
          <w:tcPr>
            <w:tcW w:w="1229" w:type="dxa"/>
            <w:vAlign w:val="center"/>
          </w:tcPr>
          <w:p w14:paraId="1FBA8262">
            <w:pPr>
              <w:spacing w:line="360" w:lineRule="auto"/>
              <w:jc w:val="center"/>
              <w:rPr>
                <w:rFonts w:ascii="宋体" w:hAnsi="宋体"/>
                <w:szCs w:val="21"/>
              </w:rPr>
            </w:pPr>
          </w:p>
        </w:tc>
        <w:tc>
          <w:tcPr>
            <w:tcW w:w="1229" w:type="dxa"/>
            <w:vAlign w:val="center"/>
          </w:tcPr>
          <w:p w14:paraId="5128BA73">
            <w:pPr>
              <w:spacing w:line="360" w:lineRule="auto"/>
              <w:jc w:val="center"/>
              <w:rPr>
                <w:rFonts w:ascii="宋体" w:hAnsi="宋体"/>
                <w:szCs w:val="21"/>
              </w:rPr>
            </w:pPr>
          </w:p>
        </w:tc>
        <w:tc>
          <w:tcPr>
            <w:tcW w:w="1230" w:type="dxa"/>
            <w:vAlign w:val="center"/>
          </w:tcPr>
          <w:p w14:paraId="2285A73E">
            <w:pPr>
              <w:spacing w:line="360" w:lineRule="auto"/>
              <w:jc w:val="center"/>
              <w:rPr>
                <w:rFonts w:ascii="宋体" w:hAnsi="宋体"/>
                <w:szCs w:val="21"/>
              </w:rPr>
            </w:pPr>
            <w:r>
              <w:rPr>
                <w:rFonts w:hint="eastAsia" w:ascii="宋体" w:hAnsi="宋体"/>
                <w:szCs w:val="21"/>
              </w:rPr>
              <w:t>容量：15m³</w:t>
            </w:r>
          </w:p>
        </w:tc>
      </w:tr>
      <w:tr w14:paraId="5727A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2" w:type="dxa"/>
            <w:vAlign w:val="center"/>
          </w:tcPr>
          <w:p w14:paraId="1B06BC7A">
            <w:pPr>
              <w:spacing w:line="360" w:lineRule="auto"/>
              <w:jc w:val="center"/>
              <w:rPr>
                <w:rFonts w:ascii="宋体" w:hAnsi="宋体"/>
                <w:szCs w:val="21"/>
              </w:rPr>
            </w:pPr>
            <w:r>
              <w:rPr>
                <w:rFonts w:hint="eastAsia" w:ascii="宋体" w:hAnsi="宋体"/>
                <w:szCs w:val="21"/>
              </w:rPr>
              <w:t>5</w:t>
            </w:r>
          </w:p>
        </w:tc>
        <w:tc>
          <w:tcPr>
            <w:tcW w:w="1534" w:type="dxa"/>
            <w:vAlign w:val="center"/>
          </w:tcPr>
          <w:p w14:paraId="6C7960AB">
            <w:pPr>
              <w:spacing w:line="360" w:lineRule="auto"/>
              <w:jc w:val="center"/>
              <w:rPr>
                <w:rFonts w:ascii="宋体" w:hAnsi="宋体"/>
                <w:spacing w:val="5"/>
                <w:szCs w:val="21"/>
              </w:rPr>
            </w:pPr>
            <w:r>
              <w:rPr>
                <w:rFonts w:hint="eastAsia" w:ascii="宋体" w:hAnsi="宋体"/>
                <w:spacing w:val="5"/>
                <w:szCs w:val="21"/>
              </w:rPr>
              <w:t>渣土车(满载)</w:t>
            </w:r>
          </w:p>
        </w:tc>
        <w:tc>
          <w:tcPr>
            <w:tcW w:w="891" w:type="dxa"/>
            <w:vAlign w:val="center"/>
          </w:tcPr>
          <w:p w14:paraId="077E83D9">
            <w:pPr>
              <w:spacing w:line="360" w:lineRule="auto"/>
              <w:jc w:val="center"/>
              <w:rPr>
                <w:rFonts w:ascii="宋体" w:hAnsi="宋体"/>
                <w:spacing w:val="5"/>
                <w:szCs w:val="21"/>
              </w:rPr>
            </w:pPr>
            <w:r>
              <w:rPr>
                <w:rFonts w:hint="eastAsia" w:ascii="宋体" w:hAnsi="宋体"/>
                <w:spacing w:val="5"/>
                <w:szCs w:val="21"/>
              </w:rPr>
              <w:t>台班</w:t>
            </w:r>
          </w:p>
        </w:tc>
        <w:tc>
          <w:tcPr>
            <w:tcW w:w="1217" w:type="dxa"/>
            <w:vAlign w:val="center"/>
          </w:tcPr>
          <w:p w14:paraId="1B94DBE6">
            <w:pPr>
              <w:spacing w:line="360" w:lineRule="auto"/>
              <w:jc w:val="center"/>
              <w:rPr>
                <w:rFonts w:hint="default" w:ascii="宋体" w:hAnsi="宋体" w:eastAsia="宋体"/>
                <w:szCs w:val="21"/>
                <w:lang w:val="en-US" w:eastAsia="zh-CN"/>
              </w:rPr>
            </w:pPr>
            <w:r>
              <w:rPr>
                <w:rFonts w:hint="eastAsia" w:ascii="宋体" w:hAnsi="宋体"/>
                <w:spacing w:val="-7"/>
                <w:szCs w:val="21"/>
                <w:lang w:val="en-US" w:eastAsia="zh-CN"/>
              </w:rPr>
              <w:t>85</w:t>
            </w:r>
          </w:p>
        </w:tc>
        <w:tc>
          <w:tcPr>
            <w:tcW w:w="1229" w:type="dxa"/>
            <w:vAlign w:val="center"/>
          </w:tcPr>
          <w:p w14:paraId="38C4C5A5">
            <w:pPr>
              <w:spacing w:line="360" w:lineRule="auto"/>
              <w:jc w:val="center"/>
              <w:rPr>
                <w:rFonts w:ascii="宋体" w:hAnsi="宋体"/>
                <w:szCs w:val="21"/>
              </w:rPr>
            </w:pPr>
          </w:p>
        </w:tc>
        <w:tc>
          <w:tcPr>
            <w:tcW w:w="1229" w:type="dxa"/>
            <w:vAlign w:val="center"/>
          </w:tcPr>
          <w:p w14:paraId="6FDF2288">
            <w:pPr>
              <w:spacing w:line="360" w:lineRule="auto"/>
              <w:jc w:val="center"/>
              <w:rPr>
                <w:rFonts w:ascii="宋体" w:hAnsi="宋体"/>
                <w:szCs w:val="21"/>
              </w:rPr>
            </w:pPr>
          </w:p>
        </w:tc>
        <w:tc>
          <w:tcPr>
            <w:tcW w:w="1230" w:type="dxa"/>
            <w:vAlign w:val="center"/>
          </w:tcPr>
          <w:p w14:paraId="5E3CA235">
            <w:pPr>
              <w:spacing w:line="360" w:lineRule="auto"/>
              <w:jc w:val="center"/>
              <w:rPr>
                <w:rFonts w:ascii="宋体" w:hAnsi="宋体"/>
                <w:szCs w:val="21"/>
              </w:rPr>
            </w:pPr>
            <w:r>
              <w:rPr>
                <w:rFonts w:hint="eastAsia" w:ascii="宋体" w:hAnsi="宋体"/>
                <w:szCs w:val="21"/>
              </w:rPr>
              <w:t>容量：10m³以内</w:t>
            </w:r>
          </w:p>
        </w:tc>
      </w:tr>
      <w:tr w14:paraId="225B9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2" w:type="dxa"/>
            <w:vAlign w:val="center"/>
          </w:tcPr>
          <w:p w14:paraId="282BCD6D">
            <w:pPr>
              <w:spacing w:line="268" w:lineRule="auto"/>
              <w:jc w:val="center"/>
              <w:rPr>
                <w:rFonts w:ascii="Arial" w:hAnsi="Arial"/>
                <w:szCs w:val="21"/>
              </w:rPr>
            </w:pPr>
            <w:r>
              <w:rPr>
                <w:rFonts w:hint="eastAsia" w:ascii="Arial" w:hAnsi="Arial"/>
                <w:szCs w:val="21"/>
              </w:rPr>
              <w:t>6</w:t>
            </w:r>
          </w:p>
        </w:tc>
        <w:tc>
          <w:tcPr>
            <w:tcW w:w="1534" w:type="dxa"/>
            <w:vAlign w:val="center"/>
          </w:tcPr>
          <w:p w14:paraId="337490E9">
            <w:pPr>
              <w:spacing w:line="360" w:lineRule="auto"/>
              <w:jc w:val="center"/>
              <w:rPr>
                <w:rFonts w:ascii="宋体" w:hAnsi="宋体"/>
                <w:spacing w:val="5"/>
                <w:szCs w:val="21"/>
              </w:rPr>
            </w:pPr>
            <w:r>
              <w:rPr>
                <w:rFonts w:hint="eastAsia" w:ascii="宋体" w:hAnsi="宋体"/>
                <w:spacing w:val="5"/>
                <w:szCs w:val="21"/>
              </w:rPr>
              <w:t>光轮压路机(内燃)机械双筒</w:t>
            </w:r>
          </w:p>
        </w:tc>
        <w:tc>
          <w:tcPr>
            <w:tcW w:w="891" w:type="dxa"/>
            <w:vAlign w:val="center"/>
          </w:tcPr>
          <w:p w14:paraId="19E80AF8">
            <w:pPr>
              <w:spacing w:line="360" w:lineRule="auto"/>
              <w:jc w:val="center"/>
              <w:rPr>
                <w:rFonts w:ascii="宋体" w:hAnsi="宋体"/>
                <w:spacing w:val="5"/>
                <w:szCs w:val="21"/>
              </w:rPr>
            </w:pPr>
            <w:r>
              <w:rPr>
                <w:rFonts w:hint="eastAsia" w:ascii="宋体" w:hAnsi="宋体"/>
                <w:spacing w:val="5"/>
                <w:szCs w:val="21"/>
              </w:rPr>
              <w:t>台班</w:t>
            </w:r>
          </w:p>
        </w:tc>
        <w:tc>
          <w:tcPr>
            <w:tcW w:w="1217" w:type="dxa"/>
            <w:vAlign w:val="center"/>
          </w:tcPr>
          <w:p w14:paraId="75F99B24">
            <w:pPr>
              <w:spacing w:line="268" w:lineRule="auto"/>
              <w:jc w:val="center"/>
              <w:rPr>
                <w:rFonts w:hint="default" w:ascii="Arial" w:hAnsi="Arial" w:eastAsia="宋体"/>
                <w:szCs w:val="21"/>
                <w:lang w:val="en-US" w:eastAsia="zh-CN"/>
              </w:rPr>
            </w:pPr>
            <w:r>
              <w:rPr>
                <w:rFonts w:hint="eastAsia" w:ascii="宋体" w:hAnsi="宋体"/>
                <w:spacing w:val="-7"/>
                <w:szCs w:val="21"/>
                <w:lang w:val="en-US" w:eastAsia="zh-CN"/>
              </w:rPr>
              <w:t>191</w:t>
            </w:r>
          </w:p>
        </w:tc>
        <w:tc>
          <w:tcPr>
            <w:tcW w:w="1229" w:type="dxa"/>
            <w:vAlign w:val="center"/>
          </w:tcPr>
          <w:p w14:paraId="03C1A61F">
            <w:pPr>
              <w:spacing w:line="360" w:lineRule="auto"/>
              <w:jc w:val="center"/>
              <w:rPr>
                <w:rFonts w:ascii="宋体" w:hAnsi="宋体"/>
                <w:szCs w:val="21"/>
              </w:rPr>
            </w:pPr>
          </w:p>
        </w:tc>
        <w:tc>
          <w:tcPr>
            <w:tcW w:w="1229" w:type="dxa"/>
            <w:vAlign w:val="center"/>
          </w:tcPr>
          <w:p w14:paraId="370EB86C">
            <w:pPr>
              <w:spacing w:line="360" w:lineRule="auto"/>
              <w:jc w:val="center"/>
              <w:rPr>
                <w:rFonts w:ascii="宋体" w:hAnsi="宋体"/>
                <w:szCs w:val="21"/>
              </w:rPr>
            </w:pPr>
          </w:p>
        </w:tc>
        <w:tc>
          <w:tcPr>
            <w:tcW w:w="1230" w:type="dxa"/>
            <w:vAlign w:val="center"/>
          </w:tcPr>
          <w:p w14:paraId="4AC5D3D0">
            <w:pPr>
              <w:spacing w:line="360" w:lineRule="auto"/>
              <w:jc w:val="center"/>
              <w:rPr>
                <w:rFonts w:ascii="宋体" w:hAnsi="宋体"/>
                <w:szCs w:val="21"/>
              </w:rPr>
            </w:pPr>
          </w:p>
        </w:tc>
      </w:tr>
      <w:tr w14:paraId="0CFD5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2" w:type="dxa"/>
            <w:vAlign w:val="center"/>
          </w:tcPr>
          <w:p w14:paraId="2FDB1525">
            <w:pPr>
              <w:spacing w:line="268" w:lineRule="auto"/>
              <w:jc w:val="center"/>
              <w:rPr>
                <w:rFonts w:ascii="Arial" w:hAnsi="Arial"/>
                <w:szCs w:val="21"/>
              </w:rPr>
            </w:pPr>
            <w:r>
              <w:rPr>
                <w:rFonts w:hint="eastAsia" w:ascii="Arial" w:hAnsi="Arial"/>
                <w:szCs w:val="21"/>
              </w:rPr>
              <w:t>7</w:t>
            </w:r>
          </w:p>
        </w:tc>
        <w:tc>
          <w:tcPr>
            <w:tcW w:w="1534" w:type="dxa"/>
            <w:vAlign w:val="center"/>
          </w:tcPr>
          <w:p w14:paraId="02C70516">
            <w:pPr>
              <w:jc w:val="center"/>
              <w:rPr>
                <w:rFonts w:ascii="宋体" w:hAnsi="宋体"/>
                <w:spacing w:val="5"/>
                <w:szCs w:val="21"/>
              </w:rPr>
            </w:pPr>
            <w:r>
              <w:rPr>
                <w:rFonts w:hint="eastAsia" w:ascii="宋体" w:hAnsi="宋体"/>
                <w:spacing w:val="5"/>
                <w:szCs w:val="21"/>
              </w:rPr>
              <w:t>合计</w:t>
            </w:r>
          </w:p>
        </w:tc>
        <w:tc>
          <w:tcPr>
            <w:tcW w:w="891" w:type="dxa"/>
            <w:vAlign w:val="center"/>
          </w:tcPr>
          <w:p w14:paraId="281ACBE6">
            <w:pPr>
              <w:spacing w:line="360" w:lineRule="auto"/>
              <w:jc w:val="center"/>
              <w:rPr>
                <w:rFonts w:ascii="宋体" w:hAnsi="宋体"/>
                <w:spacing w:val="5"/>
                <w:szCs w:val="21"/>
              </w:rPr>
            </w:pPr>
          </w:p>
        </w:tc>
        <w:tc>
          <w:tcPr>
            <w:tcW w:w="1217" w:type="dxa"/>
            <w:vAlign w:val="center"/>
          </w:tcPr>
          <w:p w14:paraId="270D0529">
            <w:pPr>
              <w:spacing w:line="268" w:lineRule="auto"/>
              <w:jc w:val="center"/>
              <w:rPr>
                <w:rFonts w:ascii="宋体" w:hAnsi="宋体"/>
                <w:spacing w:val="-2"/>
                <w:szCs w:val="21"/>
              </w:rPr>
            </w:pPr>
          </w:p>
        </w:tc>
        <w:tc>
          <w:tcPr>
            <w:tcW w:w="1229" w:type="dxa"/>
            <w:vAlign w:val="center"/>
          </w:tcPr>
          <w:p w14:paraId="398BAEC4">
            <w:pPr>
              <w:spacing w:line="360" w:lineRule="auto"/>
              <w:jc w:val="center"/>
              <w:rPr>
                <w:rFonts w:ascii="宋体" w:hAnsi="宋体"/>
                <w:szCs w:val="21"/>
              </w:rPr>
            </w:pPr>
          </w:p>
        </w:tc>
        <w:tc>
          <w:tcPr>
            <w:tcW w:w="1229" w:type="dxa"/>
            <w:vAlign w:val="center"/>
          </w:tcPr>
          <w:p w14:paraId="3EBC69DF">
            <w:pPr>
              <w:spacing w:line="360" w:lineRule="auto"/>
              <w:jc w:val="center"/>
              <w:rPr>
                <w:rFonts w:ascii="宋体" w:hAnsi="宋体"/>
                <w:szCs w:val="21"/>
              </w:rPr>
            </w:pPr>
          </w:p>
        </w:tc>
        <w:tc>
          <w:tcPr>
            <w:tcW w:w="1230" w:type="dxa"/>
            <w:vAlign w:val="center"/>
          </w:tcPr>
          <w:p w14:paraId="5D367397">
            <w:pPr>
              <w:spacing w:line="360" w:lineRule="auto"/>
              <w:jc w:val="center"/>
              <w:rPr>
                <w:rFonts w:ascii="宋体" w:hAnsi="宋体"/>
                <w:szCs w:val="21"/>
              </w:rPr>
            </w:pPr>
          </w:p>
        </w:tc>
      </w:tr>
    </w:tbl>
    <w:p w14:paraId="1F828188">
      <w:pPr>
        <w:numPr>
          <w:ilvl w:val="0"/>
          <w:numId w:val="1"/>
        </w:numPr>
        <w:spacing w:line="360" w:lineRule="auto"/>
        <w:ind w:firstLine="420" w:firstLineChars="200"/>
        <w:rPr>
          <w:rFonts w:ascii="宋体" w:hAnsi="宋体" w:cs="宋体"/>
          <w:color w:val="000000"/>
          <w:szCs w:val="16"/>
        </w:rPr>
      </w:pPr>
      <w:bookmarkStart w:id="0" w:name="_GoBack"/>
      <w:bookmarkEnd w:id="0"/>
      <w:r>
        <w:rPr>
          <w:rFonts w:hint="eastAsia" w:ascii="宋体" w:hAnsi="宋体" w:cs="宋体"/>
          <w:color w:val="000000"/>
          <w:szCs w:val="16"/>
        </w:rPr>
        <w:t>付款方式：</w:t>
      </w:r>
    </w:p>
    <w:p w14:paraId="7857A014">
      <w:pPr>
        <w:pStyle w:val="9"/>
        <w:spacing w:line="360" w:lineRule="auto"/>
        <w:ind w:firstLine="495" w:firstLineChars="236"/>
        <w:rPr>
          <w:rFonts w:ascii="宋体" w:hAnsi="宋体" w:cs="宋体"/>
          <w:color w:val="000000"/>
          <w:szCs w:val="20"/>
        </w:rPr>
      </w:pPr>
      <w:r>
        <w:rPr>
          <w:rFonts w:hint="eastAsia" w:ascii="宋体" w:hAnsi="宋体" w:cs="宋体"/>
          <w:color w:val="000000"/>
          <w:szCs w:val="20"/>
        </w:rPr>
        <w:t>当结算金额高于本合同金额时以本合同金额作为结算金额，当结算金额低于本合同金额时据实结算。</w:t>
      </w:r>
    </w:p>
    <w:p w14:paraId="7500D70B">
      <w:pPr>
        <w:spacing w:line="360" w:lineRule="auto"/>
        <w:ind w:firstLine="420" w:firstLineChars="200"/>
        <w:rPr>
          <w:rFonts w:ascii="宋体" w:hAnsi="宋体" w:cs="宋体"/>
          <w:color w:val="000000"/>
          <w:szCs w:val="16"/>
        </w:rPr>
      </w:pPr>
      <w:r>
        <w:rPr>
          <w:rFonts w:hint="eastAsia" w:ascii="宋体" w:hAnsi="宋体" w:cs="宋体"/>
          <w:color w:val="000000"/>
          <w:szCs w:val="16"/>
        </w:rPr>
        <w:t>本合同订立后，乙方完成工程总量的50%后，30日内甲方支付乙方本合同金额（即￥          元）的30%工程进度款；乙方完成工程总量的100%后，30日内由甲方支付乙方本合同金额（即￥        元）的50%工程进度款，工程余款待甲方验收合格，乙方按本合同约定的工程项目和计价依据报送本工程的结算评审资料，由高新区财政局进行结算评审并出具结算报告和结算结果通知单后，乙方出具正式发票，30日内甲方一次付清本合同金额（即￥          元）的20%工程款。</w:t>
      </w:r>
    </w:p>
    <w:p w14:paraId="0F422296">
      <w:pPr>
        <w:spacing w:line="360" w:lineRule="auto"/>
        <w:ind w:firstLine="420" w:firstLineChars="200"/>
        <w:rPr>
          <w:rFonts w:ascii="宋体" w:hAnsi="宋体" w:cs="宋体"/>
          <w:color w:val="000000"/>
          <w:szCs w:val="16"/>
        </w:rPr>
      </w:pPr>
      <w:r>
        <w:rPr>
          <w:rFonts w:hint="eastAsia" w:ascii="宋体" w:hAnsi="宋体" w:cs="宋体"/>
          <w:color w:val="000000"/>
          <w:szCs w:val="16"/>
        </w:rPr>
        <w:t>如施工过程中因文勘工作，需暂停或延期施工，导致工程量未达到前款约定的付款工程进度条件，双方可根据实际情况，另行协商付款方式并签订补充协议。</w:t>
      </w:r>
    </w:p>
    <w:p w14:paraId="1C057E24">
      <w:pPr>
        <w:spacing w:line="360" w:lineRule="auto"/>
        <w:ind w:firstLine="422" w:firstLineChars="200"/>
        <w:rPr>
          <w:rFonts w:ascii="宋体" w:hAnsi="宋体" w:cs="宋体"/>
          <w:b/>
          <w:bCs/>
          <w:color w:val="000000"/>
          <w:szCs w:val="16"/>
        </w:rPr>
      </w:pPr>
      <w:r>
        <w:rPr>
          <w:rFonts w:hint="eastAsia" w:ascii="宋体" w:hAnsi="宋体" w:cs="宋体"/>
          <w:b/>
          <w:bCs/>
          <w:color w:val="000000"/>
          <w:szCs w:val="16"/>
        </w:rPr>
        <w:t>五、其它：</w:t>
      </w:r>
    </w:p>
    <w:p w14:paraId="678EC142">
      <w:pPr>
        <w:spacing w:line="360" w:lineRule="auto"/>
        <w:ind w:firstLine="422" w:firstLineChars="200"/>
        <w:rPr>
          <w:rFonts w:ascii="宋体" w:hAnsi="宋体" w:cs="宋体"/>
          <w:b/>
          <w:color w:val="000000"/>
          <w:szCs w:val="16"/>
        </w:rPr>
      </w:pPr>
      <w:r>
        <w:rPr>
          <w:rFonts w:hint="eastAsia" w:ascii="宋体" w:hAnsi="宋体" w:cs="宋体"/>
          <w:b/>
          <w:color w:val="000000"/>
          <w:szCs w:val="16"/>
        </w:rPr>
        <w:t>1、罚则</w:t>
      </w:r>
    </w:p>
    <w:p w14:paraId="14583013">
      <w:pPr>
        <w:spacing w:line="360" w:lineRule="auto"/>
        <w:ind w:firstLine="420" w:firstLineChars="200"/>
        <w:rPr>
          <w:rFonts w:ascii="宋体" w:hAnsi="宋体" w:cs="宋体"/>
          <w:color w:val="000000"/>
          <w:szCs w:val="16"/>
        </w:rPr>
      </w:pPr>
      <w:r>
        <w:rPr>
          <w:rFonts w:hint="eastAsia" w:ascii="宋体" w:hAnsi="宋体" w:cs="宋体"/>
          <w:color w:val="000000"/>
          <w:szCs w:val="16"/>
        </w:rPr>
        <w:t>如果因非发包方原因，而导致承包方未能按要求的工期完工(不可抗力除外）或工程质量不合格的均为承包方违约，承包方应支付发包方合同总金额2‰/天的违约金至违约期限结束，违约金在最后一次付款时进行扣除。</w:t>
      </w:r>
    </w:p>
    <w:p w14:paraId="4CC47D48">
      <w:pPr>
        <w:spacing w:line="360" w:lineRule="auto"/>
        <w:ind w:firstLine="422" w:firstLineChars="200"/>
        <w:rPr>
          <w:rFonts w:ascii="宋体" w:hAnsi="宋体" w:cs="宋体"/>
          <w:b/>
          <w:color w:val="000000"/>
          <w:szCs w:val="16"/>
        </w:rPr>
      </w:pPr>
      <w:r>
        <w:rPr>
          <w:rFonts w:hint="eastAsia" w:ascii="宋体" w:hAnsi="宋体" w:cs="宋体"/>
          <w:b/>
          <w:color w:val="000000"/>
          <w:szCs w:val="16"/>
        </w:rPr>
        <w:t>2、争议</w:t>
      </w:r>
    </w:p>
    <w:p w14:paraId="7199136B">
      <w:pPr>
        <w:spacing w:line="360" w:lineRule="auto"/>
        <w:ind w:firstLine="420" w:firstLineChars="200"/>
        <w:rPr>
          <w:rFonts w:ascii="宋体" w:hAnsi="宋体" w:cs="宋体"/>
          <w:color w:val="000000"/>
          <w:szCs w:val="16"/>
        </w:rPr>
      </w:pPr>
      <w:r>
        <w:rPr>
          <w:rFonts w:hint="eastAsia" w:ascii="宋体" w:hAnsi="宋体" w:cs="宋体"/>
          <w:color w:val="000000"/>
          <w:szCs w:val="16"/>
        </w:rPr>
        <w:t>2.1双方约定，在履行合同过程中产生争议时，由以下第2.1.2种方式解决：</w:t>
      </w:r>
    </w:p>
    <w:p w14:paraId="41E49B22">
      <w:pPr>
        <w:spacing w:line="360" w:lineRule="auto"/>
        <w:ind w:firstLine="420" w:firstLineChars="200"/>
        <w:rPr>
          <w:rFonts w:ascii="宋体" w:hAnsi="宋体" w:cs="宋体"/>
          <w:color w:val="000000"/>
          <w:szCs w:val="16"/>
        </w:rPr>
      </w:pPr>
      <w:r>
        <w:rPr>
          <w:rFonts w:hint="eastAsia" w:ascii="宋体" w:hAnsi="宋体" w:cs="宋体"/>
          <w:color w:val="000000"/>
          <w:szCs w:val="16"/>
        </w:rPr>
        <w:t>2.1.1由西安仲裁委员会仲裁解决；</w:t>
      </w:r>
    </w:p>
    <w:p w14:paraId="08A31801">
      <w:pPr>
        <w:spacing w:line="360" w:lineRule="auto"/>
        <w:ind w:firstLine="420" w:firstLineChars="200"/>
        <w:rPr>
          <w:rFonts w:ascii="宋体" w:hAnsi="宋体" w:cs="宋体"/>
          <w:color w:val="000000"/>
          <w:szCs w:val="16"/>
        </w:rPr>
      </w:pPr>
      <w:r>
        <w:rPr>
          <w:rFonts w:hint="eastAsia" w:ascii="宋体" w:hAnsi="宋体" w:cs="宋体"/>
          <w:color w:val="000000"/>
          <w:szCs w:val="16"/>
        </w:rPr>
        <w:t>2.1.2向工程所在地人民法院提请诉讼。</w:t>
      </w:r>
    </w:p>
    <w:p w14:paraId="2F7D40EA">
      <w:pPr>
        <w:spacing w:line="360" w:lineRule="auto"/>
        <w:ind w:firstLine="420" w:firstLineChars="200"/>
        <w:rPr>
          <w:rFonts w:ascii="宋体" w:hAnsi="宋体" w:cs="宋体"/>
          <w:color w:val="000000"/>
          <w:szCs w:val="16"/>
        </w:rPr>
      </w:pPr>
      <w:r>
        <w:rPr>
          <w:rFonts w:hint="eastAsia" w:ascii="宋体" w:hAnsi="宋体" w:cs="宋体"/>
          <w:color w:val="000000"/>
          <w:szCs w:val="16"/>
        </w:rPr>
        <w:t>合同争议处理期间，除正在处理的争议部分外，合同其余部分应继续执行。</w:t>
      </w:r>
    </w:p>
    <w:p w14:paraId="5341ACB3">
      <w:pPr>
        <w:spacing w:line="360" w:lineRule="auto"/>
        <w:ind w:firstLine="422" w:firstLineChars="200"/>
        <w:rPr>
          <w:rFonts w:ascii="宋体" w:hAnsi="宋体" w:cs="宋体"/>
          <w:b/>
          <w:color w:val="000000"/>
          <w:szCs w:val="16"/>
        </w:rPr>
      </w:pPr>
      <w:r>
        <w:rPr>
          <w:rFonts w:hint="eastAsia" w:ascii="宋体" w:hAnsi="宋体" w:cs="宋体"/>
          <w:b/>
          <w:color w:val="000000"/>
          <w:szCs w:val="16"/>
        </w:rPr>
        <w:t>3、本合同一式肆份，具有同等法律效力，双方各执贰份；本合同由双方签字盖章后生效，待合同履行完毕，工程价款结清后本合同自然终止。</w:t>
      </w:r>
    </w:p>
    <w:p w14:paraId="7E31EA33">
      <w:pPr>
        <w:spacing w:line="360" w:lineRule="auto"/>
        <w:ind w:firstLine="422" w:firstLineChars="200"/>
        <w:rPr>
          <w:rFonts w:ascii="宋体" w:hAnsi="宋体" w:cs="宋体"/>
          <w:b/>
          <w:color w:val="000000"/>
          <w:szCs w:val="16"/>
        </w:rPr>
      </w:pPr>
      <w:r>
        <w:rPr>
          <w:rFonts w:hint="eastAsia" w:ascii="宋体" w:hAnsi="宋体" w:cs="宋体"/>
          <w:b/>
          <w:color w:val="000000"/>
          <w:szCs w:val="16"/>
        </w:rPr>
        <w:t>4、本合同中未尽事宜双方协商解决。</w:t>
      </w:r>
    </w:p>
    <w:p w14:paraId="17998EDA">
      <w:pPr>
        <w:spacing w:line="360" w:lineRule="auto"/>
        <w:ind w:firstLine="420" w:firstLineChars="200"/>
        <w:rPr>
          <w:rFonts w:ascii="宋体" w:hAnsi="宋体" w:cs="宋体"/>
          <w:color w:val="000000"/>
          <w:szCs w:val="16"/>
        </w:rPr>
      </w:pPr>
      <w:r>
        <w:rPr>
          <w:rFonts w:hint="eastAsia" w:ascii="宋体" w:hAnsi="宋体" w:cs="宋体"/>
          <w:color w:val="000000"/>
          <w:szCs w:val="16"/>
        </w:rPr>
        <w:t>甲方：(盖章)                  乙方(盖章)</w:t>
      </w:r>
    </w:p>
    <w:p w14:paraId="0FFBB0AD">
      <w:pPr>
        <w:spacing w:line="360" w:lineRule="auto"/>
        <w:ind w:firstLine="420" w:firstLineChars="200"/>
        <w:rPr>
          <w:rFonts w:ascii="宋体" w:hAnsi="宋体" w:cs="宋体"/>
          <w:color w:val="000000"/>
          <w:szCs w:val="16"/>
        </w:rPr>
      </w:pPr>
      <w:r>
        <w:rPr>
          <w:rFonts w:hint="eastAsia" w:ascii="宋体" w:hAnsi="宋体" w:cs="宋体"/>
          <w:color w:val="000000"/>
          <w:szCs w:val="16"/>
        </w:rPr>
        <w:t>甲方代表签字：                乙方代表签字：</w:t>
      </w:r>
    </w:p>
    <w:p w14:paraId="2A9EBB82">
      <w:pPr>
        <w:autoSpaceDE w:val="0"/>
        <w:autoSpaceDN w:val="0"/>
        <w:adjustRightInd w:val="0"/>
        <w:spacing w:line="360" w:lineRule="auto"/>
        <w:ind w:firstLine="630" w:firstLineChars="300"/>
        <w:rPr>
          <w:rFonts w:ascii="宋体" w:hAnsi="宋体" w:cs="宋体"/>
          <w:color w:val="000000"/>
          <w:szCs w:val="16"/>
          <w:lang w:val="zh-CN"/>
        </w:rPr>
      </w:pPr>
      <w:r>
        <w:rPr>
          <w:rFonts w:hint="eastAsia" w:ascii="宋体" w:hAnsi="宋体" w:cs="宋体"/>
          <w:color w:val="000000"/>
          <w:szCs w:val="16"/>
        </w:rPr>
        <w:t>年   月    日                 年   月  日</w:t>
      </w:r>
    </w:p>
    <w:p w14:paraId="1FEC8B26">
      <w:pPr>
        <w:jc w:val="center"/>
        <w:rPr>
          <w:rFonts w:ascii="宋体" w:hAnsi="宋体" w:cs="宋体"/>
          <w:b/>
          <w:bCs/>
          <w:color w:val="000000"/>
          <w:sz w:val="24"/>
          <w:szCs w:val="24"/>
        </w:rPr>
      </w:pPr>
    </w:p>
    <w:p w14:paraId="5CD7E7B0">
      <w:pPr>
        <w:jc w:val="center"/>
        <w:rPr>
          <w:rFonts w:ascii="宋体" w:hAnsi="宋体" w:cs="宋体"/>
          <w:b/>
          <w:bCs/>
          <w:color w:val="000000"/>
          <w:sz w:val="24"/>
          <w:szCs w:val="24"/>
        </w:rPr>
      </w:pPr>
    </w:p>
    <w:p w14:paraId="74738642">
      <w:pPr>
        <w:jc w:val="center"/>
        <w:rPr>
          <w:rFonts w:ascii="宋体" w:hAnsi="宋体" w:cs="宋体"/>
          <w:b/>
          <w:bCs/>
          <w:color w:val="000000"/>
          <w:sz w:val="24"/>
          <w:szCs w:val="24"/>
        </w:rPr>
      </w:pPr>
    </w:p>
    <w:p w14:paraId="21FC6C48">
      <w:pPr>
        <w:jc w:val="center"/>
        <w:rPr>
          <w:rFonts w:ascii="宋体" w:hAnsi="宋体" w:cs="宋体"/>
          <w:b/>
          <w:bCs/>
          <w:color w:val="000000"/>
          <w:sz w:val="24"/>
          <w:szCs w:val="24"/>
        </w:rPr>
      </w:pPr>
    </w:p>
    <w:p w14:paraId="5CD54F88">
      <w:pPr>
        <w:jc w:val="center"/>
        <w:rPr>
          <w:rFonts w:ascii="宋体" w:hAnsi="宋体" w:cs="宋体"/>
          <w:b/>
          <w:bCs/>
          <w:color w:val="000000"/>
          <w:sz w:val="24"/>
          <w:szCs w:val="24"/>
        </w:rPr>
      </w:pPr>
    </w:p>
    <w:p w14:paraId="0A08DD25">
      <w:pPr>
        <w:jc w:val="center"/>
        <w:rPr>
          <w:rFonts w:ascii="宋体" w:hAnsi="宋体" w:cs="宋体"/>
          <w:b/>
          <w:bCs/>
          <w:color w:val="000000"/>
          <w:sz w:val="24"/>
          <w:szCs w:val="24"/>
        </w:rPr>
      </w:pPr>
    </w:p>
    <w:p w14:paraId="6B77C1D1">
      <w:pPr>
        <w:jc w:val="center"/>
        <w:rPr>
          <w:rFonts w:ascii="宋体" w:hAnsi="宋体" w:cs="宋体"/>
          <w:b/>
          <w:bCs/>
          <w:color w:val="000000"/>
          <w:sz w:val="24"/>
          <w:szCs w:val="24"/>
        </w:rPr>
      </w:pPr>
    </w:p>
    <w:p w14:paraId="5BB3E2EF">
      <w:pPr>
        <w:jc w:val="center"/>
        <w:rPr>
          <w:rFonts w:ascii="宋体" w:hAnsi="宋体" w:cs="宋体"/>
          <w:b/>
          <w:bCs/>
          <w:color w:val="000000"/>
          <w:sz w:val="24"/>
          <w:szCs w:val="24"/>
        </w:rPr>
      </w:pPr>
    </w:p>
    <w:p w14:paraId="3EC707FA">
      <w:pPr>
        <w:jc w:val="center"/>
        <w:rPr>
          <w:rFonts w:ascii="宋体" w:hAnsi="宋体" w:cs="宋体"/>
          <w:b/>
          <w:bCs/>
          <w:color w:val="000000"/>
          <w:sz w:val="24"/>
          <w:szCs w:val="24"/>
        </w:rPr>
      </w:pPr>
    </w:p>
    <w:p w14:paraId="7C3052AA">
      <w:pPr>
        <w:jc w:val="center"/>
        <w:rPr>
          <w:rFonts w:ascii="宋体" w:hAnsi="宋体" w:cs="宋体"/>
          <w:b/>
          <w:bCs/>
          <w:color w:val="000000"/>
          <w:sz w:val="24"/>
          <w:szCs w:val="24"/>
        </w:rPr>
      </w:pPr>
    </w:p>
    <w:p w14:paraId="7DD1DB67">
      <w:pPr>
        <w:jc w:val="center"/>
        <w:rPr>
          <w:rFonts w:ascii="宋体" w:hAnsi="宋体" w:cs="宋体"/>
          <w:b/>
          <w:bCs/>
          <w:color w:val="000000"/>
          <w:sz w:val="24"/>
          <w:szCs w:val="24"/>
        </w:rPr>
      </w:pPr>
    </w:p>
    <w:p w14:paraId="65C1EA08">
      <w:pPr>
        <w:jc w:val="center"/>
        <w:rPr>
          <w:rFonts w:ascii="宋体" w:hAnsi="宋体" w:cs="宋体"/>
          <w:b/>
          <w:bCs/>
          <w:color w:val="000000"/>
          <w:sz w:val="24"/>
          <w:szCs w:val="24"/>
        </w:rPr>
      </w:pPr>
    </w:p>
    <w:p w14:paraId="696F09DB">
      <w:pPr>
        <w:jc w:val="center"/>
        <w:rPr>
          <w:rFonts w:ascii="宋体" w:hAnsi="宋体" w:cs="宋体"/>
          <w:b/>
          <w:bCs/>
          <w:color w:val="000000"/>
          <w:sz w:val="24"/>
          <w:szCs w:val="24"/>
        </w:rPr>
      </w:pPr>
    </w:p>
    <w:p w14:paraId="53EDBEC3">
      <w:pPr>
        <w:jc w:val="center"/>
        <w:rPr>
          <w:rFonts w:ascii="宋体" w:hAnsi="宋体" w:cs="宋体"/>
          <w:b/>
          <w:bCs/>
          <w:color w:val="000000"/>
          <w:sz w:val="24"/>
          <w:szCs w:val="24"/>
        </w:rPr>
      </w:pPr>
    </w:p>
    <w:p w14:paraId="6A2ED760">
      <w:pPr>
        <w:jc w:val="center"/>
        <w:rPr>
          <w:rFonts w:ascii="宋体" w:hAnsi="宋体" w:cs="宋体"/>
          <w:b/>
          <w:bCs/>
          <w:color w:val="000000"/>
          <w:sz w:val="24"/>
          <w:szCs w:val="24"/>
        </w:rPr>
      </w:pPr>
    </w:p>
    <w:p w14:paraId="79C0081A">
      <w:pPr>
        <w:jc w:val="center"/>
        <w:rPr>
          <w:rFonts w:ascii="宋体" w:hAnsi="宋体" w:cs="宋体"/>
          <w:b/>
          <w:bCs/>
          <w:color w:val="000000"/>
          <w:sz w:val="24"/>
          <w:szCs w:val="24"/>
        </w:rPr>
      </w:pPr>
    </w:p>
    <w:p w14:paraId="70079C78">
      <w:pPr>
        <w:jc w:val="center"/>
        <w:rPr>
          <w:rFonts w:ascii="宋体" w:hAnsi="宋体" w:cs="宋体"/>
          <w:b/>
          <w:bCs/>
          <w:color w:val="000000"/>
          <w:sz w:val="24"/>
          <w:szCs w:val="24"/>
        </w:rPr>
      </w:pPr>
    </w:p>
    <w:p w14:paraId="0F42D5AF">
      <w:pPr>
        <w:jc w:val="center"/>
        <w:rPr>
          <w:rFonts w:ascii="宋体" w:hAnsi="宋体" w:cs="宋体"/>
          <w:b/>
          <w:bCs/>
          <w:color w:val="000000"/>
          <w:sz w:val="24"/>
          <w:szCs w:val="24"/>
        </w:rPr>
      </w:pPr>
    </w:p>
    <w:p w14:paraId="61705D75">
      <w:pPr>
        <w:jc w:val="center"/>
        <w:rPr>
          <w:rFonts w:ascii="宋体" w:hAnsi="宋体" w:cs="宋体"/>
          <w:b/>
          <w:bCs/>
          <w:color w:val="000000"/>
          <w:sz w:val="24"/>
          <w:szCs w:val="24"/>
        </w:rPr>
      </w:pPr>
    </w:p>
    <w:p w14:paraId="69B43B40">
      <w:pPr>
        <w:jc w:val="center"/>
        <w:rPr>
          <w:rFonts w:ascii="宋体" w:hAnsi="宋体" w:cs="宋体"/>
          <w:b/>
          <w:bCs/>
          <w:color w:val="000000"/>
          <w:sz w:val="24"/>
          <w:szCs w:val="24"/>
        </w:rPr>
      </w:pPr>
    </w:p>
    <w:p w14:paraId="23B3CDF9">
      <w:pPr>
        <w:jc w:val="center"/>
        <w:rPr>
          <w:rFonts w:ascii="宋体" w:hAnsi="宋体" w:cs="宋体"/>
          <w:b/>
          <w:bCs/>
          <w:color w:val="000000"/>
          <w:sz w:val="24"/>
          <w:szCs w:val="24"/>
        </w:rPr>
      </w:pPr>
    </w:p>
    <w:p w14:paraId="3E9D22BD">
      <w:pPr>
        <w:jc w:val="center"/>
        <w:rPr>
          <w:rFonts w:ascii="宋体" w:hAnsi="宋体" w:cs="宋体"/>
          <w:b/>
          <w:bCs/>
          <w:color w:val="000000"/>
          <w:sz w:val="24"/>
          <w:szCs w:val="24"/>
        </w:rPr>
      </w:pPr>
    </w:p>
    <w:p w14:paraId="19190E5C">
      <w:pPr>
        <w:jc w:val="center"/>
        <w:rPr>
          <w:rFonts w:ascii="宋体" w:hAnsi="宋体" w:cs="宋体"/>
          <w:b/>
          <w:bCs/>
          <w:color w:val="000000"/>
          <w:sz w:val="24"/>
          <w:szCs w:val="24"/>
        </w:rPr>
      </w:pPr>
    </w:p>
    <w:p w14:paraId="5451E91A">
      <w:pPr>
        <w:jc w:val="center"/>
        <w:rPr>
          <w:rFonts w:ascii="宋体" w:hAnsi="宋体" w:cs="宋体"/>
          <w:b/>
          <w:bCs/>
          <w:color w:val="000000"/>
          <w:sz w:val="24"/>
          <w:szCs w:val="24"/>
        </w:rPr>
      </w:pPr>
    </w:p>
    <w:p w14:paraId="2DFDCF3A">
      <w:pPr>
        <w:jc w:val="center"/>
        <w:rPr>
          <w:rFonts w:ascii="宋体" w:hAnsi="宋体" w:cs="宋体"/>
          <w:b/>
          <w:bCs/>
          <w:color w:val="000000"/>
          <w:sz w:val="24"/>
          <w:szCs w:val="24"/>
        </w:rPr>
      </w:pPr>
    </w:p>
    <w:p w14:paraId="1A30D352">
      <w:pPr>
        <w:jc w:val="center"/>
        <w:rPr>
          <w:rFonts w:ascii="宋体" w:hAnsi="宋体" w:cs="宋体"/>
          <w:b/>
          <w:bCs/>
          <w:color w:val="000000"/>
          <w:sz w:val="24"/>
          <w:szCs w:val="24"/>
        </w:rPr>
      </w:pPr>
    </w:p>
    <w:p w14:paraId="49828953">
      <w:pPr>
        <w:jc w:val="center"/>
        <w:rPr>
          <w:rFonts w:ascii="宋体" w:hAnsi="宋体" w:cs="宋体"/>
          <w:b/>
          <w:bCs/>
          <w:color w:val="000000"/>
          <w:sz w:val="24"/>
          <w:szCs w:val="24"/>
        </w:rPr>
      </w:pPr>
    </w:p>
    <w:p w14:paraId="2E793C30">
      <w:pPr>
        <w:jc w:val="center"/>
        <w:rPr>
          <w:rFonts w:ascii="宋体" w:hAnsi="宋体" w:cs="宋体"/>
          <w:b/>
          <w:bCs/>
          <w:color w:val="000000"/>
          <w:sz w:val="24"/>
          <w:szCs w:val="24"/>
        </w:rPr>
      </w:pPr>
    </w:p>
    <w:p w14:paraId="5880BC5F">
      <w:pPr>
        <w:jc w:val="center"/>
        <w:rPr>
          <w:rFonts w:ascii="宋体" w:hAnsi="宋体" w:cs="宋体"/>
          <w:b/>
          <w:bCs/>
          <w:color w:val="000000"/>
          <w:sz w:val="24"/>
          <w:szCs w:val="24"/>
        </w:rPr>
      </w:pPr>
    </w:p>
    <w:p w14:paraId="1E29CFAD">
      <w:pPr>
        <w:jc w:val="center"/>
        <w:rPr>
          <w:rFonts w:ascii="宋体" w:hAnsi="宋体" w:cs="宋体"/>
          <w:b/>
          <w:bCs/>
          <w:color w:val="000000"/>
          <w:sz w:val="24"/>
          <w:szCs w:val="24"/>
        </w:rPr>
      </w:pPr>
    </w:p>
    <w:p w14:paraId="3CC8F38B">
      <w:pPr>
        <w:jc w:val="center"/>
        <w:rPr>
          <w:rFonts w:ascii="宋体" w:hAnsi="宋体" w:cs="宋体"/>
          <w:b/>
          <w:bCs/>
          <w:color w:val="000000"/>
          <w:sz w:val="24"/>
          <w:szCs w:val="24"/>
        </w:rPr>
      </w:pPr>
    </w:p>
    <w:p w14:paraId="67E7B84C">
      <w:pPr>
        <w:jc w:val="center"/>
        <w:rPr>
          <w:rFonts w:ascii="宋体" w:hAnsi="宋体" w:cs="宋体"/>
          <w:b/>
          <w:bCs/>
          <w:color w:val="000000"/>
          <w:sz w:val="24"/>
          <w:szCs w:val="24"/>
        </w:rPr>
      </w:pPr>
    </w:p>
    <w:p w14:paraId="1052A705">
      <w:pPr>
        <w:jc w:val="center"/>
        <w:rPr>
          <w:rFonts w:ascii="宋体" w:hAnsi="宋体" w:cs="宋体"/>
          <w:b/>
          <w:bCs/>
          <w:color w:val="000000"/>
          <w:sz w:val="24"/>
          <w:szCs w:val="24"/>
        </w:rPr>
      </w:pPr>
    </w:p>
    <w:p w14:paraId="6B336FFA">
      <w:pPr>
        <w:jc w:val="center"/>
        <w:rPr>
          <w:rFonts w:ascii="宋体" w:hAnsi="宋体" w:cs="宋体"/>
          <w:b/>
          <w:bCs/>
          <w:color w:val="000000"/>
          <w:sz w:val="24"/>
          <w:szCs w:val="24"/>
        </w:rPr>
      </w:pPr>
    </w:p>
    <w:p w14:paraId="05F20451">
      <w:pPr>
        <w:jc w:val="center"/>
        <w:rPr>
          <w:rFonts w:ascii="宋体" w:hAnsi="宋体" w:cs="宋体"/>
          <w:b/>
          <w:bCs/>
          <w:color w:val="000000"/>
          <w:sz w:val="24"/>
          <w:szCs w:val="24"/>
        </w:rPr>
      </w:pPr>
    </w:p>
    <w:p w14:paraId="10EF5E1A">
      <w:pPr>
        <w:jc w:val="center"/>
        <w:rPr>
          <w:rFonts w:ascii="宋体" w:hAnsi="宋体" w:cs="宋体"/>
          <w:b/>
          <w:bCs/>
          <w:color w:val="000000"/>
          <w:sz w:val="24"/>
          <w:szCs w:val="24"/>
        </w:rPr>
      </w:pPr>
    </w:p>
    <w:p w14:paraId="3AD01664">
      <w:pPr>
        <w:jc w:val="center"/>
        <w:rPr>
          <w:rFonts w:ascii="宋体" w:hAnsi="宋体" w:cs="宋体"/>
          <w:b/>
          <w:bCs/>
          <w:color w:val="000000"/>
          <w:sz w:val="24"/>
          <w:szCs w:val="24"/>
        </w:rPr>
      </w:pPr>
    </w:p>
    <w:p w14:paraId="43E288B6">
      <w:pPr>
        <w:jc w:val="center"/>
        <w:rPr>
          <w:rFonts w:ascii="宋体" w:hAnsi="宋体" w:cs="宋体"/>
          <w:b/>
          <w:bCs/>
          <w:color w:val="000000"/>
          <w:sz w:val="24"/>
          <w:szCs w:val="24"/>
        </w:rPr>
      </w:pPr>
    </w:p>
    <w:p w14:paraId="391513BB">
      <w:pPr>
        <w:jc w:val="center"/>
        <w:rPr>
          <w:rFonts w:ascii="宋体" w:hAnsi="宋体" w:cs="宋体"/>
          <w:b/>
          <w:bCs/>
          <w:color w:val="000000"/>
          <w:sz w:val="24"/>
          <w:szCs w:val="24"/>
        </w:rPr>
      </w:pPr>
      <w:r>
        <w:rPr>
          <w:rFonts w:hint="eastAsia" w:ascii="宋体" w:hAnsi="宋体" w:cs="宋体"/>
          <w:b/>
          <w:bCs/>
          <w:color w:val="000000"/>
          <w:sz w:val="24"/>
          <w:szCs w:val="24"/>
        </w:rPr>
        <w:t>安全生产、文明施工责任书</w:t>
      </w:r>
    </w:p>
    <w:p w14:paraId="0A335DAB">
      <w:pPr>
        <w:spacing w:line="240" w:lineRule="exact"/>
        <w:jc w:val="center"/>
        <w:rPr>
          <w:rFonts w:ascii="宋体" w:hAnsi="宋体" w:cs="宋体"/>
          <w:b/>
          <w:bCs/>
          <w:color w:val="000000"/>
          <w:szCs w:val="16"/>
        </w:rPr>
      </w:pPr>
    </w:p>
    <w:p w14:paraId="58C4488F">
      <w:pPr>
        <w:spacing w:line="360" w:lineRule="auto"/>
        <w:ind w:firstLine="420" w:firstLineChars="200"/>
        <w:rPr>
          <w:rFonts w:ascii="宋体" w:hAnsi="宋体" w:cs="宋体"/>
          <w:color w:val="000000"/>
          <w:szCs w:val="16"/>
        </w:rPr>
      </w:pPr>
      <w:r>
        <w:rPr>
          <w:rFonts w:hint="eastAsia" w:ascii="宋体" w:hAnsi="宋体" w:cs="宋体"/>
          <w:color w:val="000000"/>
          <w:szCs w:val="16"/>
        </w:rPr>
        <w:t>甲方：</w:t>
      </w:r>
      <w:r>
        <w:rPr>
          <w:rFonts w:hint="eastAsia" w:ascii="宋体" w:hAnsi="宋体" w:cs="宋体"/>
          <w:color w:val="000000"/>
          <w:szCs w:val="16"/>
          <w:u w:val="single"/>
        </w:rPr>
        <w:t xml:space="preserve">                                  </w:t>
      </w:r>
      <w:r>
        <w:rPr>
          <w:rFonts w:hint="eastAsia" w:ascii="宋体" w:hAnsi="宋体" w:cs="宋体"/>
          <w:color w:val="000000"/>
          <w:szCs w:val="16"/>
        </w:rPr>
        <w:t xml:space="preserve"> </w:t>
      </w:r>
    </w:p>
    <w:p w14:paraId="33CBD5C8">
      <w:pPr>
        <w:spacing w:line="360" w:lineRule="auto"/>
        <w:ind w:firstLine="420" w:firstLineChars="200"/>
        <w:rPr>
          <w:rFonts w:ascii="宋体" w:hAnsi="宋体" w:cs="宋体"/>
          <w:color w:val="000000"/>
          <w:szCs w:val="16"/>
        </w:rPr>
      </w:pPr>
      <w:r>
        <w:rPr>
          <w:rFonts w:hint="eastAsia" w:ascii="宋体" w:hAnsi="宋体" w:cs="宋体"/>
          <w:color w:val="000000"/>
          <w:szCs w:val="16"/>
        </w:rPr>
        <w:t>乙方：</w:t>
      </w:r>
      <w:r>
        <w:rPr>
          <w:rFonts w:hint="eastAsia" w:ascii="宋体" w:hAnsi="宋体" w:cs="宋体"/>
          <w:color w:val="000000"/>
          <w:szCs w:val="16"/>
          <w:u w:val="single"/>
        </w:rPr>
        <w:t xml:space="preserve">                                 </w:t>
      </w:r>
      <w:r>
        <w:rPr>
          <w:rFonts w:hint="eastAsia" w:ascii="宋体" w:hAnsi="宋体" w:cs="宋体"/>
          <w:color w:val="000000"/>
          <w:szCs w:val="16"/>
        </w:rPr>
        <w:t xml:space="preserve"> </w:t>
      </w:r>
    </w:p>
    <w:p w14:paraId="4663B88E">
      <w:pPr>
        <w:spacing w:line="360" w:lineRule="auto"/>
        <w:ind w:firstLine="420" w:firstLineChars="200"/>
        <w:rPr>
          <w:rFonts w:ascii="宋体" w:hAnsi="宋体" w:cs="宋体"/>
          <w:color w:val="000000"/>
          <w:szCs w:val="16"/>
        </w:rPr>
      </w:pPr>
      <w:r>
        <w:rPr>
          <w:rFonts w:hint="eastAsia" w:ascii="宋体" w:hAnsi="宋体" w:cs="宋体"/>
          <w:color w:val="000000"/>
          <w:szCs w:val="16"/>
        </w:rPr>
        <w:t>根据《中华人民共和国安全生产法》、《建设工程安全生产管理条例》等相关法规政策，甲乙双方就本项目签署安全生产、文明施工责任书，主要内容如下：</w:t>
      </w:r>
    </w:p>
    <w:p w14:paraId="3CBAEC40">
      <w:pPr>
        <w:spacing w:line="360" w:lineRule="auto"/>
        <w:ind w:firstLine="422" w:firstLineChars="200"/>
        <w:rPr>
          <w:rFonts w:ascii="宋体" w:hAnsi="宋体" w:cs="宋体"/>
          <w:b/>
          <w:bCs/>
          <w:color w:val="000000"/>
          <w:szCs w:val="16"/>
        </w:rPr>
      </w:pPr>
      <w:r>
        <w:rPr>
          <w:rFonts w:hint="eastAsia" w:ascii="宋体" w:hAnsi="宋体" w:cs="宋体"/>
          <w:b/>
          <w:bCs/>
          <w:color w:val="000000"/>
          <w:szCs w:val="16"/>
        </w:rPr>
        <w:t>一、甲方责任：</w:t>
      </w:r>
    </w:p>
    <w:p w14:paraId="4A2B6B0F">
      <w:pPr>
        <w:spacing w:line="360" w:lineRule="auto"/>
        <w:ind w:firstLine="420" w:firstLineChars="200"/>
        <w:rPr>
          <w:rFonts w:ascii="宋体" w:hAnsi="宋体" w:cs="宋体"/>
          <w:color w:val="000000"/>
          <w:szCs w:val="16"/>
        </w:rPr>
      </w:pPr>
      <w:r>
        <w:rPr>
          <w:rFonts w:hint="eastAsia" w:ascii="宋体" w:hAnsi="宋体" w:cs="宋体"/>
          <w:color w:val="000000"/>
          <w:szCs w:val="16"/>
        </w:rPr>
        <w:t>1、定期组织安全会议,随时组织安全检查和现场监督管理。</w:t>
      </w:r>
    </w:p>
    <w:p w14:paraId="718DBDF8">
      <w:pPr>
        <w:spacing w:line="360" w:lineRule="auto"/>
        <w:ind w:firstLine="420" w:firstLineChars="200"/>
        <w:rPr>
          <w:rFonts w:ascii="宋体" w:hAnsi="宋体" w:cs="宋体"/>
          <w:color w:val="000000"/>
          <w:szCs w:val="16"/>
        </w:rPr>
      </w:pPr>
      <w:r>
        <w:rPr>
          <w:rFonts w:hint="eastAsia" w:ascii="宋体" w:hAnsi="宋体" w:cs="宋体"/>
          <w:color w:val="000000"/>
          <w:szCs w:val="16"/>
        </w:rPr>
        <w:t>2、及时协调解决工程实施过程中各类管线的迁移和改造等问题。</w:t>
      </w:r>
    </w:p>
    <w:p w14:paraId="25448BC4">
      <w:pPr>
        <w:spacing w:line="360" w:lineRule="auto"/>
        <w:ind w:firstLine="420" w:firstLineChars="200"/>
        <w:rPr>
          <w:rFonts w:ascii="宋体" w:hAnsi="宋体" w:cs="宋体"/>
          <w:color w:val="000000"/>
          <w:szCs w:val="16"/>
        </w:rPr>
      </w:pPr>
      <w:r>
        <w:rPr>
          <w:rFonts w:hint="eastAsia" w:ascii="宋体" w:hAnsi="宋体" w:cs="宋体"/>
          <w:color w:val="000000"/>
          <w:szCs w:val="16"/>
        </w:rPr>
        <w:t>3、及时处理施工过程中妨碍安全生产和文明施工的问题。</w:t>
      </w:r>
    </w:p>
    <w:p w14:paraId="41D8D792">
      <w:pPr>
        <w:spacing w:line="360" w:lineRule="auto"/>
        <w:ind w:firstLine="420" w:firstLineChars="200"/>
        <w:rPr>
          <w:rFonts w:ascii="宋体" w:hAnsi="宋体" w:cs="宋体"/>
          <w:color w:val="000000"/>
          <w:szCs w:val="16"/>
        </w:rPr>
      </w:pPr>
      <w:r>
        <w:rPr>
          <w:rFonts w:hint="eastAsia" w:ascii="宋体" w:hAnsi="宋体" w:cs="宋体"/>
          <w:color w:val="000000"/>
          <w:szCs w:val="16"/>
        </w:rPr>
        <w:t>4、及时传达和通报相关职能部门关于安全生产工作的重要指示和要求，督促乙方安全施工工作的落实。</w:t>
      </w:r>
    </w:p>
    <w:p w14:paraId="5CF2BA80">
      <w:pPr>
        <w:spacing w:line="360" w:lineRule="auto"/>
        <w:ind w:firstLine="422" w:firstLineChars="200"/>
        <w:rPr>
          <w:rFonts w:ascii="宋体" w:hAnsi="宋体" w:cs="宋体"/>
          <w:b/>
          <w:color w:val="000000"/>
          <w:szCs w:val="16"/>
        </w:rPr>
      </w:pPr>
      <w:r>
        <w:rPr>
          <w:rFonts w:hint="eastAsia" w:ascii="宋体" w:hAnsi="宋体" w:cs="宋体"/>
          <w:b/>
          <w:color w:val="000000"/>
          <w:szCs w:val="16"/>
        </w:rPr>
        <w:t>二、乙方责任：</w:t>
      </w:r>
    </w:p>
    <w:p w14:paraId="3D405EB8">
      <w:pPr>
        <w:spacing w:line="360" w:lineRule="auto"/>
        <w:ind w:firstLine="420" w:firstLineChars="200"/>
        <w:rPr>
          <w:rFonts w:ascii="宋体" w:hAnsi="宋体" w:cs="宋体"/>
          <w:color w:val="000000"/>
          <w:szCs w:val="16"/>
        </w:rPr>
      </w:pPr>
      <w:r>
        <w:rPr>
          <w:rFonts w:hint="eastAsia" w:ascii="宋体" w:hAnsi="宋体" w:cs="宋体"/>
          <w:color w:val="000000"/>
          <w:szCs w:val="16"/>
        </w:rPr>
        <w:t>1、认真贯彻执行《中华人民共和国安全生产法》、《建设工程安全生产管理条例》等有关安全生产的法规政策。根据现场实际情况制订有效可行的安全与文明施工方案。及时处理施工过程中妨碍安全生产和文明施工的问题。</w:t>
      </w:r>
    </w:p>
    <w:p w14:paraId="0154D8A0">
      <w:pPr>
        <w:spacing w:line="360" w:lineRule="auto"/>
        <w:ind w:firstLine="420" w:firstLineChars="200"/>
        <w:rPr>
          <w:rFonts w:ascii="宋体" w:hAnsi="宋体" w:cs="宋体"/>
          <w:color w:val="000000"/>
          <w:szCs w:val="16"/>
        </w:rPr>
      </w:pPr>
      <w:r>
        <w:rPr>
          <w:rFonts w:hint="eastAsia" w:ascii="宋体" w:hAnsi="宋体" w:cs="宋体"/>
          <w:color w:val="000000"/>
          <w:szCs w:val="16"/>
        </w:rPr>
        <w:t>2、建立健全安全组织管理机构，制订严格的安全管理制度和安全生产预案。现场施工人员全面掌握安全文明施工的方法和要领，安全生产文明施工责任人全过程进驻现场。应当健全安全生产制度，建立由法定代表人为第一责任人的责任体系，完善紧急救援措施，保证安全施工，做到“组织有保证，任务有要求，工作有检查，预防有措施”。</w:t>
      </w:r>
    </w:p>
    <w:p w14:paraId="742C51AE">
      <w:pPr>
        <w:spacing w:line="360" w:lineRule="auto"/>
        <w:ind w:firstLine="420" w:firstLineChars="200"/>
        <w:rPr>
          <w:rFonts w:ascii="宋体" w:hAnsi="宋体" w:cs="宋体"/>
          <w:color w:val="000000"/>
          <w:szCs w:val="16"/>
        </w:rPr>
      </w:pPr>
      <w:r>
        <w:rPr>
          <w:rFonts w:hint="eastAsia" w:ascii="宋体" w:hAnsi="宋体" w:cs="宋体"/>
          <w:color w:val="000000"/>
          <w:szCs w:val="16"/>
        </w:rPr>
        <w:t>3、建立严格的对易燃、易爆等危险品管理制度和使用规范，配备充足的安全防护物品和器具。</w:t>
      </w:r>
    </w:p>
    <w:p w14:paraId="38AC7430">
      <w:pPr>
        <w:spacing w:line="360" w:lineRule="auto"/>
        <w:ind w:firstLine="420" w:firstLineChars="200"/>
        <w:rPr>
          <w:rFonts w:ascii="宋体" w:hAnsi="宋体" w:cs="宋体"/>
          <w:color w:val="000000"/>
          <w:szCs w:val="16"/>
        </w:rPr>
      </w:pPr>
      <w:r>
        <w:rPr>
          <w:rFonts w:hint="eastAsia" w:ascii="宋体" w:hAnsi="宋体" w:cs="宋体"/>
          <w:color w:val="000000"/>
          <w:szCs w:val="16"/>
        </w:rPr>
        <w:t>4、施工现场设置醒目的安全标志和文明施工标语，做好施工现场的安全防护和围挡工作。施工前，乙方向职工介绍施工中有关安全、防火等规章制度及要求，提高职工的安全思想意识和自我保护能力，督促职工自觉遵守安全纪律、制度法规。乙方必须检查、督促施工人员严格遵守、认真执行。</w:t>
      </w:r>
    </w:p>
    <w:p w14:paraId="24B150A3">
      <w:pPr>
        <w:spacing w:line="360" w:lineRule="auto"/>
        <w:ind w:firstLine="420" w:firstLineChars="200"/>
        <w:rPr>
          <w:rFonts w:ascii="宋体" w:hAnsi="宋体" w:cs="宋体"/>
          <w:color w:val="000000"/>
          <w:szCs w:val="16"/>
        </w:rPr>
      </w:pPr>
      <w:r>
        <w:rPr>
          <w:rFonts w:hint="eastAsia" w:ascii="宋体" w:hAnsi="宋体" w:cs="宋体"/>
          <w:color w:val="000000"/>
          <w:szCs w:val="16"/>
        </w:rPr>
        <w:t>5、机械设备、脚手架等设施，在搭设、安装完毕并按规定验收后方可使用，严禁在未检验或检验不合格情况下投入使用。</w:t>
      </w:r>
    </w:p>
    <w:p w14:paraId="58598691">
      <w:pPr>
        <w:spacing w:line="360" w:lineRule="auto"/>
        <w:ind w:firstLine="420" w:firstLineChars="200"/>
        <w:rPr>
          <w:rFonts w:ascii="宋体" w:hAnsi="宋体" w:cs="宋体"/>
          <w:color w:val="000000"/>
          <w:szCs w:val="16"/>
        </w:rPr>
      </w:pPr>
      <w:r>
        <w:rPr>
          <w:rFonts w:hint="eastAsia" w:ascii="宋体" w:hAnsi="宋体" w:cs="宋体"/>
          <w:color w:val="000000"/>
          <w:szCs w:val="16"/>
        </w:rPr>
        <w:t>6、特种作业必须执行《国家特种作业人员安全技术培训考核管理规定》，经省、市、区的特种作业人员安全技术培训考核后持证上岗，起重吊装作业必须遵守“十不吊”规定，严禁违章、无证操作，严禁不懂电气、机械设备的人，擅自操作使用电气、机械设备。</w:t>
      </w:r>
    </w:p>
    <w:p w14:paraId="61978024">
      <w:pPr>
        <w:spacing w:line="360" w:lineRule="auto"/>
        <w:ind w:firstLine="420" w:firstLineChars="200"/>
        <w:rPr>
          <w:rFonts w:ascii="宋体" w:hAnsi="宋体" w:cs="宋体"/>
          <w:color w:val="000000"/>
          <w:szCs w:val="16"/>
        </w:rPr>
      </w:pPr>
      <w:r>
        <w:rPr>
          <w:rFonts w:hint="eastAsia" w:ascii="宋体" w:hAnsi="宋体" w:cs="宋体"/>
          <w:color w:val="000000"/>
          <w:szCs w:val="16"/>
        </w:rPr>
        <w:t>7、必须严格执行各类防火、防爆制度和使用规范，易燃易爆场所严禁吸烟及动用明火，消防器材不得挪作他用。电焊、气焊割作业应按规定办理动火审批手续，严格遵守“十不烧”规定，严禁使用电炉。擅自乱拉电器线路造成后果均有肇事方负责。</w:t>
      </w:r>
    </w:p>
    <w:p w14:paraId="3FACE5AC">
      <w:pPr>
        <w:spacing w:line="360" w:lineRule="auto"/>
        <w:ind w:firstLine="420" w:firstLineChars="200"/>
        <w:rPr>
          <w:rFonts w:ascii="宋体" w:hAnsi="宋体" w:cs="宋体"/>
          <w:color w:val="000000"/>
          <w:szCs w:val="16"/>
        </w:rPr>
      </w:pPr>
      <w:r>
        <w:rPr>
          <w:rFonts w:hint="eastAsia" w:ascii="宋体" w:hAnsi="宋体" w:cs="宋体"/>
          <w:color w:val="000000"/>
          <w:szCs w:val="16"/>
        </w:rPr>
        <w:t>8、在施工中，应注意地下管线及高低压架空线路保护，甲方应详细交底，乙方应贯彻交底要求，如遇有情况，应及时和甲方联系，采取保护措施。</w:t>
      </w:r>
    </w:p>
    <w:p w14:paraId="3975847C">
      <w:pPr>
        <w:spacing w:line="360" w:lineRule="auto"/>
        <w:ind w:firstLine="420" w:firstLineChars="200"/>
        <w:rPr>
          <w:rFonts w:ascii="宋体" w:hAnsi="宋体" w:cs="宋体"/>
          <w:color w:val="000000"/>
          <w:szCs w:val="16"/>
        </w:rPr>
      </w:pPr>
      <w:r>
        <w:rPr>
          <w:rFonts w:hint="eastAsia" w:ascii="宋体" w:hAnsi="宋体" w:cs="宋体"/>
          <w:color w:val="000000"/>
          <w:szCs w:val="16"/>
        </w:rPr>
        <w:t>9、配备充足的安全防护物品和器具，监督施工人员自觉穿戴好安全防护用品。</w:t>
      </w:r>
    </w:p>
    <w:p w14:paraId="12C1502A">
      <w:pPr>
        <w:spacing w:line="360" w:lineRule="auto"/>
        <w:ind w:firstLine="420" w:firstLineChars="200"/>
        <w:rPr>
          <w:rFonts w:ascii="宋体" w:hAnsi="宋体" w:cs="宋体"/>
          <w:color w:val="000000"/>
          <w:szCs w:val="16"/>
        </w:rPr>
      </w:pPr>
      <w:r>
        <w:rPr>
          <w:rFonts w:hint="eastAsia" w:ascii="宋体" w:hAnsi="宋体" w:cs="宋体"/>
          <w:color w:val="000000"/>
          <w:szCs w:val="16"/>
        </w:rPr>
        <w:t xml:space="preserve">10、施工人员应当按规定佩戴安全帽、挂设保险绳，应有效的控制施工过程中的扬尘、噪声和震动，按有关规定运输建筑材料、处置建筑渣土和各种废物。 </w:t>
      </w:r>
    </w:p>
    <w:p w14:paraId="583F9484">
      <w:pPr>
        <w:spacing w:line="360" w:lineRule="auto"/>
        <w:ind w:firstLine="420" w:firstLineChars="200"/>
        <w:rPr>
          <w:rFonts w:ascii="宋体" w:hAnsi="宋体" w:cs="宋体"/>
          <w:color w:val="000000"/>
          <w:szCs w:val="16"/>
        </w:rPr>
      </w:pPr>
      <w:r>
        <w:rPr>
          <w:rFonts w:hint="eastAsia" w:ascii="宋体" w:hAnsi="宋体" w:cs="宋体"/>
          <w:color w:val="000000"/>
          <w:szCs w:val="16"/>
        </w:rPr>
        <w:t>11、在建筑物施工时不得有下列行为：抛撒废料；将有毒有害废物作土方回填；泥浆水未经处理直接排入城市排水设施或河道；无符合规定装置而在施工现场熔融沥青或者焚烧油毡、油漆以及其它产生有毒有害烟尘和气体的物质；其它应当禁止的行为。</w:t>
      </w:r>
    </w:p>
    <w:p w14:paraId="3C96949D">
      <w:pPr>
        <w:spacing w:line="360" w:lineRule="auto"/>
        <w:ind w:firstLine="420" w:firstLineChars="200"/>
        <w:rPr>
          <w:rFonts w:ascii="宋体" w:hAnsi="宋体" w:cs="宋体"/>
          <w:color w:val="000000"/>
          <w:szCs w:val="16"/>
        </w:rPr>
      </w:pPr>
      <w:r>
        <w:rPr>
          <w:rFonts w:hint="eastAsia" w:ascii="宋体" w:hAnsi="宋体" w:cs="宋体"/>
          <w:color w:val="000000"/>
          <w:szCs w:val="16"/>
        </w:rPr>
        <w:t xml:space="preserve">12、积极配合相关部门的监督、检查和指导，对存在的问题，要制定整改措施、经费保障、完工日期等整改计划，及时采取有效措施，消除安全隐患，按规定的时间上交安全检查整改情况书面材料，并向甲方报送整改情况。   </w:t>
      </w:r>
    </w:p>
    <w:p w14:paraId="72A54192">
      <w:pPr>
        <w:spacing w:line="360" w:lineRule="auto"/>
        <w:ind w:firstLine="420" w:firstLineChars="200"/>
        <w:rPr>
          <w:rFonts w:ascii="宋体" w:hAnsi="宋体" w:cs="宋体"/>
          <w:color w:val="000000"/>
          <w:szCs w:val="16"/>
        </w:rPr>
      </w:pPr>
      <w:r>
        <w:rPr>
          <w:rFonts w:hint="eastAsia" w:ascii="宋体" w:hAnsi="宋体" w:cs="宋体"/>
          <w:color w:val="000000"/>
          <w:szCs w:val="16"/>
        </w:rPr>
        <w:t>13、加强施工现场管理，完善各种安全防护设施，乙方承担施工过程中发生安全事故的全部责任和处罚。若发生安全事故，要立即组织力量进行救援，最大限度杜绝人员伤亡，及时上报事故情况，不得拖延或瞒报事故。安全事故发生后，要保护好现场，积极配合相关部门做好调查取证工作，按照责任及相关规定做好善后处理工作，消除安全隐患。</w:t>
      </w:r>
    </w:p>
    <w:p w14:paraId="45246541">
      <w:pPr>
        <w:spacing w:line="360" w:lineRule="auto"/>
        <w:ind w:firstLine="420" w:firstLineChars="200"/>
        <w:rPr>
          <w:rFonts w:ascii="宋体" w:hAnsi="宋体" w:cs="宋体"/>
          <w:color w:val="000000"/>
          <w:szCs w:val="16"/>
        </w:rPr>
      </w:pPr>
      <w:r>
        <w:rPr>
          <w:rFonts w:hint="eastAsia" w:ascii="宋体" w:hAnsi="宋体" w:cs="宋体"/>
          <w:color w:val="000000"/>
          <w:szCs w:val="16"/>
        </w:rPr>
        <w:t>14、乙方应组织做好拆除前所有移交房屋及现场安全看护工作，若因看护不力导致的安全事故等由乙方承担全部责任。同时，乙方应组织开展拆迁区域的安全巡查工作，对发现的安全隐患应及时向甲方报告以采取解决措施。</w:t>
      </w:r>
    </w:p>
    <w:p w14:paraId="7BDF22FB">
      <w:pPr>
        <w:spacing w:line="360" w:lineRule="auto"/>
        <w:ind w:firstLine="420" w:firstLineChars="200"/>
        <w:rPr>
          <w:rFonts w:ascii="宋体" w:hAnsi="宋体" w:cs="宋体"/>
          <w:color w:val="000000"/>
          <w:szCs w:val="16"/>
        </w:rPr>
      </w:pPr>
      <w:r>
        <w:rPr>
          <w:rFonts w:hint="eastAsia" w:ascii="宋体" w:hAnsi="宋体" w:cs="宋体"/>
          <w:color w:val="000000"/>
          <w:szCs w:val="16"/>
        </w:rPr>
        <w:t>15、承担施工过程中发生安全事故的全部责任和处罚。</w:t>
      </w:r>
    </w:p>
    <w:p w14:paraId="6FD969FC">
      <w:pPr>
        <w:spacing w:line="360" w:lineRule="auto"/>
        <w:ind w:firstLine="420" w:firstLineChars="200"/>
        <w:rPr>
          <w:rFonts w:ascii="宋体" w:hAnsi="宋体" w:cs="宋体"/>
          <w:color w:val="000000"/>
          <w:szCs w:val="16"/>
        </w:rPr>
      </w:pPr>
      <w:r>
        <w:rPr>
          <w:rFonts w:hint="eastAsia" w:ascii="宋体" w:hAnsi="宋体" w:cs="宋体"/>
          <w:color w:val="000000"/>
          <w:szCs w:val="16"/>
        </w:rPr>
        <w:t>16、未注明事项，必须符合招标文件及国家相关法律、法规以及各级建设行政主管部门的相关要求。</w:t>
      </w:r>
    </w:p>
    <w:p w14:paraId="0FC7C7AB">
      <w:pPr>
        <w:spacing w:line="360" w:lineRule="auto"/>
        <w:ind w:firstLine="420" w:firstLineChars="200"/>
        <w:rPr>
          <w:rFonts w:ascii="宋体" w:hAnsi="宋体" w:cs="宋体"/>
          <w:b/>
          <w:bCs/>
          <w:color w:val="000000"/>
          <w:szCs w:val="16"/>
        </w:rPr>
      </w:pPr>
      <w:r>
        <w:rPr>
          <w:rFonts w:hint="eastAsia" w:ascii="宋体" w:hAnsi="宋体" w:cs="宋体"/>
          <w:color w:val="000000"/>
          <w:szCs w:val="16"/>
        </w:rPr>
        <w:t>三、本责任书一式陆份，甲方执肆份、乙方执贰份，双方签字盖章后生效，工作完成后自动失效。</w:t>
      </w:r>
    </w:p>
    <w:p w14:paraId="620B31D3">
      <w:pPr>
        <w:tabs>
          <w:tab w:val="left" w:pos="180"/>
        </w:tabs>
        <w:spacing w:line="360" w:lineRule="auto"/>
        <w:ind w:left="-395" w:leftChars="-188" w:right="-773" w:rightChars="-368" w:firstLine="472" w:firstLineChars="225"/>
        <w:rPr>
          <w:rFonts w:ascii="宋体" w:hAnsi="宋体" w:cs="宋体"/>
          <w:color w:val="000000"/>
          <w:szCs w:val="16"/>
        </w:rPr>
      </w:pPr>
      <w:r>
        <w:rPr>
          <w:rFonts w:hint="eastAsia" w:ascii="宋体" w:hAnsi="宋体" w:cs="宋体"/>
          <w:color w:val="000000"/>
          <w:szCs w:val="16"/>
        </w:rPr>
        <w:t xml:space="preserve">甲方责任人：(签字)   公章      </w:t>
      </w:r>
    </w:p>
    <w:p w14:paraId="57242F16">
      <w:pPr>
        <w:tabs>
          <w:tab w:val="left" w:pos="180"/>
        </w:tabs>
        <w:spacing w:line="360" w:lineRule="auto"/>
        <w:ind w:left="-395" w:leftChars="-188" w:right="-773" w:rightChars="-368" w:firstLine="472" w:firstLineChars="225"/>
        <w:rPr>
          <w:rFonts w:ascii="宋体" w:hAnsi="宋体" w:cs="宋体"/>
          <w:color w:val="000000"/>
          <w:szCs w:val="16"/>
        </w:rPr>
      </w:pPr>
      <w:r>
        <w:rPr>
          <w:rFonts w:hint="eastAsia" w:ascii="宋体" w:hAnsi="宋体" w:cs="宋体"/>
          <w:color w:val="000000"/>
          <w:szCs w:val="16"/>
        </w:rPr>
        <w:t>乙方责任人：(签字)    公章</w:t>
      </w:r>
    </w:p>
    <w:p w14:paraId="06C4F763">
      <w:pPr>
        <w:rPr>
          <w:sz w:val="18"/>
          <w:szCs w:val="16"/>
        </w:rPr>
      </w:pPr>
      <w:r>
        <w:rPr>
          <w:rFonts w:hint="eastAsia" w:ascii="宋体" w:hAnsi="宋体" w:cs="宋体"/>
          <w:color w:val="000000"/>
          <w:szCs w:val="16"/>
        </w:rPr>
        <w:t>年   月   日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3200DB"/>
    <w:multiLevelType w:val="singleLevel"/>
    <w:tmpl w:val="133200D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Y4NzNiZDZjYjU3M2IyNzhmZDFmMDM0MjQ0Zjk5YWMifQ=="/>
  </w:docVars>
  <w:rsids>
    <w:rsidRoot w:val="000C0EB4"/>
    <w:rsid w:val="000C0EB4"/>
    <w:rsid w:val="000F6C45"/>
    <w:rsid w:val="001C3084"/>
    <w:rsid w:val="00252669"/>
    <w:rsid w:val="00290E06"/>
    <w:rsid w:val="002B4D28"/>
    <w:rsid w:val="003B4C23"/>
    <w:rsid w:val="00411046"/>
    <w:rsid w:val="0048778A"/>
    <w:rsid w:val="004F60AA"/>
    <w:rsid w:val="005A0B0D"/>
    <w:rsid w:val="007023EA"/>
    <w:rsid w:val="00774FA4"/>
    <w:rsid w:val="0080741C"/>
    <w:rsid w:val="0082169B"/>
    <w:rsid w:val="008A2A22"/>
    <w:rsid w:val="00951B1E"/>
    <w:rsid w:val="00970B8F"/>
    <w:rsid w:val="00C347C0"/>
    <w:rsid w:val="00D45DBF"/>
    <w:rsid w:val="00ED0DCE"/>
    <w:rsid w:val="2CC00DA0"/>
    <w:rsid w:val="2D1819D8"/>
    <w:rsid w:val="38C1084B"/>
    <w:rsid w:val="69697F7A"/>
    <w:rsid w:val="6F1A7B18"/>
    <w:rsid w:val="7381781E"/>
    <w:rsid w:val="7BE93A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0"/>
    <w:semiHidden/>
    <w:unhideWhenUsed/>
    <w:qFormat/>
    <w:uiPriority w:val="99"/>
    <w:pPr>
      <w:jc w:val="left"/>
    </w:pPr>
  </w:style>
  <w:style w:type="paragraph" w:styleId="3">
    <w:name w:val="footer"/>
    <w:basedOn w:val="1"/>
    <w:link w:val="14"/>
    <w:autoRedefine/>
    <w:unhideWhenUsed/>
    <w:qFormat/>
    <w:uiPriority w:val="99"/>
    <w:pPr>
      <w:tabs>
        <w:tab w:val="center" w:pos="4153"/>
        <w:tab w:val="right" w:pos="8306"/>
      </w:tabs>
      <w:snapToGrid w:val="0"/>
      <w:jc w:val="left"/>
    </w:pPr>
    <w:rPr>
      <w:sz w:val="18"/>
      <w:szCs w:val="18"/>
    </w:rPr>
  </w:style>
  <w:style w:type="paragraph" w:styleId="4">
    <w:name w:val="header"/>
    <w:basedOn w:val="1"/>
    <w:link w:val="13"/>
    <w:autoRedefine/>
    <w:unhideWhenUsed/>
    <w:qFormat/>
    <w:uiPriority w:val="99"/>
    <w:pPr>
      <w:tabs>
        <w:tab w:val="center" w:pos="4153"/>
        <w:tab w:val="right" w:pos="8306"/>
      </w:tabs>
      <w:snapToGrid w:val="0"/>
      <w:jc w:val="center"/>
    </w:pPr>
    <w:rPr>
      <w:sz w:val="18"/>
      <w:szCs w:val="18"/>
    </w:rPr>
  </w:style>
  <w:style w:type="paragraph" w:styleId="5">
    <w:name w:val="annotation subject"/>
    <w:basedOn w:val="2"/>
    <w:next w:val="2"/>
    <w:link w:val="11"/>
    <w:autoRedefine/>
    <w:semiHidden/>
    <w:unhideWhenUsed/>
    <w:qFormat/>
    <w:uiPriority w:val="99"/>
    <w:rPr>
      <w:b/>
      <w:bCs/>
    </w:rPr>
  </w:style>
  <w:style w:type="character" w:styleId="8">
    <w:name w:val="annotation reference"/>
    <w:basedOn w:val="7"/>
    <w:semiHidden/>
    <w:unhideWhenUsed/>
    <w:uiPriority w:val="99"/>
    <w:rPr>
      <w:sz w:val="21"/>
      <w:szCs w:val="21"/>
    </w:rPr>
  </w:style>
  <w:style w:type="paragraph" w:customStyle="1" w:styleId="9">
    <w:name w:val="列表段落1"/>
    <w:basedOn w:val="1"/>
    <w:qFormat/>
    <w:uiPriority w:val="99"/>
    <w:pPr>
      <w:ind w:firstLine="420" w:firstLineChars="200"/>
    </w:pPr>
    <w:rPr>
      <w:rFonts w:ascii="Calibri" w:hAnsi="Calibri"/>
      <w:szCs w:val="22"/>
    </w:rPr>
  </w:style>
  <w:style w:type="character" w:customStyle="1" w:styleId="10">
    <w:name w:val="批注文字 字符"/>
    <w:basedOn w:val="7"/>
    <w:link w:val="2"/>
    <w:autoRedefine/>
    <w:semiHidden/>
    <w:qFormat/>
    <w:uiPriority w:val="99"/>
    <w:rPr>
      <w:rFonts w:ascii="Times New Roman" w:hAnsi="Times New Roman" w:eastAsia="宋体" w:cs="Times New Roman"/>
      <w:kern w:val="2"/>
      <w:sz w:val="21"/>
    </w:rPr>
  </w:style>
  <w:style w:type="character" w:customStyle="1" w:styleId="11">
    <w:name w:val="批注主题 字符"/>
    <w:basedOn w:val="10"/>
    <w:link w:val="5"/>
    <w:autoRedefine/>
    <w:semiHidden/>
    <w:qFormat/>
    <w:uiPriority w:val="99"/>
    <w:rPr>
      <w:rFonts w:ascii="Times New Roman" w:hAnsi="Times New Roman" w:eastAsia="宋体" w:cs="Times New Roman"/>
      <w:b/>
      <w:bCs/>
      <w:kern w:val="2"/>
      <w:sz w:val="21"/>
    </w:rPr>
  </w:style>
  <w:style w:type="paragraph" w:customStyle="1" w:styleId="12">
    <w:name w:val="修订1"/>
    <w:autoRedefine/>
    <w:hidden/>
    <w:unhideWhenUsed/>
    <w:qFormat/>
    <w:uiPriority w:val="99"/>
    <w:rPr>
      <w:rFonts w:ascii="Times New Roman" w:hAnsi="Times New Roman" w:eastAsia="宋体" w:cs="Times New Roman"/>
      <w:kern w:val="2"/>
      <w:sz w:val="21"/>
      <w:lang w:val="en-US" w:eastAsia="zh-CN" w:bidi="ar-SA"/>
    </w:rPr>
  </w:style>
  <w:style w:type="character" w:customStyle="1" w:styleId="13">
    <w:name w:val="页眉 字符"/>
    <w:basedOn w:val="7"/>
    <w:link w:val="4"/>
    <w:autoRedefine/>
    <w:qFormat/>
    <w:uiPriority w:val="99"/>
    <w:rPr>
      <w:rFonts w:ascii="Times New Roman" w:hAnsi="Times New Roman" w:eastAsia="宋体" w:cs="Times New Roman"/>
      <w:kern w:val="2"/>
      <w:sz w:val="18"/>
      <w:szCs w:val="18"/>
    </w:rPr>
  </w:style>
  <w:style w:type="character" w:customStyle="1" w:styleId="14">
    <w:name w:val="页脚 字符"/>
    <w:basedOn w:val="7"/>
    <w:link w:val="3"/>
    <w:autoRedefine/>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3627</Words>
  <Characters>3747</Characters>
  <Lines>30</Lines>
  <Paragraphs>8</Paragraphs>
  <TotalTime>1</TotalTime>
  <ScaleCrop>false</ScaleCrop>
  <LinksUpToDate>false</LinksUpToDate>
  <CharactersWithSpaces>4101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2024-05-09T02:27:00Z</dcterms:created>
  <dc:creator>葛元庆</dc:creator>
  <cp:lastModifiedBy>张启东</cp:lastModifiedBy>
  <dcterms:modified xsi:type="dcterms:W3CDTF">2024-09-25T14:00:40Z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09A230772C7343B880A1250861A99FC7_13</vt:lpwstr>
  </property>
</Properties>
</file>