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版本号：240925001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高新区GX3-21-8宗地配合文勘工程</w:t>
      </w:r>
    </w:p>
    <w:p>
      <w:pPr>
        <w:pStyle w:val="null3"/>
        <w:jc w:val="center"/>
        <w:outlineLvl w:val="2"/>
      </w:pPr>
      <w:r>
        <w:rPr>
          <w:sz w:val="28"/>
          <w:b/>
        </w:rPr>
        <w:t>采购项目编号：</w:t>
      </w:r>
      <w:r>
        <w:rPr>
          <w:sz w:val="28"/>
          <w:b/>
        </w:rPr>
        <w:t>LZBD2024-1265</w:t>
      </w:r>
      <w:r>
        <w:br/>
      </w:r>
      <w:r>
        <w:br/>
      </w:r>
      <w:r>
        <w:br/>
      </w:r>
    </w:p>
    <w:p>
      <w:pPr>
        <w:pStyle w:val="null3"/>
        <w:jc w:val="center"/>
        <w:outlineLvl w:val="2"/>
      </w:pPr>
      <w:r>
        <w:rPr>
          <w:sz w:val="28"/>
          <w:b/>
        </w:rPr>
        <w:t>西安市雁塔区鱼化街道办事处</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2024年09月27日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龙寰项目管理咨询有限公司</w:t>
      </w:r>
      <w:r>
        <w:rPr/>
        <w:t>（以下简称“代理机构”）受</w:t>
      </w:r>
      <w:r>
        <w:rPr/>
        <w:t>西安市雁塔区鱼化街道办事处</w:t>
      </w:r>
      <w:r>
        <w:rPr/>
        <w:t>委托，拟对</w:t>
      </w:r>
      <w:r>
        <w:rPr/>
        <w:t>高新区GX3-21-8宗地配合文勘工程</w:t>
      </w:r>
      <w:r>
        <w:rPr/>
        <w:t>采用竞争性磋商采购方式进行采购，兹邀请供应商参加本项目的竞争性磋商。</w:t>
      </w:r>
    </w:p>
    <w:p>
      <w:pPr>
        <w:pStyle w:val="null3"/>
        <w:outlineLvl w:val="2"/>
      </w:pPr>
      <w:r>
        <w:rPr>
          <w:sz w:val="28"/>
          <w:b/>
        </w:rPr>
        <w:t>一、采购项目编号：</w:t>
      </w:r>
      <w:r>
        <w:rPr>
          <w:sz w:val="28"/>
          <w:b/>
        </w:rPr>
        <w:t>LZBD2024-1265</w:t>
      </w:r>
    </w:p>
    <w:p>
      <w:pPr>
        <w:pStyle w:val="null3"/>
        <w:outlineLvl w:val="2"/>
      </w:pPr>
      <w:r>
        <w:rPr>
          <w:sz w:val="28"/>
          <w:b/>
        </w:rPr>
        <w:t>二、采购项目名称：</w:t>
      </w:r>
      <w:r>
        <w:rPr>
          <w:sz w:val="28"/>
          <w:b/>
        </w:rPr>
        <w:t>高新区GX3-21-8宗地配合文勘工程</w:t>
      </w:r>
    </w:p>
    <w:p>
      <w:pPr>
        <w:pStyle w:val="null3"/>
        <w:outlineLvl w:val="2"/>
      </w:pPr>
      <w:r>
        <w:rPr>
          <w:sz w:val="28"/>
          <w:b/>
        </w:rPr>
        <w:t>三、磋商项目简介</w:t>
      </w:r>
    </w:p>
    <w:p>
      <w:pPr>
        <w:pStyle w:val="null3"/>
        <w:ind w:firstLine="480"/>
      </w:pPr>
      <w:r>
        <w:rPr/>
        <w:t>拟定采用挖掘机配合推土机、渣土车对场内影响文勘作业的渣土(垃圾)进行开挖清理，使场地达到文勘要求，完成文勘工作后，土方回填；包含不限于绿网覆盖、治污减霾等措施要求.</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采购包1（高新区GX3-21-8宗地配合文勘工程）：属于专门面向中小企业采购。</w:t>
      </w:r>
    </w:p>
    <w:p>
      <w:pPr>
        <w:pStyle w:val="null3"/>
        <w:ind w:firstLine="480"/>
      </w:pPr>
      <w:r>
        <w:rPr/>
        <w:t>（三）本项目的特定资格要求：</w:t>
      </w:r>
    </w:p>
    <w:p>
      <w:pPr>
        <w:pStyle w:val="null3"/>
      </w:pPr>
      <w:r>
        <w:rPr/>
        <w:t>采购包1：</w:t>
      </w:r>
    </w:p>
    <w:p>
      <w:pPr>
        <w:pStyle w:val="null3"/>
      </w:pPr>
      <w:r>
        <w:rPr/>
        <w:t>1、供应商应是独立承担民事责任能力的法人、其他组织或自然人：供应商应是独立承担民事责任能力的法人、其他组织或自然人，法人、其他组织须提供合法有效的营业执照（或事业单位法人证书）等证明资料，自然人须提供身份证明。供应商需在项目电子化交易系统中按要求上传相应证明文件并进行电子签章。</w:t>
      </w:r>
    </w:p>
    <w:p>
      <w:pPr>
        <w:pStyle w:val="null3"/>
      </w:pPr>
      <w:r>
        <w:rPr/>
        <w:t>2、项目负责人（项目经理）：拟派本工程项目经理具有建筑工程专业贰级及以上注册建造师资格，具有合格有效的安全生产考核合格证（B证），在本单位注册，且无在建工程。供应商需在项目电子化交易系统中按要求上传相应证明文件并进行电子签章。</w:t>
      </w:r>
    </w:p>
    <w:p>
      <w:pPr>
        <w:pStyle w:val="null3"/>
      </w:pPr>
      <w:r>
        <w:rPr/>
        <w:t>3、供应商资质证书：供应商须具备建筑工程施工总承包叁级及以上资质，具有合格有效的安全生产许可证；供应商需在项目电子化交易系统中按要求上传相应证明文件并进行电子签章。</w:t>
      </w:r>
    </w:p>
    <w:p>
      <w:pPr>
        <w:pStyle w:val="null3"/>
      </w:pPr>
      <w:r>
        <w:rPr/>
        <w:t>4、本项目专门面向中小企业采购：本项目专门面向中小企业采购（残疾人福利性单位、监狱企业视同小型、微型企业），供应商需提供《中小企业声明函》（监狱企业的证明文件或《残疾人福利性单位声明函》），供应商需在项目电子化交易系统中按要求上传相应证明文件并进行电子签章。</w:t>
      </w:r>
    </w:p>
    <w:p>
      <w:pPr>
        <w:pStyle w:val="null3"/>
      </w:pPr>
      <w:r>
        <w:rPr/>
        <w:t>5、信用记录：信用记录：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西安市雁塔区鱼化街道办事处</w:t>
      </w:r>
    </w:p>
    <w:p>
      <w:pPr>
        <w:pStyle w:val="null3"/>
      </w:pPr>
      <w:r>
        <w:rPr/>
        <w:t xml:space="preserve"> 地址： </w:t>
      </w:r>
      <w:r>
        <w:rPr/>
        <w:t>西安市天谷六路软件公寓</w:t>
      </w:r>
    </w:p>
    <w:p>
      <w:pPr>
        <w:pStyle w:val="null3"/>
      </w:pPr>
      <w:r>
        <w:rPr/>
        <w:t xml:space="preserve"> 邮编： </w:t>
      </w:r>
      <w:r>
        <w:rPr/>
        <w:t>710000</w:t>
      </w:r>
    </w:p>
    <w:p>
      <w:pPr>
        <w:pStyle w:val="null3"/>
      </w:pPr>
      <w:r>
        <w:rPr/>
        <w:t xml:space="preserve"> 联系人： </w:t>
      </w:r>
      <w:r>
        <w:rPr/>
        <w:t>西安市雁塔区鱼化寨街道办事处经办</w:t>
      </w:r>
    </w:p>
    <w:p>
      <w:pPr>
        <w:pStyle w:val="null3"/>
      </w:pPr>
      <w:r>
        <w:rPr/>
        <w:t xml:space="preserve"> 联系电话： </w:t>
      </w:r>
      <w:r>
        <w:rPr/>
        <w:t xml:space="preserve"> 029-88511174</w:t>
      </w:r>
    </w:p>
    <w:p>
      <w:pPr>
        <w:pStyle w:val="null3"/>
        <w:outlineLvl w:val="3"/>
      </w:pPr>
      <w:r>
        <w:rPr>
          <w:sz w:val="24"/>
          <w:b/>
        </w:rPr>
        <w:t>代理机构：</w:t>
      </w:r>
      <w:r>
        <w:rPr>
          <w:sz w:val="24"/>
          <w:b/>
        </w:rPr>
        <w:t>龙寰项目管理咨询有限公司</w:t>
      </w:r>
    </w:p>
    <w:p>
      <w:pPr>
        <w:pStyle w:val="null3"/>
      </w:pPr>
      <w:r>
        <w:rPr/>
        <w:t xml:space="preserve"> 地址： </w:t>
      </w:r>
      <w:r>
        <w:rPr/>
        <w:t>陕西省西安市市本级陕西省西安市高新区太白南路181号A座</w:t>
      </w:r>
    </w:p>
    <w:p>
      <w:pPr>
        <w:pStyle w:val="null3"/>
      </w:pPr>
      <w:r>
        <w:rPr/>
        <w:t xml:space="preserve"> 邮编： </w:t>
      </w:r>
      <w:r>
        <w:rPr/>
        <w:t>710065</w:t>
      </w:r>
    </w:p>
    <w:p>
      <w:pPr>
        <w:pStyle w:val="null3"/>
      </w:pPr>
      <w:r>
        <w:rPr/>
        <w:t xml:space="preserve"> 联系人： </w:t>
      </w:r>
      <w:r>
        <w:rPr/>
        <w:t>葛元庆、王建朋、徐小宁</w:t>
      </w:r>
    </w:p>
    <w:p>
      <w:pPr>
        <w:pStyle w:val="null3"/>
      </w:pPr>
      <w:r>
        <w:rPr/>
        <w:t xml:space="preserve"> 联系电话： </w:t>
      </w:r>
      <w:r>
        <w:rPr/>
        <w:t>029-88228899-648</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丁丽</w:t>
      </w:r>
    </w:p>
    <w:p>
      <w:pPr>
        <w:pStyle w:val="null3"/>
        <w:ind w:firstLine="480"/>
      </w:pPr>
      <w:r>
        <w:rPr/>
        <w:t>联系电话：</w:t>
      </w:r>
      <w:r>
        <w:rPr/>
        <w:t>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采购包1：1,051,550.00元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如有</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如有</w:t>
            </w:r>
            <w:r>
              <w:rPr/>
              <w:t>产品属于节能产品政府采购品目清单中应优先采购的产品范围，本项目采购</w:t>
            </w:r>
            <w:r>
              <w:rPr/>
              <w:t>如有</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代理服务费收费标准：参考国家计委印发的《招标代理服务收费管理暂行办法的通知》（计价格[2002]1980号）计费标准收取。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西安市雁塔区鱼化街道办事处</w:t>
      </w:r>
      <w:r>
        <w:rPr/>
        <w:t>和</w:t>
      </w:r>
      <w:r>
        <w:rPr/>
        <w:t>龙寰项目管理咨询有限公司</w:t>
      </w:r>
      <w:r>
        <w:rPr/>
        <w:t>享有。对磋商文件中供应商参加本次政府采购活动应当具备的条件，磋商项目技术、服务、商务及其他要求，评审细则及标准由</w:t>
      </w:r>
      <w:r>
        <w:rPr/>
        <w:t>西安市雁塔区鱼化街道办事处</w:t>
      </w:r>
      <w:r>
        <w:rPr/>
        <w:t>负责解释。除上述磋商文件内容，其他内容由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西安市雁塔区鱼化街道办事处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龙寰项目管理咨询有限公司</w:t>
      </w:r>
      <w:r>
        <w:rPr/>
        <w:t xml:space="preserve"> 负责答复；供应商对采购过程的询问、质疑由</w:t>
      </w:r>
      <w:r>
        <w:rPr/>
        <w:t>龙寰项目管理咨询有限公司</w:t>
      </w:r>
      <w:r>
        <w:rPr/>
        <w:t xml:space="preserve"> 负责答复；供应商对采购结果的询问、质疑由 </w:t>
      </w:r>
      <w:r>
        <w:rPr/>
        <w:t>龙寰项目管理咨询有限公司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联系人：葛元庆、王建朋、徐小宁</w:t>
      </w:r>
    </w:p>
    <w:p>
      <w:pPr>
        <w:pStyle w:val="null3"/>
      </w:pPr>
      <w:r>
        <w:rPr/>
        <w:t>联系电话：029-88228899-648</w:t>
      </w:r>
    </w:p>
    <w:p>
      <w:pPr>
        <w:pStyle w:val="null3"/>
      </w:pPr>
      <w:r>
        <w:rPr/>
        <w:t>地址：陕西省西安市高新区太白南路181号A座A区</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1,051,550.00</w:t>
      </w:r>
    </w:p>
    <w:p>
      <w:pPr>
        <w:pStyle w:val="null3"/>
      </w:pPr>
      <w:r>
        <w:rPr/>
        <w:t>采购包最高限价（元）: 1,051,550.00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高新区GX3-21-8宗地配合文勘工程</w:t>
            </w:r>
          </w:p>
        </w:tc>
        <w:tc>
          <w:tcPr>
            <w:tcW w:type="dxa" w:w="1384"/>
          </w:tcPr>
          <w:p>
            <w:pPr>
              <w:pStyle w:val="null3"/>
              <w:jc w:val="right"/>
            </w:pPr>
            <w:r>
              <w:rPr/>
              <w:t>1.00</w:t>
            </w:r>
          </w:p>
        </w:tc>
        <w:tc>
          <w:tcPr>
            <w:tcW w:type="dxa" w:w="1384"/>
          </w:tcPr>
          <w:p>
            <w:pPr>
              <w:pStyle w:val="null3"/>
              <w:jc w:val="right"/>
            </w:pPr>
            <w:r>
              <w:rPr/>
              <w:t>1,051,550.00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标的名称：高新区GX3-21-8宗地配合文勘工程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黑体" w:hAnsi="黑体" w:cs="黑体" w:eastAsia="黑体"/>
                <w:sz w:val="24"/>
              </w:rPr>
              <w:t>西安高新区GX3-21-8宗地配合文勘工作</w:t>
            </w:r>
          </w:p>
          <w:p>
            <w:pPr>
              <w:pStyle w:val="null3"/>
              <w:jc w:val="center"/>
            </w:pPr>
            <w:r>
              <w:rPr>
                <w:rFonts w:ascii="黑体" w:hAnsi="黑体" w:cs="黑体" w:eastAsia="黑体"/>
                <w:sz w:val="24"/>
              </w:rPr>
              <w:t>施工技术要求</w:t>
            </w:r>
          </w:p>
          <w:p>
            <w:pPr>
              <w:pStyle w:val="null3"/>
              <w:ind w:firstLine="420"/>
              <w:jc w:val="both"/>
            </w:pPr>
            <w:r>
              <w:rPr>
                <w:rFonts w:ascii="宋体" w:hAnsi="宋体" w:cs="宋体" w:eastAsia="宋体"/>
                <w:sz w:val="21"/>
              </w:rPr>
              <w:t>为了加强西安高新区周宋村</w:t>
            </w:r>
            <w:r>
              <w:rPr>
                <w:rFonts w:ascii="calibri, sans-serif" w:hAnsi="calibri, sans-serif" w:cs="calibri, sans-serif" w:eastAsia="calibri, sans-serif"/>
                <w:sz w:val="21"/>
              </w:rPr>
              <w:t>GX3-21-8</w:t>
            </w:r>
            <w:r>
              <w:rPr>
                <w:rFonts w:ascii="宋体" w:hAnsi="宋体" w:cs="宋体" w:eastAsia="宋体"/>
                <w:sz w:val="21"/>
              </w:rPr>
              <w:t>宗地配合文勘工作</w:t>
            </w:r>
            <w:r>
              <w:rPr>
                <w:rFonts w:ascii="宋体" w:hAnsi="宋体" w:cs="宋体" w:eastAsia="宋体"/>
                <w:sz w:val="21"/>
              </w:rPr>
              <w:t>施工的管理，使本项目施工能够安全有序、文明环保、顺利地按要求高质量的完成，特制定本要求：</w:t>
            </w:r>
          </w:p>
          <w:p>
            <w:pPr>
              <w:pStyle w:val="null3"/>
            </w:pPr>
            <w:r>
              <w:rPr>
                <w:rFonts w:ascii="宋体" w:hAnsi="宋体" w:cs="宋体" w:eastAsia="宋体"/>
              </w:rPr>
              <w:t>一、工程概况：</w:t>
            </w:r>
          </w:p>
          <w:p>
            <w:pPr>
              <w:pStyle w:val="null3"/>
              <w:ind w:left="1605"/>
              <w:jc w:val="left"/>
            </w:pPr>
            <w:r>
              <w:rPr>
                <w:rFonts w:ascii="宋体" w:hAnsi="宋体" w:cs="宋体" w:eastAsia="宋体"/>
                <w:sz w:val="21"/>
              </w:rPr>
              <w:t>工程名称：西安高新区GX3-21-8宗地配合文勘工作；</w:t>
            </w:r>
          </w:p>
          <w:p>
            <w:pPr>
              <w:pStyle w:val="null3"/>
              <w:ind w:left="1650"/>
              <w:jc w:val="both"/>
            </w:pPr>
            <w:r>
              <w:rPr>
                <w:rFonts w:ascii="宋体" w:hAnsi="宋体" w:cs="宋体" w:eastAsia="宋体"/>
                <w:sz w:val="21"/>
              </w:rPr>
              <w:t>工程地点：西安市高新区天谷七路以南，云水六路以西；</w:t>
            </w:r>
          </w:p>
          <w:p>
            <w:pPr>
              <w:pStyle w:val="null3"/>
              <w:ind w:left="1650"/>
              <w:jc w:val="both"/>
            </w:pPr>
            <w:r>
              <w:rPr>
                <w:rFonts w:ascii="宋体" w:hAnsi="宋体" w:cs="宋体" w:eastAsia="宋体"/>
                <w:sz w:val="21"/>
              </w:rPr>
              <w:t>工程范围及内容：西安高新区GX3-21-8宗地（位于西安市高新区天谷七路以南，云水六路以西）范围内土方垃圾内倒；</w:t>
            </w:r>
          </w:p>
          <w:p>
            <w:pPr>
              <w:pStyle w:val="null3"/>
              <w:ind w:left="720"/>
            </w:pPr>
            <w:r>
              <w:rPr>
                <w:rFonts w:ascii="宋体" w:hAnsi="宋体" w:cs="宋体" w:eastAsia="宋体"/>
              </w:rPr>
              <w:t>工程规模：垃圾内倒回填方量：36059.4立方米；内倒运距：2公里内</w:t>
            </w:r>
          </w:p>
          <w:p>
            <w:pPr>
              <w:pStyle w:val="null3"/>
            </w:pPr>
            <w:r>
              <w:rPr>
                <w:rFonts w:ascii="宋体" w:hAnsi="宋体" w:cs="宋体" w:eastAsia="宋体"/>
              </w:rPr>
              <w:t>二、技术要求</w:t>
            </w:r>
          </w:p>
          <w:p>
            <w:pPr>
              <w:pStyle w:val="null3"/>
              <w:ind w:firstLine="420"/>
              <w:jc w:val="both"/>
            </w:pPr>
            <w:r>
              <w:rPr>
                <w:rFonts w:ascii="宋体" w:hAnsi="宋体" w:cs="宋体" w:eastAsia="宋体"/>
                <w:sz w:val="21"/>
              </w:rPr>
              <w:t>（一）施工准备要求</w:t>
            </w:r>
          </w:p>
          <w:p>
            <w:pPr>
              <w:pStyle w:val="null3"/>
              <w:ind w:firstLine="420"/>
              <w:jc w:val="both"/>
            </w:pPr>
            <w:r>
              <w:rPr>
                <w:rFonts w:ascii="宋体" w:hAnsi="宋体" w:cs="宋体" w:eastAsia="宋体"/>
                <w:sz w:val="21"/>
              </w:rPr>
              <w:t>1</w:t>
            </w:r>
            <w:r>
              <w:rPr>
                <w:rFonts w:ascii="宋体" w:hAnsi="宋体" w:cs="宋体" w:eastAsia="宋体"/>
                <w:sz w:val="21"/>
              </w:rPr>
              <w:t>、施工机械设备施工前必须进行安全检查,符合《施工现场机械设备检查技术规程》的有关规定。</w:t>
            </w:r>
          </w:p>
          <w:p>
            <w:pPr>
              <w:pStyle w:val="null3"/>
              <w:ind w:firstLine="420"/>
              <w:jc w:val="both"/>
            </w:pPr>
            <w:r>
              <w:rPr>
                <w:rFonts w:ascii="宋体" w:hAnsi="宋体" w:cs="宋体" w:eastAsia="宋体"/>
                <w:sz w:val="21"/>
              </w:rPr>
              <w:t>2</w:t>
            </w:r>
            <w:r>
              <w:rPr>
                <w:rFonts w:ascii="宋体" w:hAnsi="宋体" w:cs="宋体" w:eastAsia="宋体"/>
                <w:sz w:val="21"/>
              </w:rPr>
              <w:t>、施工机械操作手和运输车辆司机应持证上岗,并严格遵守相关安全操作规程。</w:t>
            </w:r>
          </w:p>
          <w:p>
            <w:pPr>
              <w:pStyle w:val="null3"/>
              <w:ind w:firstLine="420"/>
              <w:jc w:val="both"/>
            </w:pPr>
            <w:r>
              <w:rPr>
                <w:rFonts w:ascii="宋体" w:hAnsi="宋体" w:cs="宋体" w:eastAsia="宋体"/>
                <w:sz w:val="21"/>
              </w:rPr>
              <w:t>3</w:t>
            </w:r>
            <w:r>
              <w:rPr>
                <w:rFonts w:ascii="宋体" w:hAnsi="宋体" w:cs="宋体" w:eastAsia="宋体"/>
                <w:sz w:val="21"/>
              </w:rPr>
              <w:t>、施工前安全员、管理人员必须要对施工人员进行安全教育培训。</w:t>
            </w:r>
          </w:p>
          <w:p>
            <w:pPr>
              <w:pStyle w:val="null3"/>
              <w:ind w:firstLine="420"/>
              <w:jc w:val="both"/>
            </w:pPr>
            <w:r>
              <w:rPr>
                <w:rFonts w:ascii="宋体" w:hAnsi="宋体" w:cs="宋体" w:eastAsia="宋体"/>
                <w:sz w:val="21"/>
              </w:rPr>
              <w:t>4</w:t>
            </w:r>
            <w:r>
              <w:rPr>
                <w:rFonts w:ascii="宋体" w:hAnsi="宋体" w:cs="宋体" w:eastAsia="宋体"/>
                <w:sz w:val="21"/>
              </w:rPr>
              <w:t>、施工前按设计图纸进行用地放样,确定施工界线</w:t>
            </w:r>
          </w:p>
          <w:p>
            <w:pPr>
              <w:pStyle w:val="null3"/>
              <w:ind w:firstLine="420"/>
              <w:jc w:val="both"/>
            </w:pPr>
            <w:r>
              <w:rPr>
                <w:rFonts w:ascii="宋体" w:hAnsi="宋体" w:cs="宋体" w:eastAsia="宋体"/>
                <w:sz w:val="21"/>
              </w:rPr>
              <w:t>5</w:t>
            </w:r>
            <w:r>
              <w:rPr>
                <w:rFonts w:ascii="宋体" w:hAnsi="宋体" w:cs="宋体" w:eastAsia="宋体"/>
                <w:sz w:val="21"/>
              </w:rPr>
              <w:t>、道路用地范图内的既有房屋、道路、河沟、通讯、电力设施、上下水道、坟墓及其它地上和地下建筑物,均应协助有关部门事先折迁;对施工前发现有文物古迹应妥善保护,及时通知文物理部门进行保护或拆迁（迁移）。</w:t>
            </w:r>
          </w:p>
          <w:p>
            <w:pPr>
              <w:pStyle w:val="null3"/>
              <w:ind w:firstLine="420"/>
              <w:jc w:val="both"/>
            </w:pPr>
            <w:r>
              <w:rPr>
                <w:rFonts w:ascii="宋体" w:hAnsi="宋体" w:cs="宋体" w:eastAsia="宋体"/>
                <w:sz w:val="21"/>
              </w:rPr>
              <w:t>6</w:t>
            </w:r>
            <w:r>
              <w:rPr>
                <w:rFonts w:ascii="宋体" w:hAnsi="宋体" w:cs="宋体" w:eastAsia="宋体"/>
                <w:sz w:val="21"/>
              </w:rPr>
              <w:t>、经与监理工程师对原地面复测完成后,开始进行垃圾清运工作。</w:t>
            </w:r>
          </w:p>
          <w:p>
            <w:pPr>
              <w:pStyle w:val="null3"/>
              <w:ind w:firstLine="420"/>
              <w:jc w:val="both"/>
            </w:pPr>
            <w:r>
              <w:rPr>
                <w:rFonts w:ascii="宋体" w:hAnsi="宋体" w:cs="宋体" w:eastAsia="宋体"/>
                <w:sz w:val="21"/>
              </w:rPr>
              <w:t>（二）安全施工技术要求</w:t>
            </w:r>
          </w:p>
          <w:p>
            <w:pPr>
              <w:pStyle w:val="null3"/>
              <w:ind w:firstLine="420"/>
              <w:jc w:val="both"/>
            </w:pPr>
            <w:r>
              <w:rPr>
                <w:rFonts w:ascii="宋体" w:hAnsi="宋体" w:cs="宋体" w:eastAsia="宋体"/>
                <w:sz w:val="21"/>
              </w:rPr>
              <w:t>1</w:t>
            </w:r>
            <w:r>
              <w:rPr>
                <w:rFonts w:ascii="宋体" w:hAnsi="宋体" w:cs="宋体" w:eastAsia="宋体"/>
                <w:sz w:val="21"/>
              </w:rPr>
              <w:t>、施工前所有参建人员必须参加项目部组织的安全技术交底，施工现场必须安全帽，施工人员和机械设备操作工必须听从现场负责人及安全员指挥。</w:t>
            </w:r>
          </w:p>
          <w:p>
            <w:pPr>
              <w:pStyle w:val="null3"/>
              <w:ind w:firstLine="420"/>
              <w:jc w:val="both"/>
            </w:pPr>
            <w:r>
              <w:rPr>
                <w:rFonts w:ascii="宋体" w:hAnsi="宋体" w:cs="宋体" w:eastAsia="宋体"/>
                <w:sz w:val="21"/>
              </w:rPr>
              <w:t>2</w:t>
            </w:r>
            <w:r>
              <w:rPr>
                <w:rFonts w:ascii="宋体" w:hAnsi="宋体" w:cs="宋体" w:eastAsia="宋体"/>
                <w:sz w:val="21"/>
              </w:rPr>
              <w:t>、施工现场设安全员，施工作业区设安全标志，防止无关人员进入施工现场。</w:t>
            </w:r>
          </w:p>
          <w:p>
            <w:pPr>
              <w:pStyle w:val="null3"/>
              <w:ind w:firstLine="420"/>
              <w:jc w:val="both"/>
            </w:pPr>
            <w:r>
              <w:rPr>
                <w:rFonts w:ascii="宋体" w:hAnsi="宋体" w:cs="宋体" w:eastAsia="宋体"/>
                <w:sz w:val="21"/>
              </w:rPr>
              <w:t>3</w:t>
            </w:r>
            <w:r>
              <w:rPr>
                <w:rFonts w:ascii="宋体" w:hAnsi="宋体" w:cs="宋体" w:eastAsia="宋体"/>
                <w:sz w:val="21"/>
              </w:rPr>
              <w:t>、工程施工时，现场专职安全员或技术主管要做好现场监督，坚持管生产必须管安全的“一岗双责”责任制。</w:t>
            </w:r>
          </w:p>
          <w:p>
            <w:pPr>
              <w:pStyle w:val="null3"/>
              <w:ind w:firstLine="420"/>
              <w:jc w:val="both"/>
            </w:pPr>
            <w:r>
              <w:rPr>
                <w:rFonts w:ascii="宋体" w:hAnsi="宋体" w:cs="宋体" w:eastAsia="宋体"/>
                <w:sz w:val="21"/>
              </w:rPr>
              <w:t>4</w:t>
            </w:r>
            <w:r>
              <w:rPr>
                <w:rFonts w:ascii="宋体" w:hAnsi="宋体" w:cs="宋体" w:eastAsia="宋体"/>
                <w:sz w:val="21"/>
              </w:rPr>
              <w:t>、施工机械车辆必须有专人指挥,以防伤人伤物,以致引起伤亡和损失。</w:t>
            </w:r>
          </w:p>
          <w:p>
            <w:pPr>
              <w:pStyle w:val="null3"/>
              <w:ind w:firstLine="420"/>
              <w:jc w:val="both"/>
            </w:pPr>
            <w:r>
              <w:rPr>
                <w:rFonts w:ascii="宋体" w:hAnsi="宋体" w:cs="宋体" w:eastAsia="宋体"/>
                <w:sz w:val="21"/>
              </w:rPr>
              <w:t>5</w:t>
            </w:r>
            <w:r>
              <w:rPr>
                <w:rFonts w:ascii="宋体" w:hAnsi="宋体" w:cs="宋体" w:eastAsia="宋体"/>
                <w:sz w:val="21"/>
              </w:rPr>
              <w:t>、项目必须确保安全生产。</w:t>
            </w:r>
          </w:p>
          <w:p>
            <w:pPr>
              <w:pStyle w:val="null3"/>
              <w:ind w:firstLine="420"/>
              <w:jc w:val="both"/>
            </w:pPr>
            <w:r>
              <w:rPr>
                <w:rFonts w:ascii="宋体" w:hAnsi="宋体" w:cs="宋体" w:eastAsia="宋体"/>
                <w:sz w:val="21"/>
              </w:rPr>
              <w:t>（三）垃圾内倒回填技术要求</w:t>
            </w:r>
          </w:p>
          <w:p>
            <w:pPr>
              <w:pStyle w:val="null3"/>
              <w:ind w:firstLine="420"/>
              <w:jc w:val="both"/>
            </w:pPr>
            <w:r>
              <w:rPr>
                <w:rFonts w:ascii="宋体" w:hAnsi="宋体" w:cs="宋体" w:eastAsia="宋体"/>
                <w:sz w:val="21"/>
              </w:rPr>
              <w:t>1</w:t>
            </w:r>
            <w:r>
              <w:rPr>
                <w:rFonts w:ascii="宋体" w:hAnsi="宋体" w:cs="宋体" w:eastAsia="宋体"/>
                <w:sz w:val="21"/>
              </w:rPr>
              <w:t>、施工技术要求根据施工图纸由测量员准确测量施工红线位置，并用白灰明显标记清楚。用装载机或挖掘机对原地面垃圾等进行清理</w:t>
            </w:r>
          </w:p>
          <w:p>
            <w:pPr>
              <w:pStyle w:val="null3"/>
              <w:ind w:firstLine="420"/>
              <w:jc w:val="both"/>
            </w:pPr>
            <w:r>
              <w:rPr>
                <w:rFonts w:ascii="宋体" w:hAnsi="宋体" w:cs="宋体" w:eastAsia="宋体"/>
                <w:sz w:val="21"/>
              </w:rPr>
              <w:t>2</w:t>
            </w:r>
            <w:r>
              <w:rPr>
                <w:rFonts w:ascii="宋体" w:hAnsi="宋体" w:cs="宋体" w:eastAsia="宋体"/>
                <w:sz w:val="21"/>
              </w:rPr>
              <w:t>、用挖掘机、装载机、及自卸车配合,并下挖150CM，待文勘完成后，再对垃圾等进行回填，并且达到规范要求。</w:t>
            </w:r>
          </w:p>
          <w:p>
            <w:pPr>
              <w:pStyle w:val="null3"/>
              <w:ind w:firstLine="420"/>
              <w:jc w:val="both"/>
            </w:pPr>
            <w:r>
              <w:rPr>
                <w:rFonts w:ascii="宋体" w:hAnsi="宋体" w:cs="宋体" w:eastAsia="宋体"/>
                <w:sz w:val="21"/>
              </w:rPr>
              <w:t>（四）文明施工和治污减霾要求</w:t>
            </w:r>
          </w:p>
          <w:p>
            <w:pPr>
              <w:pStyle w:val="null3"/>
              <w:ind w:firstLine="420"/>
              <w:jc w:val="both"/>
            </w:pPr>
            <w:r>
              <w:rPr>
                <w:rFonts w:ascii="宋体" w:hAnsi="宋体" w:cs="宋体" w:eastAsia="宋体"/>
                <w:sz w:val="21"/>
              </w:rPr>
              <w:t>1</w:t>
            </w:r>
            <w:r>
              <w:rPr>
                <w:rFonts w:ascii="宋体" w:hAnsi="宋体" w:cs="宋体" w:eastAsia="宋体"/>
                <w:sz w:val="21"/>
              </w:rPr>
              <w:t>、严格执行《西安市出土（拆迁）工地及建筑垃圾清运扬尘防治工作标准》、西安市城市管理局关于加强出土（拆迁）工地及建筑垃圾清运扬尘管控紧急通知及进一步加强建筑垃圾清运企业和车辆管理等通知要求，严格按标准、按要求进行施工。</w:t>
            </w:r>
          </w:p>
          <w:p>
            <w:pPr>
              <w:pStyle w:val="null3"/>
              <w:ind w:firstLine="420"/>
              <w:jc w:val="both"/>
            </w:pPr>
            <w:r>
              <w:rPr>
                <w:rFonts w:ascii="宋体" w:hAnsi="宋体" w:cs="宋体" w:eastAsia="宋体"/>
                <w:sz w:val="21"/>
              </w:rPr>
              <w:t>2</w:t>
            </w:r>
            <w:r>
              <w:rPr>
                <w:rFonts w:ascii="宋体" w:hAnsi="宋体" w:cs="宋体" w:eastAsia="宋体"/>
                <w:sz w:val="21"/>
              </w:rPr>
              <w:t>、工地出入口按要求安装空气质量自动检测设备和全自动冲洗设备及其附属设备、并确保设备全部能够正常保用；并配专职人员进行检查，严禁车辆带泥上路；施工现场全程配备洒水车，雾炮机进行降尘防尘，防止污染。对已清运达到施工要求标准的区域及时采用绿色高密度密目网进行覆盖。</w:t>
            </w:r>
          </w:p>
          <w:p>
            <w:pPr>
              <w:pStyle w:val="null3"/>
              <w:ind w:firstLine="420"/>
              <w:jc w:val="both"/>
            </w:pPr>
            <w:r>
              <w:rPr>
                <w:rFonts w:ascii="宋体" w:hAnsi="宋体" w:cs="宋体" w:eastAsia="宋体"/>
                <w:sz w:val="21"/>
              </w:rPr>
              <w:t>3</w:t>
            </w:r>
            <w:r>
              <w:rPr>
                <w:rFonts w:ascii="宋体" w:hAnsi="宋体" w:cs="宋体" w:eastAsia="宋体"/>
                <w:sz w:val="21"/>
              </w:rPr>
              <w:t>、内倒车辆在清运作业时完全密闭，冲洗彻底，车身四周清扫并冲洗干净，车牌号建运号等清晰可见，车轮不带泥，车容整洁。</w:t>
            </w:r>
          </w:p>
          <w:p>
            <w:pPr>
              <w:pStyle w:val="null3"/>
              <w:ind w:firstLine="420"/>
              <w:jc w:val="both"/>
            </w:pPr>
            <w:r>
              <w:rPr>
                <w:rFonts w:ascii="宋体" w:hAnsi="宋体" w:cs="宋体" w:eastAsia="宋体"/>
                <w:sz w:val="21"/>
              </w:rPr>
              <w:t>4</w:t>
            </w:r>
            <w:r>
              <w:rPr>
                <w:rFonts w:ascii="宋体" w:hAnsi="宋体" w:cs="宋体" w:eastAsia="宋体"/>
                <w:sz w:val="21"/>
              </w:rPr>
              <w:t>、加强对“黑车、黑工地”的查处力度，一经发现，坚决严肃查处。</w:t>
            </w:r>
          </w:p>
          <w:p>
            <w:pPr>
              <w:pStyle w:val="null3"/>
              <w:ind w:firstLine="420"/>
              <w:jc w:val="both"/>
            </w:pPr>
            <w:r>
              <w:rPr>
                <w:rFonts w:ascii="宋体" w:hAnsi="宋体" w:cs="宋体" w:eastAsia="宋体"/>
                <w:sz w:val="21"/>
              </w:rPr>
              <w:t>5</w:t>
            </w:r>
            <w:r>
              <w:rPr>
                <w:rFonts w:ascii="宋体" w:hAnsi="宋体" w:cs="宋体" w:eastAsia="宋体"/>
                <w:sz w:val="21"/>
              </w:rPr>
              <w:t>、工地出入口及施工区域按要求张贴安全文明施工铭牌及宣传画。</w:t>
            </w:r>
          </w:p>
          <w:p>
            <w:pPr>
              <w:pStyle w:val="null3"/>
              <w:ind w:firstLine="420"/>
              <w:jc w:val="both"/>
            </w:pPr>
            <w:r>
              <w:rPr>
                <w:rFonts w:ascii="宋体" w:hAnsi="宋体" w:cs="宋体" w:eastAsia="宋体"/>
                <w:sz w:val="21"/>
              </w:rPr>
              <w:t>6</w:t>
            </w:r>
            <w:r>
              <w:rPr>
                <w:rFonts w:ascii="宋体" w:hAnsi="宋体" w:cs="宋体" w:eastAsia="宋体"/>
                <w:sz w:val="21"/>
              </w:rPr>
              <w:t>、按要求做好防噪降噪工作，做到不扰民，不与附近居民起纠纷。</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符合国家现行有关施工质量验收规范“合格”要求。</w:t>
      </w:r>
    </w:p>
    <w:p>
      <w:pPr>
        <w:pStyle w:val="null3"/>
        <w:ind w:firstLine="480"/>
      </w:pPr>
      <w:r>
        <w:rPr/>
        <w:t>三、针对本项目的其他技术服务要求：</w:t>
      </w:r>
    </w:p>
    <w:p>
      <w:pPr>
        <w:pStyle w:val="null3"/>
      </w:pPr>
      <w:r>
        <w:rPr/>
        <w:t>工期：自合同签订之日起60日历天。</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（1）、为顺利推进政府采购电子化交易平台试点应用工作，供应商需要在线提交所有通过电子化交易平台实施的政府采购项 目的响应文件。 （2）、供应商务必在开标截止时间30分钟前，通过项目电子化交易系统进行签到，如未进行签到，产生的一起 后果由供应商自行承担。（3）、采购标的对应的中小企业划分标准所属行业为建筑业。建筑业的划型标准 为：营业收入80000万元以下或资产总额80000万元以下的为中小微型企业。其中，营业收入6000万元及以上，且资产总额 5000万元及以上的为中型企业；营业收入300万元及以上，且资产总额300万元及以上的为小型企业；营业收入300万元以 下或资产总额300万元以下的为微型企业。（4）、需要落实的政府采购政策：1、《国务院办公厅关于建立政府强制采购节能产品制度的通知》（国办发〔2007〕51号）；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5）、为顺利推进政府采购电子化交易平台试点应用工作，供应商需要在线提交所有通过电子化交易平台实施的政府采购项目的响应文件，同时，线下提交纸质响应文件正本一份、递交地址：龙寰项目管理咨询有限公司招标四部，递交截止时间同在线递交电子响应文件截止时间一致。若电子响应文件与纸质响应文件不一致的，以纸质响应文件为准。响应文件封口处加盖供应商公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 xml:space="preserve"> 1.财务状况报告：提供具有财务审计资质单位出具的2023年度财务报告（成立时间至开标时间不足一年的可提供成立后任意时段的资产负债表）或开标前六个月内其基本账户银行出的资信证明或政府采购信用担保机构出具的担保函； 2.税收缴纳证明：提供截止至开标时间前六个月内任意一个月的缴纳凭据；（增值税、企业所得税至少提供一种，依法免税的供应商应提供相关文件明） 3.社会保障资金缴纳证明：提供截止至开标时间前六个月内任意一个月的社保缴纳凭据或社机构开具的社会保险参保缴纳情况证明；（依法不需要缴纳社会保障资金的供应商应提供相关证明） 4.提供具有履行本合同所必需的设备和专业技术能力的说明及承诺；（提供书面说明及承诺，加盖供应商公章）5.提供参加政府采购活动前三年内在经营活动中没有重大违法记录的书面声明。（提供书面声明，加盖供应商公章） 注：供应商需在项目电子化交易系统中按要求上传相应证明文件并进行电子签章。</w:t>
            </w:r>
          </w:p>
        </w:tc>
        <w:tc>
          <w:tcPr>
            <w:tcW w:type="dxa" w:w="1661"/>
          </w:tcPr>
          <w:p>
            <w:pPr>
              <w:pStyle w:val="null3"/>
            </w:pPr>
            <w:r>
              <w:rPr/>
              <w:t>资格证明文件 残疾人福利性单位声明函 中小企业声明函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的资信证明或政府采购信用担保机构出具的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其他材料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资格证明文件 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供应商应是独立承担民事责任能力的法人、其他组织或自然人</w:t>
            </w:r>
          </w:p>
        </w:tc>
        <w:tc>
          <w:tcPr>
            <w:tcW w:type="dxa" w:w="3322"/>
          </w:tcPr>
          <w:p>
            <w:pPr>
              <w:pStyle w:val="null3"/>
            </w:pPr>
            <w:r>
              <w:rPr/>
              <w:t>供应商应是独立承担民事责任能力的法人、其他组织或自然人，法人、其他组织须提供合法有效的营业执照（或事业单位法人证书）等证明资料，自然人须提供身份证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项目负责人（项目经理）</w:t>
            </w:r>
          </w:p>
        </w:tc>
        <w:tc>
          <w:tcPr>
            <w:tcW w:type="dxa" w:w="3322"/>
          </w:tcPr>
          <w:p>
            <w:pPr>
              <w:pStyle w:val="null3"/>
            </w:pPr>
            <w:r>
              <w:rPr/>
              <w:t>拟派本工程项目经理具有建筑工程专业贰级及以上注册建造师资格，具有合格有效的安全生产考核合格证（B证），在本单位注册，且无在建工程。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供应商资质证书</w:t>
            </w:r>
          </w:p>
        </w:tc>
        <w:tc>
          <w:tcPr>
            <w:tcW w:type="dxa" w:w="3322"/>
          </w:tcPr>
          <w:p>
            <w:pPr>
              <w:pStyle w:val="null3"/>
            </w:pPr>
            <w:r>
              <w:rPr/>
              <w:t>供应商须具备建筑工程施工总承包叁级及以上资质，具有合格有效的安全生产许可证；供应商需在项目电子化交易系统中按要求上传相应证明文件并进行电子签章。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本项目专门面向中小企业采购</w:t>
            </w:r>
          </w:p>
        </w:tc>
        <w:tc>
          <w:tcPr>
            <w:tcW w:type="dxa" w:w="3322"/>
          </w:tcPr>
          <w:p>
            <w:pPr>
              <w:pStyle w:val="null3"/>
            </w:pPr>
            <w:r>
              <w:rPr/>
              <w:t>本项目专门面向中小企业采购（残疾人福利性单位、监狱企业视同小型、微型企业），供应商需提供《中小企业声明函》（监狱企业的证明文件或《残疾人福利性单位声明函》），供应商需在项目电子化交易系统中按要求上传相应证明文件并进行电子签章。</w:t>
            </w:r>
          </w:p>
        </w:tc>
        <w:tc>
          <w:tcPr>
            <w:tcW w:type="dxa" w:w="1661"/>
          </w:tcPr>
          <w:p>
            <w:pPr>
              <w:pStyle w:val="null3"/>
            </w:pPr>
            <w:r>
              <w:rPr/>
              <w:t>资格证明文件 中小企业声明函 残疾人福利性单位声明函 监狱企业的证明文件</w:t>
            </w:r>
          </w:p>
        </w:tc>
      </w:tr>
      <w:tr>
        <w:tc>
          <w:tcPr>
            <w:tcW w:type="dxa" w:w="831"/>
          </w:tcPr>
          <w:p>
            <w:pPr>
              <w:pStyle w:val="null3"/>
            </w:pPr>
            <w:r>
              <w:rPr/>
              <w:t>5</w:t>
            </w:r>
          </w:p>
        </w:tc>
        <w:tc>
          <w:tcPr>
            <w:tcW w:type="dxa" w:w="2492"/>
          </w:tcPr>
          <w:p>
            <w:pPr>
              <w:pStyle w:val="null3"/>
            </w:pPr>
            <w:r>
              <w:rPr/>
              <w:t>信用记录</w:t>
            </w:r>
          </w:p>
        </w:tc>
        <w:tc>
          <w:tcPr>
            <w:tcW w:type="dxa" w:w="3322"/>
          </w:tcPr>
          <w:p>
            <w:pPr>
              <w:pStyle w:val="null3"/>
            </w:pPr>
            <w:r>
              <w:rPr/>
              <w:t>信用记录：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t>资格证明文件 响应函</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分项报价表 报价函 标的清单 响应函</w:t>
            </w:r>
          </w:p>
        </w:tc>
      </w:tr>
      <w:tr>
        <w:tc>
          <w:tcPr>
            <w:tcW w:type="dxa" w:w="831"/>
          </w:tcPr>
          <w:p>
            <w:pPr>
              <w:pStyle w:val="null3"/>
            </w:pPr>
            <w:r>
              <w:rPr/>
              <w:t>2</w:t>
            </w:r>
          </w:p>
        </w:tc>
        <w:tc>
          <w:tcPr>
            <w:tcW w:type="dxa" w:w="2492"/>
          </w:tcPr>
          <w:p>
            <w:pPr>
              <w:pStyle w:val="null3"/>
            </w:pPr>
            <w:r>
              <w:rPr/>
              <w:t>响应文件报价</w:t>
            </w:r>
          </w:p>
        </w:tc>
        <w:tc>
          <w:tcPr>
            <w:tcW w:type="dxa" w:w="3322"/>
          </w:tcPr>
          <w:p>
            <w:pPr>
              <w:pStyle w:val="null3"/>
            </w:pPr>
            <w:r>
              <w:rPr/>
              <w:t>内容无重大缺漏项，报价唯一，且没有超过采 购预算或限价</w:t>
            </w:r>
          </w:p>
        </w:tc>
        <w:tc>
          <w:tcPr>
            <w:tcW w:type="dxa" w:w="1661"/>
          </w:tcPr>
          <w:p>
            <w:pPr>
              <w:pStyle w:val="null3"/>
            </w:pPr>
            <w:r>
              <w:rPr/>
              <w:t>响应文件封面 分项报价表 报价函 响应函</w:t>
            </w:r>
          </w:p>
        </w:tc>
      </w:tr>
      <w:tr>
        <w:tc>
          <w:tcPr>
            <w:tcW w:type="dxa" w:w="831"/>
          </w:tcPr>
          <w:p>
            <w:pPr>
              <w:pStyle w:val="null3"/>
            </w:pPr>
            <w:r>
              <w:rPr/>
              <w:t>3</w:t>
            </w:r>
          </w:p>
        </w:tc>
        <w:tc>
          <w:tcPr>
            <w:tcW w:type="dxa" w:w="2492"/>
          </w:tcPr>
          <w:p>
            <w:pPr>
              <w:pStyle w:val="null3"/>
            </w:pPr>
            <w:r>
              <w:rPr/>
              <w:t>工期</w:t>
            </w:r>
          </w:p>
        </w:tc>
        <w:tc>
          <w:tcPr>
            <w:tcW w:type="dxa" w:w="3322"/>
          </w:tcPr>
          <w:p>
            <w:pPr>
              <w:pStyle w:val="null3"/>
            </w:pPr>
            <w:r>
              <w:rPr/>
              <w:t>满足磋商文件要求</w:t>
            </w:r>
          </w:p>
        </w:tc>
        <w:tc>
          <w:tcPr>
            <w:tcW w:type="dxa" w:w="1661"/>
          </w:tcPr>
          <w:p>
            <w:pPr>
              <w:pStyle w:val="null3"/>
            </w:pPr>
            <w:r>
              <w:rPr/>
              <w:t>响应文件封面 报价函 响应函</w:t>
            </w:r>
          </w:p>
        </w:tc>
      </w:tr>
      <w:tr>
        <w:tc>
          <w:tcPr>
            <w:tcW w:type="dxa" w:w="831"/>
          </w:tcPr>
          <w:p>
            <w:pPr>
              <w:pStyle w:val="null3"/>
            </w:pPr>
            <w:r>
              <w:rPr/>
              <w:t>4</w:t>
            </w:r>
          </w:p>
        </w:tc>
        <w:tc>
          <w:tcPr>
            <w:tcW w:type="dxa" w:w="2492"/>
          </w:tcPr>
          <w:p>
            <w:pPr>
              <w:pStyle w:val="null3"/>
            </w:pPr>
            <w:r>
              <w:rPr/>
              <w:t>质量标准</w:t>
            </w:r>
          </w:p>
        </w:tc>
        <w:tc>
          <w:tcPr>
            <w:tcW w:type="dxa" w:w="3322"/>
          </w:tcPr>
          <w:p>
            <w:pPr>
              <w:pStyle w:val="null3"/>
            </w:pPr>
            <w:r>
              <w:rPr/>
              <w:t>满足磋商文件要求</w:t>
            </w:r>
          </w:p>
        </w:tc>
        <w:tc>
          <w:tcPr>
            <w:tcW w:type="dxa" w:w="1661"/>
          </w:tcPr>
          <w:p>
            <w:pPr>
              <w:pStyle w:val="null3"/>
            </w:pPr>
            <w:r>
              <w:rPr/>
              <w:t>响应文件封面 报价函 响应函</w:t>
            </w:r>
          </w:p>
        </w:tc>
      </w:tr>
      <w:tr>
        <w:tc>
          <w:tcPr>
            <w:tcW w:type="dxa" w:w="831"/>
          </w:tcPr>
          <w:p>
            <w:pPr>
              <w:pStyle w:val="null3"/>
            </w:pPr>
            <w:r>
              <w:rPr/>
              <w:t>5</w:t>
            </w:r>
          </w:p>
        </w:tc>
        <w:tc>
          <w:tcPr>
            <w:tcW w:type="dxa" w:w="2492"/>
          </w:tcPr>
          <w:p>
            <w:pPr>
              <w:pStyle w:val="null3"/>
            </w:pPr>
            <w:r>
              <w:rPr/>
              <w:t>响应文件的签署盖章</w:t>
            </w:r>
          </w:p>
        </w:tc>
        <w:tc>
          <w:tcPr>
            <w:tcW w:type="dxa" w:w="3322"/>
          </w:tcPr>
          <w:p>
            <w:pPr>
              <w:pStyle w:val="null3"/>
            </w:pPr>
            <w:r>
              <w:rPr/>
              <w:t>满足磋商文件要求</w:t>
            </w:r>
          </w:p>
        </w:tc>
        <w:tc>
          <w:tcPr>
            <w:tcW w:type="dxa" w:w="1661"/>
          </w:tcPr>
          <w:p>
            <w:pPr>
              <w:pStyle w:val="null3"/>
            </w:pPr>
            <w:r>
              <w:rPr/>
              <w:t>分项报价表 中小企业声明函 授权委托书 强制优先采购产品承诺函 技术商务偏离表 响应文件封面 技术响应部分 资格证明文件 项目管理机构组成表 其他材料 残疾人福利性单位声明函 报价函 标的清单 供应商类似项目业绩一览表 响应函 监狱企业的证明文件 法定代表人（单位负责人自然人）身份证明</w:t>
            </w:r>
          </w:p>
        </w:tc>
      </w:tr>
      <w:tr>
        <w:tc>
          <w:tcPr>
            <w:tcW w:type="dxa" w:w="831"/>
          </w:tcPr>
          <w:p>
            <w:pPr>
              <w:pStyle w:val="null3"/>
            </w:pPr>
            <w:r>
              <w:rPr/>
              <w:t>6</w:t>
            </w:r>
          </w:p>
        </w:tc>
        <w:tc>
          <w:tcPr>
            <w:tcW w:type="dxa" w:w="2492"/>
          </w:tcPr>
          <w:p>
            <w:pPr>
              <w:pStyle w:val="null3"/>
            </w:pPr>
            <w:r>
              <w:rPr/>
              <w:t>响应文件有效期</w:t>
            </w:r>
          </w:p>
        </w:tc>
        <w:tc>
          <w:tcPr>
            <w:tcW w:type="dxa" w:w="3322"/>
          </w:tcPr>
          <w:p>
            <w:pPr>
              <w:pStyle w:val="null3"/>
            </w:pPr>
            <w:r>
              <w:rPr/>
              <w:t xml:space="preserve"> 满足磋商文件要求</w:t>
            </w:r>
          </w:p>
        </w:tc>
        <w:tc>
          <w:tcPr>
            <w:tcW w:type="dxa" w:w="1661"/>
          </w:tcPr>
          <w:p>
            <w:pPr>
              <w:pStyle w:val="null3"/>
            </w:pPr>
            <w:r>
              <w:rPr/>
              <w:t>响应文件封面 报价函 响应函</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业绩证明</w:t>
            </w:r>
          </w:p>
        </w:tc>
        <w:tc>
          <w:tcPr>
            <w:tcW w:type="dxa" w:w="2492"/>
          </w:tcPr>
          <w:p>
            <w:pPr>
              <w:pStyle w:val="null3"/>
            </w:pPr>
            <w:r>
              <w:rPr/>
              <w:t>提供供应商2021年1月1日至今（以合同签订时间为准）类似项目业绩合同，每份计2.5分，满分10分。（注：附加盖供应商公章的业绩合同扫描件或复印件，合同内容须完整清晰可辨认，无涂改，否则视为无效合同。）</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供应商类似项目业绩一览表</w:t>
            </w:r>
          </w:p>
          <w:p>
            <w:pPr>
              <w:pStyle w:val="null3"/>
            </w:pPr>
            <w:r>
              <w:rPr/>
              <w:t>技术响应部分</w:t>
            </w:r>
          </w:p>
        </w:tc>
      </w:tr>
      <w:tr>
        <w:tc>
          <w:tcPr>
            <w:tcW w:type="dxa" w:w="831"/>
            <w:vMerge/>
          </w:tcPr>
          <w:p/>
        </w:tc>
        <w:tc>
          <w:tcPr>
            <w:tcW w:type="dxa" w:w="1661"/>
          </w:tcPr>
          <w:p>
            <w:pPr>
              <w:pStyle w:val="null3"/>
            </w:pPr>
            <w:r>
              <w:rPr/>
              <w:t>施工方案</w:t>
            </w:r>
          </w:p>
        </w:tc>
        <w:tc>
          <w:tcPr>
            <w:tcW w:type="dxa" w:w="2492"/>
          </w:tcPr>
          <w:p>
            <w:pPr>
              <w:pStyle w:val="null3"/>
            </w:pPr>
            <w:r>
              <w:rPr/>
              <w:t>1.方案专门针对本项目编制，全面、合理、可行性强，完全满足工程施工要求的得5分； 2.方案专门针对本项目编制，较全面、较合理、可行性较强，能满足工程施工要求的得4分； 3.方案针对本项目编制，基本全面、基本合理、基本可行，基本满足工程施工要求的得3分； 4.方案针对本项目编制，全面性、合理性、可行性均一般得2分； 5.方案无针对性，不全面、不合理性得1分。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进度计划安排方案，施工进度表或施工网络图</w:t>
            </w:r>
          </w:p>
        </w:tc>
        <w:tc>
          <w:tcPr>
            <w:tcW w:type="dxa" w:w="2492"/>
          </w:tcPr>
          <w:p>
            <w:pPr>
              <w:pStyle w:val="null3"/>
            </w:pPr>
            <w:r>
              <w:rPr/>
              <w:t>1.进度计划安排、施工进度表或施工网络图专门针对本项目编制，全面、合理、可行性强，完全满足工程施工要求的得5分； 2.进度计划安排、施工进度表或施工网络图专门针对本项目编制，较全面、较合理、可行性较强，能满足工程施工要求的得4分； 3.进度计划安排、施工进度表或施工网络图针对本项目编制，基本全面、基本合理、基本可行，基本满足工程施工要求的得3分； 4.进度计划安排、施工进度表或施工网络图针对本项目编制，全面性、合理性、可行性均一般得2分； 5.进度计划安排、施工进度表或施工网络图无针对性，不全面、不合理、得1分。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日常运行调度、监督制度、考核等制</w:t>
            </w:r>
          </w:p>
        </w:tc>
        <w:tc>
          <w:tcPr>
            <w:tcW w:type="dxa" w:w="2492"/>
          </w:tcPr>
          <w:p>
            <w:pPr>
              <w:pStyle w:val="null3"/>
            </w:pPr>
            <w:r>
              <w:rPr/>
              <w:t>根据本项目实际需求，制定的日常运行制度、监督制度、考核等制度。 1.制度专门针对本项目编制，全面、合理、可行性强，完全满足工程施工要求的得5分； 2.制度专门针对本项目编制，较全面、较合理、可行性较强，能满足工程施工要求的得4分； 3.制度针对本项目编制，基本全面、基本合理、基本可行，基本满足工程施工要求的得3分； 4.制度针对本项目编制，全面性、合理性、可行性均一般得2分； 5.制度无针对性，不全面、不合理得1分。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治污减霾方案</w:t>
            </w:r>
          </w:p>
        </w:tc>
        <w:tc>
          <w:tcPr>
            <w:tcW w:type="dxa" w:w="2492"/>
          </w:tcPr>
          <w:p>
            <w:pPr>
              <w:pStyle w:val="null3"/>
            </w:pPr>
            <w:r>
              <w:rPr/>
              <w:t>1.方案专门针对本项目编制，全面、合理、可行性强，能够有效保证环境卫生的得5分； 2.方案专门针对本项目编制，较全面、较合理、可行性较强，能满足项目要求的得4分； 3.方案针对本项目编制，基本全面、基本合理、基本可行，基本满足项目要求的得3分； 4.方案针对本项目编制，全面性、合理性、可行性均一般得2分； 5.方案无针对性，不全面、不合理得1分。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应急预案</w:t>
            </w:r>
          </w:p>
        </w:tc>
        <w:tc>
          <w:tcPr>
            <w:tcW w:type="dxa" w:w="2492"/>
          </w:tcPr>
          <w:p>
            <w:pPr>
              <w:pStyle w:val="null3"/>
            </w:pPr>
            <w:r>
              <w:rPr/>
              <w:t>1.预案专门针对本项目编制，全面、合理、可行性强，完全满足工程施工要求的得5分； 2.预案专门针对本项目编制，较全面、较合理、可行性较强，能满足工程施工要求的得4分； 3.预案针对本项目编制，基本全面、基本合理、基本可行，基本满足工程施工要求的得3分； 4.预案针对本项目编制，全面性、合理性、可行性均一般得2分； 5.预案无针对性，不全面、不合理得1分。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确保工程质量的保证措施</w:t>
            </w:r>
          </w:p>
        </w:tc>
        <w:tc>
          <w:tcPr>
            <w:tcW w:type="dxa" w:w="2492"/>
          </w:tcPr>
          <w:p>
            <w:pPr>
              <w:pStyle w:val="null3"/>
            </w:pPr>
            <w:r>
              <w:rPr/>
              <w:t>1.措施专门针对本项目编制，全面、合理、可行性强得5分； 2.措施专门针对本项目编制，较全面、较合理、可行性较强得4分； 3.措施针对本项目编制，基本全面、基本合理、基本可行得3分； 4.措施针对本项目编制，全面性、合理性、可行性均一般得2分； 5.措施无针对性，不全面、不合理得1分。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确保安全施工的保证措施</w:t>
            </w:r>
          </w:p>
        </w:tc>
        <w:tc>
          <w:tcPr>
            <w:tcW w:type="dxa" w:w="2492"/>
          </w:tcPr>
          <w:p>
            <w:pPr>
              <w:pStyle w:val="null3"/>
            </w:pPr>
            <w:r>
              <w:rPr/>
              <w:t>1.措施专门针对本项目编制，全面、合理、可行性强得5分； 2.措施专门针对本项目编制，较全面、较合理、可行性较强得4分； 3.措施针对本项目编制，基本全面、基本合理、基本可行得3分； 4.措施针对本项目编制，全面性、合理性、可行性均一般得2分； 5.措施无针对性，不全面、不合理得1分。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确保文明施工及环境保护的保证措施</w:t>
            </w:r>
          </w:p>
        </w:tc>
        <w:tc>
          <w:tcPr>
            <w:tcW w:type="dxa" w:w="2492"/>
          </w:tcPr>
          <w:p>
            <w:pPr>
              <w:pStyle w:val="null3"/>
            </w:pPr>
            <w:r>
              <w:rPr/>
              <w:t>1.措施专门针对本项目编制，全面、合理、可行性强得5分； 2.措施专门针对本项目编制，较全面、较合理、可行性较强得4分； 3.措施针对本项目编制，基本全面、基本合理、基本可行得3分； 4.措施针对本项目编制，全面性、合理性、可行性均一般得2分； 5.措施无针对性，不全面、不合理得1分。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确保工期的技术组织措施</w:t>
            </w:r>
          </w:p>
        </w:tc>
        <w:tc>
          <w:tcPr>
            <w:tcW w:type="dxa" w:w="2492"/>
          </w:tcPr>
          <w:p>
            <w:pPr>
              <w:pStyle w:val="null3"/>
            </w:pPr>
            <w:r>
              <w:rPr/>
              <w:t>1.措施专门针对本项目编制，全面、合理、可行性强得5分； 2.措施专门针对本项目编制，较全面、较合理、可行性较强得4分； 3.措施针对本项目编制，基本全面、基本合理、基本可行得3分； 4.措施针对本项目编制，全面性、合理性、可行性均一般得2分； 5.措施无针对性，不全面、不合理得1分。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施工协调措施</w:t>
            </w:r>
          </w:p>
        </w:tc>
        <w:tc>
          <w:tcPr>
            <w:tcW w:type="dxa" w:w="2492"/>
          </w:tcPr>
          <w:p>
            <w:pPr>
              <w:pStyle w:val="null3"/>
            </w:pPr>
            <w:r>
              <w:rPr/>
              <w:t>1.措施专门针对本项目编制，全面、合理、可行性强得5分； 2.措施专门针对本项目编制，较全面、较合理、可行性较强得4分； 3.措施针对本项目编制，基本全面、基本合理、基本可行得3分； 4.措施针对本项目编制，全面性、合理性、可行性均一般得2分； 5.措施无针对性，不全面、不合理得1分。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机构设置及人员配备</w:t>
            </w:r>
          </w:p>
        </w:tc>
        <w:tc>
          <w:tcPr>
            <w:tcW w:type="dxa" w:w="2492"/>
          </w:tcPr>
          <w:p>
            <w:pPr>
              <w:pStyle w:val="null3"/>
            </w:pPr>
            <w:r>
              <w:rPr/>
              <w:t>提供供应商拟投入本项目的项目管理机构设置、项目组组成人员配备计划。 1.拟投入的机构设置科学、规范，人员配备数量充足、职责明确、分工清晰合理得5分； 2.拟投入的机构设置较科学、规范，人员配备数量较充足、职责较明确、分工较清晰合理得4分； 3.拟投入的机构基本满足项目需求，人员配备数量基本充足、职责基本清晰、分工基本合理得3分； 4.拟投入的机构设置一般，人员配备数量较少、职责、分工一般得2分； 5.拟投入的机构设置不齐全，人员配备数量不足、职责不够清晰、分工不够合理得1分。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vMerge/>
          </w:tcPr>
          <w:p/>
        </w:tc>
        <w:tc>
          <w:tcPr>
            <w:tcW w:type="dxa" w:w="1661"/>
          </w:tcPr>
          <w:p>
            <w:pPr>
              <w:pStyle w:val="null3"/>
            </w:pPr>
            <w:r>
              <w:rPr/>
              <w:t>施工机械配备</w:t>
            </w:r>
          </w:p>
        </w:tc>
        <w:tc>
          <w:tcPr>
            <w:tcW w:type="dxa" w:w="2492"/>
          </w:tcPr>
          <w:p>
            <w:pPr>
              <w:pStyle w:val="null3"/>
            </w:pPr>
            <w:r>
              <w:rPr/>
              <w:t>提供供应商拟投入本项目的施工机械配备投入计划。 1.拟投入的机械设备配置数量充足、配备合理，完全满足项目实际要求的得5分； 2.拟投入的机械设备配置数量较充足、配备较合理，较好满足项目实际要求的得4分； 3.拟投入的机械设备配置数量基本充足、配备基本合理，基本满足项目实际要求的得3分； 4.拟投入的机械设备配置数量较少，配备合理性一般、基本不能满足项目实际要求的得2分； 5.拟投入的机械设备配置不齐全、不能满足项目实际要求的得1分。 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技术响应部分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满足竞争性磋商文件要求且最后报价最低的磋商报价为评审基准价，其价格分为满分。 各供应商的报价得分按下列公式计算： 报价得分=（磋商基准价/最后磋商报价）×30％×100 磋商报价不完整的，不进入磋商基准价的计算，本项得0分。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标的清单</w:t>
            </w:r>
          </w:p>
          <w:p>
            <w:pPr>
              <w:pStyle w:val="null3"/>
            </w:pPr>
            <w:r>
              <w:rPr/>
              <w:t>分项报价表</w:t>
            </w:r>
          </w:p>
          <w:p>
            <w:pPr>
              <w:pStyle w:val="null3"/>
            </w:pPr>
            <w:r>
              <w:rPr/>
              <w:t>报价函</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详见附件：强制优先采购产品承诺函</w:t>
      </w:r>
    </w:p>
    <w:p>
      <w:pPr>
        <w:pStyle w:val="null3"/>
        <w:ind w:firstLine="960"/>
      </w:pPr>
      <w:r>
        <w:rPr/>
        <w:t>详见附件：标的清单</w:t>
      </w:r>
    </w:p>
    <w:p>
      <w:pPr>
        <w:pStyle w:val="null3"/>
        <w:ind w:firstLine="960"/>
      </w:pPr>
      <w:r>
        <w:rPr/>
        <w:t>详见附件：法定代表人（单位负责人自然人）身份证明</w:t>
      </w:r>
    </w:p>
    <w:p>
      <w:pPr>
        <w:pStyle w:val="null3"/>
        <w:ind w:firstLine="960"/>
      </w:pPr>
      <w:r>
        <w:rPr/>
        <w:t>详见附件：授权委托书</w:t>
      </w:r>
    </w:p>
    <w:p>
      <w:pPr>
        <w:pStyle w:val="null3"/>
        <w:ind w:firstLine="960"/>
      </w:pPr>
      <w:r>
        <w:rPr/>
        <w:t>详见附件：资格证明文件</w:t>
      </w:r>
    </w:p>
    <w:p>
      <w:pPr>
        <w:pStyle w:val="null3"/>
        <w:ind w:firstLine="960"/>
      </w:pPr>
      <w:r>
        <w:rPr/>
        <w:t>详见附件：技术商务偏离表</w:t>
      </w:r>
    </w:p>
    <w:p>
      <w:pPr>
        <w:pStyle w:val="null3"/>
        <w:ind w:firstLine="960"/>
      </w:pPr>
      <w:r>
        <w:rPr/>
        <w:t>详见附件：技术响应部分</w:t>
      </w:r>
    </w:p>
    <w:p>
      <w:pPr>
        <w:pStyle w:val="null3"/>
        <w:ind w:firstLine="960"/>
      </w:pPr>
      <w:r>
        <w:rPr/>
        <w:t>详见附件：分项报价表</w:t>
      </w:r>
    </w:p>
    <w:p>
      <w:pPr>
        <w:pStyle w:val="null3"/>
        <w:ind w:firstLine="960"/>
      </w:pPr>
      <w:r>
        <w:rPr/>
        <w:t>详见附件：其他材料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详见附件：拟签订合同条款.docx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