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739A6">
      <w:pPr>
        <w:pStyle w:val="2"/>
        <w:bidi w:val="0"/>
        <w:rPr>
          <w:rFonts w:hint="eastAsia"/>
          <w:sz w:val="48"/>
          <w:szCs w:val="48"/>
          <w:lang w:val="en-US" w:eastAsia="zh-CN"/>
        </w:rPr>
      </w:pPr>
    </w:p>
    <w:p w14:paraId="52D97113">
      <w:pPr>
        <w:pStyle w:val="4"/>
        <w:spacing w:line="360" w:lineRule="auto"/>
        <w:jc w:val="center"/>
        <w:rPr>
          <w:rFonts w:hint="eastAsia" w:ascii="仿宋" w:hAnsi="仿宋" w:eastAsia="仿宋" w:cs="仿宋"/>
          <w:b/>
          <w:bCs/>
          <w:sz w:val="72"/>
          <w:szCs w:val="72"/>
          <w:highlight w:val="none"/>
          <w:lang w:val="en-US" w:eastAsia="zh-CN"/>
        </w:rPr>
      </w:pPr>
      <w:r>
        <w:rPr>
          <w:rFonts w:hint="eastAsia" w:ascii="仿宋" w:hAnsi="仿宋" w:eastAsia="仿宋" w:cs="仿宋"/>
          <w:b/>
          <w:bCs/>
          <w:sz w:val="72"/>
          <w:szCs w:val="72"/>
          <w:highlight w:val="none"/>
          <w:lang w:val="en-US" w:eastAsia="zh-CN"/>
        </w:rPr>
        <w:t xml:space="preserve">西安高新第二学校计算机教室设备采购项目 </w:t>
      </w:r>
    </w:p>
    <w:p w14:paraId="6A21A458">
      <w:pPr>
        <w:rPr>
          <w:rFonts w:hint="eastAsia"/>
          <w:lang w:val="en-US" w:eastAsia="zh-CN"/>
        </w:rPr>
      </w:pPr>
    </w:p>
    <w:p w14:paraId="17FDB092">
      <w:pPr>
        <w:pStyle w:val="4"/>
        <w:spacing w:line="360" w:lineRule="auto"/>
        <w:jc w:val="center"/>
        <w:rPr>
          <w:rFonts w:hint="eastAsia" w:ascii="仿宋" w:hAnsi="仿宋" w:eastAsia="仿宋" w:cs="仿宋"/>
          <w:b/>
          <w:bCs/>
          <w:sz w:val="72"/>
          <w:szCs w:val="72"/>
          <w:highlight w:val="none"/>
          <w:lang w:val="en-US" w:eastAsia="zh-CN"/>
        </w:rPr>
      </w:pPr>
    </w:p>
    <w:p w14:paraId="36D839FC">
      <w:pPr>
        <w:pStyle w:val="4"/>
        <w:spacing w:line="360" w:lineRule="auto"/>
        <w:jc w:val="center"/>
        <w:rPr>
          <w:rFonts w:hint="eastAsia" w:ascii="仿宋" w:hAnsi="仿宋" w:eastAsia="仿宋" w:cs="仿宋"/>
          <w:b/>
          <w:bCs/>
          <w:sz w:val="72"/>
          <w:szCs w:val="72"/>
          <w:highlight w:val="none"/>
          <w:lang w:val="en-US" w:eastAsia="zh-CN"/>
        </w:rPr>
      </w:pPr>
      <w:r>
        <w:rPr>
          <w:rFonts w:hint="eastAsia" w:ascii="仿宋" w:hAnsi="仿宋" w:eastAsia="仿宋" w:cs="仿宋"/>
          <w:b/>
          <w:bCs/>
          <w:sz w:val="72"/>
          <w:szCs w:val="72"/>
          <w:highlight w:val="none"/>
          <w:lang w:val="en-US" w:eastAsia="zh-CN"/>
        </w:rPr>
        <w:t>供</w:t>
      </w:r>
      <w:bookmarkStart w:id="5" w:name="_GoBack"/>
      <w:bookmarkEnd w:id="5"/>
    </w:p>
    <w:p w14:paraId="27623153">
      <w:pPr>
        <w:pStyle w:val="4"/>
        <w:spacing w:line="360" w:lineRule="auto"/>
        <w:jc w:val="center"/>
        <w:rPr>
          <w:rFonts w:hint="eastAsia" w:ascii="仿宋" w:hAnsi="仿宋" w:eastAsia="仿宋" w:cs="仿宋"/>
          <w:b/>
          <w:bCs/>
          <w:sz w:val="72"/>
          <w:szCs w:val="72"/>
          <w:highlight w:val="none"/>
          <w:lang w:val="en-US" w:eastAsia="zh-CN"/>
        </w:rPr>
      </w:pPr>
      <w:r>
        <w:rPr>
          <w:rFonts w:hint="eastAsia" w:ascii="仿宋" w:hAnsi="仿宋" w:eastAsia="仿宋" w:cs="仿宋"/>
          <w:b/>
          <w:bCs/>
          <w:sz w:val="72"/>
          <w:szCs w:val="72"/>
          <w:highlight w:val="none"/>
          <w:lang w:val="en-US" w:eastAsia="zh-CN"/>
        </w:rPr>
        <w:t>货</w:t>
      </w:r>
    </w:p>
    <w:p w14:paraId="54048D23">
      <w:pPr>
        <w:pStyle w:val="4"/>
        <w:spacing w:line="360" w:lineRule="auto"/>
        <w:jc w:val="center"/>
        <w:rPr>
          <w:rFonts w:hint="eastAsia" w:ascii="仿宋" w:hAnsi="仿宋" w:eastAsia="仿宋" w:cs="仿宋"/>
          <w:b/>
          <w:bCs/>
          <w:sz w:val="72"/>
          <w:szCs w:val="72"/>
          <w:highlight w:val="none"/>
          <w:lang w:val="en-US" w:eastAsia="zh-CN"/>
        </w:rPr>
      </w:pPr>
      <w:r>
        <w:rPr>
          <w:rFonts w:hint="eastAsia" w:ascii="仿宋" w:hAnsi="仿宋" w:eastAsia="仿宋" w:cs="仿宋"/>
          <w:b/>
          <w:bCs/>
          <w:sz w:val="72"/>
          <w:szCs w:val="72"/>
          <w:highlight w:val="none"/>
          <w:lang w:val="en-US" w:eastAsia="zh-CN"/>
        </w:rPr>
        <w:t>合</w:t>
      </w:r>
    </w:p>
    <w:p w14:paraId="031A18AC">
      <w:pPr>
        <w:pStyle w:val="4"/>
        <w:spacing w:line="360" w:lineRule="auto"/>
        <w:jc w:val="center"/>
        <w:rPr>
          <w:rFonts w:hint="eastAsia" w:ascii="仿宋" w:hAnsi="仿宋" w:eastAsia="仿宋" w:cs="仿宋"/>
          <w:b/>
          <w:bCs/>
          <w:sz w:val="72"/>
          <w:szCs w:val="72"/>
          <w:highlight w:val="none"/>
          <w:lang w:val="en-US" w:eastAsia="zh-CN"/>
        </w:rPr>
      </w:pPr>
      <w:r>
        <w:rPr>
          <w:rFonts w:hint="eastAsia" w:ascii="仿宋" w:hAnsi="仿宋" w:eastAsia="仿宋" w:cs="仿宋"/>
          <w:b/>
          <w:bCs/>
          <w:sz w:val="72"/>
          <w:szCs w:val="72"/>
          <w:highlight w:val="none"/>
          <w:lang w:val="en-US" w:eastAsia="zh-CN"/>
        </w:rPr>
        <w:t>同</w:t>
      </w:r>
    </w:p>
    <w:p w14:paraId="6BFFB72D">
      <w:pPr>
        <w:pStyle w:val="4"/>
        <w:spacing w:line="360" w:lineRule="auto"/>
        <w:rPr>
          <w:rFonts w:hint="eastAsia" w:ascii="仿宋" w:hAnsi="仿宋" w:eastAsia="仿宋" w:cs="仿宋"/>
          <w:sz w:val="24"/>
          <w:szCs w:val="24"/>
          <w:highlight w:val="none"/>
        </w:rPr>
      </w:pPr>
    </w:p>
    <w:p w14:paraId="7FE1B361">
      <w:pPr>
        <w:pStyle w:val="4"/>
        <w:spacing w:line="360" w:lineRule="auto"/>
        <w:jc w:val="both"/>
        <w:rPr>
          <w:rFonts w:hint="eastAsia" w:ascii="仿宋" w:hAnsi="仿宋" w:eastAsia="仿宋" w:cs="仿宋"/>
          <w:b/>
          <w:bCs/>
          <w:sz w:val="36"/>
          <w:szCs w:val="36"/>
          <w:highlight w:val="none"/>
          <w:lang w:val="en-US" w:eastAsia="zh-CN"/>
        </w:rPr>
      </w:pPr>
    </w:p>
    <w:p w14:paraId="562D0801">
      <w:pPr>
        <w:rPr>
          <w:rFonts w:hint="default"/>
          <w:highlight w:val="none"/>
          <w:lang w:val="en-US"/>
        </w:rPr>
      </w:pPr>
    </w:p>
    <w:p w14:paraId="30ED39E7">
      <w:pPr>
        <w:pStyle w:val="4"/>
        <w:spacing w:line="360" w:lineRule="auto"/>
        <w:rPr>
          <w:rFonts w:hint="eastAsia" w:ascii="仿宋" w:hAnsi="仿宋" w:eastAsia="仿宋" w:cs="仿宋"/>
          <w:sz w:val="24"/>
          <w:szCs w:val="24"/>
          <w:highlight w:val="none"/>
        </w:rPr>
      </w:pPr>
    </w:p>
    <w:p w14:paraId="213EB399">
      <w:pPr>
        <w:pStyle w:val="4"/>
        <w:spacing w:line="360" w:lineRule="auto"/>
        <w:ind w:firstLine="1800" w:firstLineChars="600"/>
        <w:jc w:val="both"/>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甲方（采购人）：</w:t>
      </w:r>
      <w:r>
        <w:rPr>
          <w:rFonts w:hint="eastAsia" w:ascii="仿宋" w:hAnsi="仿宋" w:eastAsia="仿宋" w:cs="仿宋"/>
          <w:sz w:val="30"/>
          <w:szCs w:val="30"/>
          <w:highlight w:val="none"/>
          <w:u w:val="single"/>
          <w:lang w:val="en-US" w:eastAsia="zh-CN"/>
        </w:rPr>
        <w:t xml:space="preserve">             </w:t>
      </w:r>
    </w:p>
    <w:p w14:paraId="0C9F1211">
      <w:pPr>
        <w:pStyle w:val="4"/>
        <w:spacing w:line="360" w:lineRule="auto"/>
        <w:ind w:firstLine="1800" w:firstLineChars="600"/>
        <w:jc w:val="both"/>
        <w:rPr>
          <w:rFonts w:hint="default" w:ascii="仿宋" w:hAnsi="仿宋" w:eastAsia="仿宋" w:cs="仿宋"/>
          <w:sz w:val="30"/>
          <w:szCs w:val="30"/>
          <w:highlight w:val="none"/>
          <w:u w:val="single"/>
          <w:lang w:val="en-US" w:eastAsia="zh-CN"/>
        </w:rPr>
      </w:pPr>
      <w:r>
        <w:rPr>
          <w:rFonts w:hint="eastAsia" w:ascii="仿宋" w:hAnsi="仿宋" w:eastAsia="仿宋" w:cs="仿宋"/>
          <w:sz w:val="30"/>
          <w:szCs w:val="30"/>
          <w:highlight w:val="none"/>
        </w:rPr>
        <w:t>乙方（</w:t>
      </w:r>
      <w:r>
        <w:rPr>
          <w:rFonts w:hint="eastAsia" w:ascii="仿宋" w:hAnsi="仿宋" w:eastAsia="仿宋" w:cs="仿宋"/>
          <w:sz w:val="30"/>
          <w:szCs w:val="30"/>
          <w:highlight w:val="none"/>
          <w:lang w:val="en-US" w:eastAsia="zh-CN"/>
        </w:rPr>
        <w:t>成交供应商</w:t>
      </w:r>
      <w:r>
        <w:rPr>
          <w:rFonts w:hint="eastAsia" w:ascii="仿宋" w:hAnsi="仿宋" w:eastAsia="仿宋" w:cs="仿宋"/>
          <w:sz w:val="30"/>
          <w:szCs w:val="30"/>
          <w:highlight w:val="none"/>
        </w:rPr>
        <w:t>）：</w:t>
      </w:r>
      <w:r>
        <w:rPr>
          <w:rFonts w:hint="eastAsia" w:ascii="仿宋" w:hAnsi="仿宋" w:eastAsia="仿宋" w:cs="仿宋"/>
          <w:sz w:val="30"/>
          <w:szCs w:val="30"/>
          <w:highlight w:val="none"/>
          <w:u w:val="single"/>
          <w:lang w:val="en-US" w:eastAsia="zh-CN"/>
        </w:rPr>
        <w:t xml:space="preserve">          </w:t>
      </w:r>
    </w:p>
    <w:p w14:paraId="74802477">
      <w:pPr>
        <w:ind w:firstLine="1800" w:firstLineChars="600"/>
        <w:rPr>
          <w:rFonts w:hint="eastAsia" w:ascii="仿宋" w:hAnsi="仿宋" w:eastAsia="仿宋" w:cs="仿宋"/>
          <w:sz w:val="24"/>
          <w:szCs w:val="24"/>
          <w:highlight w:val="none"/>
        </w:rPr>
      </w:pPr>
      <w:r>
        <w:rPr>
          <w:rFonts w:hint="eastAsia" w:ascii="仿宋" w:hAnsi="仿宋" w:eastAsia="仿宋" w:cs="仿宋"/>
          <w:sz w:val="30"/>
          <w:szCs w:val="30"/>
          <w:highlight w:val="none"/>
        </w:rPr>
        <w:t>签订日期：</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年</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月</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日</w:t>
      </w:r>
    </w:p>
    <w:p w14:paraId="46F834F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4615E6B">
      <w:pPr>
        <w:pStyle w:val="21"/>
        <w:spacing w:line="360" w:lineRule="auto"/>
        <w:ind w:left="0" w:leftChars="0" w:firstLine="0" w:firstLineChars="0"/>
        <w:rPr>
          <w:rFonts w:hint="default" w:ascii="仿宋" w:hAnsi="仿宋" w:eastAsia="仿宋" w:cs="仿宋"/>
          <w:sz w:val="24"/>
          <w:szCs w:val="24"/>
          <w:highlight w:val="none"/>
          <w:u w:val="single"/>
          <w:lang w:val="en-US"/>
        </w:rPr>
      </w:pPr>
      <w:r>
        <w:rPr>
          <w:rFonts w:hint="eastAsia" w:ascii="仿宋" w:hAnsi="仿宋" w:eastAsia="仿宋" w:cs="仿宋"/>
          <w:sz w:val="24"/>
          <w:szCs w:val="24"/>
          <w:highlight w:val="none"/>
        </w:rPr>
        <w:t>采购人（甲方）：</w:t>
      </w:r>
      <w:r>
        <w:rPr>
          <w:rFonts w:hint="eastAsia" w:ascii="仿宋" w:hAnsi="仿宋" w:eastAsia="仿宋" w:cs="仿宋"/>
          <w:sz w:val="30"/>
          <w:szCs w:val="30"/>
          <w:highlight w:val="none"/>
          <w:u w:val="single"/>
          <w:lang w:val="en-US" w:eastAsia="zh-CN"/>
        </w:rPr>
        <w:t xml:space="preserve">          </w:t>
      </w:r>
    </w:p>
    <w:p w14:paraId="05512D74">
      <w:pPr>
        <w:pStyle w:val="21"/>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成交供应商（乙方）：</w:t>
      </w:r>
      <w:r>
        <w:rPr>
          <w:rFonts w:hint="eastAsia" w:ascii="仿宋" w:hAnsi="仿宋" w:eastAsia="仿宋" w:cs="仿宋"/>
          <w:sz w:val="30"/>
          <w:szCs w:val="30"/>
          <w:highlight w:val="none"/>
          <w:u w:val="single"/>
          <w:lang w:val="en-US" w:eastAsia="zh-CN"/>
        </w:rPr>
        <w:t xml:space="preserve">          </w:t>
      </w:r>
    </w:p>
    <w:p w14:paraId="1377C083">
      <w:pPr>
        <w:pStyle w:val="21"/>
        <w:spacing w:before="156" w:beforeLines="50"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根据《中华人民共和国民法典》和</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rPr>
        <w:t>文件等有关规定，为确保甲方采购项目的顺利实施，甲、乙双方在平等自愿原则下签订本合同，并共同遵守如下条款：</w:t>
      </w:r>
    </w:p>
    <w:p w14:paraId="2D9CE027">
      <w:pPr>
        <w:pStyle w:val="21"/>
        <w:spacing w:before="156" w:beforeLines="50" w:line="240" w:lineRule="auto"/>
        <w:ind w:firstLine="0" w:firstLineChars="0"/>
        <w:rPr>
          <w:rFonts w:hint="eastAsia" w:ascii="仿宋" w:hAnsi="仿宋" w:eastAsia="仿宋" w:cs="仿宋"/>
          <w:b/>
          <w:sz w:val="24"/>
          <w:szCs w:val="24"/>
          <w:highlight w:val="none"/>
        </w:rPr>
      </w:pPr>
      <w:r>
        <w:rPr>
          <w:rFonts w:hint="eastAsia" w:ascii="仿宋" w:hAnsi="仿宋" w:eastAsia="仿宋" w:cs="仿宋"/>
          <w:b/>
          <w:sz w:val="24"/>
          <w:szCs w:val="24"/>
          <w:highlight w:val="none"/>
        </w:rPr>
        <w:t>第一条 合同标的及数量</w:t>
      </w:r>
    </w:p>
    <w:p w14:paraId="74431921">
      <w:pPr>
        <w:pStyle w:val="8"/>
        <w:widowControl/>
        <w:spacing w:line="240" w:lineRule="auto"/>
        <w:ind w:firstLine="48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乙方向甲方提供下列货物（产品）：</w:t>
      </w:r>
    </w:p>
    <w:p w14:paraId="565E95E9">
      <w:pPr>
        <w:pStyle w:val="8"/>
        <w:widowControl/>
        <w:spacing w:line="240" w:lineRule="auto"/>
        <w:ind w:firstLine="482"/>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供货一览表</w:t>
      </w:r>
    </w:p>
    <w:tbl>
      <w:tblPr>
        <w:tblStyle w:val="13"/>
        <w:tblpPr w:leftFromText="180" w:rightFromText="180" w:vertAnchor="text" w:horzAnchor="page" w:tblpX="1238" w:tblpY="292"/>
        <w:tblOverlap w:val="never"/>
        <w:tblW w:w="5672" w:type="pct"/>
        <w:tblInd w:w="0" w:type="dxa"/>
        <w:tblLayout w:type="fixed"/>
        <w:tblCellMar>
          <w:top w:w="0" w:type="dxa"/>
          <w:left w:w="28" w:type="dxa"/>
          <w:bottom w:w="0" w:type="dxa"/>
          <w:right w:w="28" w:type="dxa"/>
        </w:tblCellMar>
      </w:tblPr>
      <w:tblGrid>
        <w:gridCol w:w="687"/>
        <w:gridCol w:w="1092"/>
        <w:gridCol w:w="1075"/>
        <w:gridCol w:w="3213"/>
        <w:gridCol w:w="637"/>
        <w:gridCol w:w="1150"/>
        <w:gridCol w:w="816"/>
        <w:gridCol w:w="816"/>
      </w:tblGrid>
      <w:tr w14:paraId="077F09BA">
        <w:tblPrEx>
          <w:tblCellMar>
            <w:top w:w="0" w:type="dxa"/>
            <w:left w:w="28" w:type="dxa"/>
            <w:bottom w:w="0" w:type="dxa"/>
            <w:right w:w="28" w:type="dxa"/>
          </w:tblCellMar>
        </w:tblPrEx>
        <w:trPr>
          <w:trHeight w:val="567" w:hRule="atLeast"/>
        </w:trPr>
        <w:tc>
          <w:tcPr>
            <w:tcW w:w="687" w:type="dxa"/>
            <w:tcBorders>
              <w:top w:val="single" w:color="auto" w:sz="4" w:space="0"/>
              <w:left w:val="single" w:color="auto" w:sz="4" w:space="0"/>
              <w:bottom w:val="single" w:color="auto" w:sz="4" w:space="0"/>
              <w:right w:val="single" w:color="auto" w:sz="4" w:space="0"/>
            </w:tcBorders>
            <w:noWrap w:val="0"/>
            <w:vAlign w:val="center"/>
          </w:tcPr>
          <w:p w14:paraId="2E9930A3">
            <w:pPr>
              <w:keepNext w:val="0"/>
              <w:keepLines w:val="0"/>
              <w:widowControl/>
              <w:suppressLineNumbers w:val="0"/>
              <w:jc w:val="center"/>
              <w:textAlignment w:val="center"/>
              <w:rPr>
                <w:rFonts w:hint="eastAsia" w:ascii="仿宋" w:hAnsi="仿宋" w:eastAsia="仿宋" w:cs="仿宋"/>
                <w:i w:val="0"/>
                <w:iCs w:val="0"/>
                <w:sz w:val="24"/>
                <w:szCs w:val="24"/>
                <w:highlight w:val="none"/>
              </w:rPr>
            </w:pPr>
            <w:r>
              <w:rPr>
                <w:rFonts w:hint="default" w:ascii="仿宋_GB2312" w:hAnsi="宋体" w:eastAsia="仿宋_GB2312" w:cs="仿宋_GB2312"/>
                <w:b/>
                <w:bCs/>
                <w:i w:val="0"/>
                <w:iCs w:val="0"/>
                <w:color w:val="000000"/>
                <w:kern w:val="0"/>
                <w:sz w:val="22"/>
                <w:szCs w:val="22"/>
                <w:u w:val="none"/>
                <w:lang w:val="en-US" w:eastAsia="zh-CN" w:bidi="ar"/>
              </w:rPr>
              <w:t>序号</w:t>
            </w:r>
          </w:p>
        </w:tc>
        <w:tc>
          <w:tcPr>
            <w:tcW w:w="1092" w:type="dxa"/>
            <w:tcBorders>
              <w:top w:val="single" w:color="auto" w:sz="4" w:space="0"/>
              <w:left w:val="single" w:color="auto" w:sz="4" w:space="0"/>
              <w:bottom w:val="single" w:color="auto" w:sz="4" w:space="0"/>
              <w:right w:val="single" w:color="auto" w:sz="4" w:space="0"/>
            </w:tcBorders>
            <w:noWrap w:val="0"/>
            <w:vAlign w:val="center"/>
          </w:tcPr>
          <w:p w14:paraId="39E155D5">
            <w:pPr>
              <w:keepNext w:val="0"/>
              <w:keepLines w:val="0"/>
              <w:widowControl/>
              <w:suppressLineNumbers w:val="0"/>
              <w:jc w:val="center"/>
              <w:textAlignment w:val="center"/>
              <w:rPr>
                <w:rFonts w:hint="eastAsia" w:ascii="仿宋" w:hAnsi="仿宋" w:eastAsia="仿宋" w:cs="仿宋"/>
                <w:i w:val="0"/>
                <w:iCs w:val="0"/>
                <w:sz w:val="24"/>
                <w:szCs w:val="24"/>
                <w:highlight w:val="none"/>
              </w:rPr>
            </w:pPr>
            <w:r>
              <w:rPr>
                <w:rFonts w:hint="default" w:ascii="仿宋_GB2312" w:hAnsi="宋体" w:eastAsia="仿宋_GB2312" w:cs="仿宋_GB2312"/>
                <w:b/>
                <w:bCs/>
                <w:i w:val="0"/>
                <w:iCs w:val="0"/>
                <w:color w:val="000000"/>
                <w:kern w:val="0"/>
                <w:sz w:val="22"/>
                <w:szCs w:val="22"/>
                <w:u w:val="none"/>
                <w:lang w:val="en-US" w:eastAsia="zh-CN" w:bidi="ar"/>
              </w:rPr>
              <w:t>名 称</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523A63B">
            <w:pPr>
              <w:keepNext w:val="0"/>
              <w:keepLines w:val="0"/>
              <w:widowControl/>
              <w:suppressLineNumbers w:val="0"/>
              <w:jc w:val="center"/>
              <w:textAlignment w:val="center"/>
              <w:rPr>
                <w:rFonts w:hint="eastAsia" w:ascii="仿宋" w:hAnsi="仿宋" w:eastAsia="仿宋" w:cs="仿宋"/>
                <w:i w:val="0"/>
                <w:iCs w:val="0"/>
                <w:sz w:val="24"/>
                <w:szCs w:val="24"/>
                <w:highlight w:val="none"/>
              </w:rPr>
            </w:pPr>
            <w:r>
              <w:rPr>
                <w:rFonts w:hint="default" w:ascii="仿宋_GB2312" w:hAnsi="宋体" w:eastAsia="仿宋_GB2312" w:cs="仿宋_GB2312"/>
                <w:b/>
                <w:bCs/>
                <w:i w:val="0"/>
                <w:iCs w:val="0"/>
                <w:color w:val="000000"/>
                <w:kern w:val="0"/>
                <w:sz w:val="22"/>
                <w:szCs w:val="22"/>
                <w:u w:val="none"/>
                <w:lang w:val="en-US" w:eastAsia="zh-CN" w:bidi="ar"/>
              </w:rPr>
              <w:t>型 号</w:t>
            </w:r>
          </w:p>
        </w:tc>
        <w:tc>
          <w:tcPr>
            <w:tcW w:w="3213" w:type="dxa"/>
            <w:tcBorders>
              <w:top w:val="single" w:color="auto" w:sz="4" w:space="0"/>
              <w:left w:val="single" w:color="auto" w:sz="4" w:space="0"/>
              <w:bottom w:val="single" w:color="auto" w:sz="4" w:space="0"/>
              <w:right w:val="single" w:color="auto" w:sz="4" w:space="0"/>
            </w:tcBorders>
            <w:noWrap w:val="0"/>
            <w:vAlign w:val="center"/>
          </w:tcPr>
          <w:p w14:paraId="349D49F4">
            <w:pPr>
              <w:keepNext w:val="0"/>
              <w:keepLines w:val="0"/>
              <w:widowControl/>
              <w:suppressLineNumbers w:val="0"/>
              <w:jc w:val="center"/>
              <w:textAlignment w:val="center"/>
              <w:rPr>
                <w:rFonts w:hint="eastAsia" w:ascii="仿宋" w:hAnsi="仿宋" w:eastAsia="仿宋" w:cs="仿宋"/>
                <w:i w:val="0"/>
                <w:iCs w:val="0"/>
                <w:sz w:val="24"/>
                <w:szCs w:val="24"/>
                <w:highlight w:val="none"/>
                <w:lang w:val="en-US" w:eastAsia="zh-CN"/>
              </w:rPr>
            </w:pPr>
            <w:r>
              <w:rPr>
                <w:rStyle w:val="22"/>
                <w:lang w:val="en-US" w:eastAsia="zh-CN" w:bidi="ar"/>
              </w:rPr>
              <w:t>采购</w:t>
            </w:r>
            <w:r>
              <w:rPr>
                <w:rStyle w:val="23"/>
                <w:rFonts w:hAnsi="宋体"/>
                <w:lang w:val="en-US" w:eastAsia="zh-CN" w:bidi="ar"/>
              </w:rPr>
              <w:t>要求</w:t>
            </w:r>
          </w:p>
        </w:tc>
        <w:tc>
          <w:tcPr>
            <w:tcW w:w="637" w:type="dxa"/>
            <w:tcBorders>
              <w:top w:val="single" w:color="auto" w:sz="4" w:space="0"/>
              <w:left w:val="single" w:color="auto" w:sz="4" w:space="0"/>
              <w:bottom w:val="single" w:color="auto" w:sz="4" w:space="0"/>
              <w:right w:val="single" w:color="auto" w:sz="4" w:space="0"/>
            </w:tcBorders>
            <w:noWrap w:val="0"/>
            <w:vAlign w:val="center"/>
          </w:tcPr>
          <w:p w14:paraId="55A009E4">
            <w:pPr>
              <w:keepNext w:val="0"/>
              <w:keepLines w:val="0"/>
              <w:widowControl/>
              <w:suppressLineNumbers w:val="0"/>
              <w:jc w:val="center"/>
              <w:textAlignment w:val="center"/>
              <w:rPr>
                <w:rFonts w:hint="eastAsia" w:ascii="仿宋" w:hAnsi="仿宋" w:eastAsia="仿宋" w:cs="仿宋"/>
                <w:i w:val="0"/>
                <w:iCs w:val="0"/>
                <w:sz w:val="24"/>
                <w:szCs w:val="24"/>
                <w:highlight w:val="none"/>
              </w:rPr>
            </w:pPr>
            <w:r>
              <w:rPr>
                <w:rFonts w:hint="default" w:ascii="仿宋_GB2312" w:hAnsi="宋体" w:eastAsia="仿宋_GB2312" w:cs="仿宋_GB2312"/>
                <w:b/>
                <w:bCs/>
                <w:i w:val="0"/>
                <w:iCs w:val="0"/>
                <w:color w:val="000000"/>
                <w:kern w:val="0"/>
                <w:sz w:val="22"/>
                <w:szCs w:val="22"/>
                <w:u w:val="none"/>
                <w:lang w:val="en-US" w:eastAsia="zh-CN" w:bidi="ar"/>
              </w:rPr>
              <w:t>单位</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66649E4B">
            <w:pPr>
              <w:keepNext w:val="0"/>
              <w:keepLines w:val="0"/>
              <w:widowControl/>
              <w:suppressLineNumbers w:val="0"/>
              <w:jc w:val="center"/>
              <w:textAlignment w:val="center"/>
              <w:rPr>
                <w:rFonts w:hint="eastAsia" w:ascii="仿宋" w:hAnsi="仿宋" w:eastAsia="仿宋" w:cs="仿宋"/>
                <w:bCs/>
                <w:i w:val="0"/>
                <w:iCs w:val="0"/>
                <w:sz w:val="24"/>
                <w:szCs w:val="24"/>
                <w:highlight w:val="none"/>
              </w:rPr>
            </w:pPr>
            <w:r>
              <w:rPr>
                <w:rFonts w:hint="default" w:ascii="仿宋_GB2312" w:hAnsi="宋体" w:eastAsia="仿宋_GB2312" w:cs="仿宋_GB2312"/>
                <w:b/>
                <w:bCs/>
                <w:i w:val="0"/>
                <w:iCs w:val="0"/>
                <w:color w:val="000000"/>
                <w:kern w:val="0"/>
                <w:sz w:val="22"/>
                <w:szCs w:val="22"/>
                <w:u w:val="none"/>
                <w:lang w:val="en-US" w:eastAsia="zh-CN" w:bidi="ar"/>
              </w:rPr>
              <w:t>数量</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2BA37C">
            <w:pPr>
              <w:keepNext w:val="0"/>
              <w:keepLines w:val="0"/>
              <w:widowControl/>
              <w:suppressLineNumbers w:val="0"/>
              <w:jc w:val="center"/>
              <w:textAlignment w:val="center"/>
              <w:rPr>
                <w:rFonts w:hint="eastAsia" w:ascii="仿宋" w:hAnsi="仿宋" w:eastAsia="仿宋" w:cs="仿宋"/>
                <w:bCs/>
                <w:i w:val="0"/>
                <w:iCs w:val="0"/>
                <w:sz w:val="24"/>
                <w:szCs w:val="24"/>
                <w:highlight w:val="none"/>
              </w:rPr>
            </w:pPr>
            <w:r>
              <w:rPr>
                <w:rFonts w:hint="default" w:ascii="仿宋_GB2312" w:hAnsi="宋体" w:eastAsia="仿宋_GB2312" w:cs="仿宋_GB2312"/>
                <w:b/>
                <w:bCs/>
                <w:i w:val="0"/>
                <w:iCs w:val="0"/>
                <w:color w:val="000000"/>
                <w:kern w:val="0"/>
                <w:sz w:val="22"/>
                <w:szCs w:val="22"/>
                <w:u w:val="none"/>
                <w:lang w:val="en-US" w:eastAsia="zh-CN" w:bidi="ar"/>
              </w:rPr>
              <w:t>单价</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5AC4046">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2"/>
                <w:szCs w:val="22"/>
                <w:u w:val="none"/>
                <w:lang w:val="en-US" w:eastAsia="zh-CN" w:bidi="ar"/>
              </w:rPr>
            </w:pPr>
            <w:r>
              <w:rPr>
                <w:rFonts w:hint="eastAsia" w:ascii="仿宋_GB2312" w:hAnsi="宋体" w:eastAsia="仿宋_GB2312" w:cs="仿宋_GB2312"/>
                <w:b/>
                <w:bCs/>
                <w:i w:val="0"/>
                <w:iCs w:val="0"/>
                <w:color w:val="000000"/>
                <w:kern w:val="0"/>
                <w:sz w:val="22"/>
                <w:szCs w:val="22"/>
                <w:u w:val="none"/>
                <w:lang w:val="en-US" w:eastAsia="zh-CN" w:bidi="ar"/>
              </w:rPr>
              <w:t>总价</w:t>
            </w:r>
          </w:p>
        </w:tc>
      </w:tr>
      <w:tr w14:paraId="4DD39270">
        <w:tblPrEx>
          <w:tblCellMar>
            <w:top w:w="0" w:type="dxa"/>
            <w:left w:w="28" w:type="dxa"/>
            <w:bottom w:w="0" w:type="dxa"/>
            <w:right w:w="28" w:type="dxa"/>
          </w:tblCellMar>
        </w:tblPrEx>
        <w:trPr>
          <w:trHeight w:val="567" w:hRule="atLeast"/>
        </w:trPr>
        <w:tc>
          <w:tcPr>
            <w:tcW w:w="687" w:type="dxa"/>
            <w:tcBorders>
              <w:top w:val="single" w:color="auto" w:sz="4" w:space="0"/>
              <w:left w:val="single" w:color="auto" w:sz="4" w:space="0"/>
              <w:bottom w:val="single" w:color="auto" w:sz="6" w:space="0"/>
            </w:tcBorders>
            <w:noWrap w:val="0"/>
            <w:vAlign w:val="center"/>
          </w:tcPr>
          <w:p w14:paraId="735E8CBA">
            <w:pPr>
              <w:keepNext w:val="0"/>
              <w:keepLines w:val="0"/>
              <w:widowControl/>
              <w:suppressLineNumbers w:val="0"/>
              <w:jc w:val="center"/>
              <w:textAlignment w:val="center"/>
              <w:rPr>
                <w:rFonts w:hint="eastAsia" w:ascii="仿宋" w:hAnsi="仿宋" w:eastAsia="仿宋" w:cs="仿宋"/>
                <w:i w:val="0"/>
                <w:iCs w:val="0"/>
                <w:sz w:val="24"/>
                <w:szCs w:val="24"/>
                <w:highlight w:val="none"/>
                <w:lang w:val="en-US" w:eastAsia="zh-CN"/>
              </w:rPr>
            </w:pPr>
          </w:p>
        </w:tc>
        <w:tc>
          <w:tcPr>
            <w:tcW w:w="1092" w:type="dxa"/>
            <w:tcBorders>
              <w:top w:val="single" w:color="auto" w:sz="4" w:space="0"/>
              <w:left w:val="single" w:color="auto" w:sz="6" w:space="0"/>
              <w:bottom w:val="single" w:color="auto" w:sz="6" w:space="0"/>
              <w:right w:val="single" w:color="auto" w:sz="6" w:space="0"/>
            </w:tcBorders>
            <w:noWrap w:val="0"/>
            <w:vAlign w:val="center"/>
          </w:tcPr>
          <w:p w14:paraId="18AB1DFF">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bidi="ar-SA"/>
              </w:rPr>
            </w:pPr>
          </w:p>
        </w:tc>
        <w:tc>
          <w:tcPr>
            <w:tcW w:w="1075" w:type="dxa"/>
            <w:tcBorders>
              <w:top w:val="single" w:color="auto" w:sz="4" w:space="0"/>
              <w:left w:val="single" w:color="auto" w:sz="6" w:space="0"/>
              <w:bottom w:val="single" w:color="auto" w:sz="6" w:space="0"/>
              <w:right w:val="single" w:color="auto" w:sz="6" w:space="0"/>
            </w:tcBorders>
            <w:noWrap w:val="0"/>
            <w:vAlign w:val="center"/>
          </w:tcPr>
          <w:p w14:paraId="16CF2B54">
            <w:pPr>
              <w:keepNext w:val="0"/>
              <w:keepLines w:val="0"/>
              <w:widowControl/>
              <w:suppressLineNumbers w:val="0"/>
              <w:jc w:val="center"/>
              <w:textAlignment w:val="center"/>
              <w:rPr>
                <w:rFonts w:hint="eastAsia" w:ascii="仿宋" w:hAnsi="仿宋" w:eastAsia="仿宋" w:cs="仿宋"/>
                <w:i w:val="0"/>
                <w:iCs w:val="0"/>
                <w:color w:val="000000"/>
                <w:sz w:val="24"/>
                <w:szCs w:val="24"/>
                <w:lang w:val="en-US" w:eastAsia="zh-CN" w:bidi="ar-SA"/>
              </w:rPr>
            </w:pPr>
          </w:p>
        </w:tc>
        <w:tc>
          <w:tcPr>
            <w:tcW w:w="3213" w:type="dxa"/>
            <w:tcBorders>
              <w:top w:val="single" w:color="auto" w:sz="4" w:space="0"/>
              <w:left w:val="single" w:color="auto" w:sz="6" w:space="0"/>
              <w:bottom w:val="single" w:color="auto" w:sz="6" w:space="0"/>
              <w:right w:val="single" w:color="auto" w:sz="6" w:space="0"/>
            </w:tcBorders>
            <w:noWrap w:val="0"/>
            <w:vAlign w:val="center"/>
          </w:tcPr>
          <w:p w14:paraId="778EC584">
            <w:pPr>
              <w:keepNext w:val="0"/>
              <w:keepLines w:val="0"/>
              <w:widowControl/>
              <w:suppressLineNumbers w:val="0"/>
              <w:jc w:val="left"/>
              <w:textAlignment w:val="center"/>
              <w:rPr>
                <w:rFonts w:hint="eastAsia" w:ascii="仿宋" w:hAnsi="仿宋" w:eastAsia="仿宋" w:cs="仿宋"/>
                <w:i w:val="0"/>
                <w:iCs w:val="0"/>
                <w:color w:val="auto"/>
                <w:kern w:val="2"/>
                <w:sz w:val="24"/>
                <w:szCs w:val="24"/>
                <w:lang w:val="en-US" w:eastAsia="zh-CN" w:bidi="ar-SA"/>
              </w:rPr>
            </w:pPr>
          </w:p>
        </w:tc>
        <w:tc>
          <w:tcPr>
            <w:tcW w:w="637" w:type="dxa"/>
            <w:tcBorders>
              <w:top w:val="single" w:color="auto" w:sz="4" w:space="0"/>
              <w:left w:val="single" w:color="auto" w:sz="6" w:space="0"/>
              <w:bottom w:val="single" w:color="auto" w:sz="6" w:space="0"/>
              <w:right w:val="single" w:color="auto" w:sz="6" w:space="0"/>
            </w:tcBorders>
            <w:noWrap w:val="0"/>
            <w:vAlign w:val="center"/>
          </w:tcPr>
          <w:p w14:paraId="79080EA0">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bidi="ar-SA"/>
              </w:rPr>
            </w:pPr>
          </w:p>
        </w:tc>
        <w:tc>
          <w:tcPr>
            <w:tcW w:w="1150" w:type="dxa"/>
            <w:tcBorders>
              <w:top w:val="single" w:color="auto" w:sz="4" w:space="0"/>
              <w:left w:val="single" w:color="auto" w:sz="6" w:space="0"/>
              <w:bottom w:val="single" w:color="auto" w:sz="6" w:space="0"/>
              <w:right w:val="single" w:color="auto" w:sz="6" w:space="0"/>
            </w:tcBorders>
            <w:noWrap w:val="0"/>
            <w:vAlign w:val="center"/>
          </w:tcPr>
          <w:p w14:paraId="2F2F0112">
            <w:pPr>
              <w:keepNext w:val="0"/>
              <w:keepLines w:val="0"/>
              <w:widowControl/>
              <w:suppressLineNumbers w:val="0"/>
              <w:jc w:val="center"/>
              <w:textAlignment w:val="center"/>
              <w:rPr>
                <w:rFonts w:hint="eastAsia" w:ascii="仿宋" w:hAnsi="仿宋" w:eastAsia="仿宋" w:cs="仿宋"/>
                <w:i w:val="0"/>
                <w:iCs w:val="0"/>
                <w:color w:val="auto"/>
                <w:kern w:val="2"/>
                <w:sz w:val="24"/>
                <w:szCs w:val="24"/>
                <w:lang w:val="en-US" w:eastAsia="zh-CN" w:bidi="ar-SA"/>
              </w:rPr>
            </w:pPr>
          </w:p>
        </w:tc>
        <w:tc>
          <w:tcPr>
            <w:tcW w:w="816" w:type="dxa"/>
            <w:tcBorders>
              <w:top w:val="single" w:color="auto" w:sz="4" w:space="0"/>
              <w:left w:val="single" w:color="auto" w:sz="6" w:space="0"/>
              <w:bottom w:val="single" w:color="auto" w:sz="6" w:space="0"/>
              <w:right w:val="single" w:color="auto" w:sz="6" w:space="0"/>
            </w:tcBorders>
            <w:noWrap w:val="0"/>
            <w:vAlign w:val="center"/>
          </w:tcPr>
          <w:p w14:paraId="2FF75C54">
            <w:pPr>
              <w:keepNext w:val="0"/>
              <w:keepLines w:val="0"/>
              <w:widowControl/>
              <w:suppressLineNumbers w:val="0"/>
              <w:jc w:val="center"/>
              <w:textAlignment w:val="center"/>
              <w:rPr>
                <w:rFonts w:hint="eastAsia" w:ascii="仿宋" w:hAnsi="仿宋" w:eastAsia="仿宋" w:cs="仿宋"/>
                <w:i w:val="0"/>
                <w:iCs w:val="0"/>
                <w:color w:val="auto"/>
                <w:kern w:val="2"/>
                <w:sz w:val="24"/>
                <w:szCs w:val="24"/>
                <w:lang w:val="en-US" w:eastAsia="zh-CN" w:bidi="ar-SA"/>
              </w:rPr>
            </w:pPr>
          </w:p>
        </w:tc>
        <w:tc>
          <w:tcPr>
            <w:tcW w:w="816" w:type="dxa"/>
            <w:tcBorders>
              <w:top w:val="single" w:color="auto" w:sz="4" w:space="0"/>
              <w:left w:val="single" w:color="auto" w:sz="6" w:space="0"/>
              <w:bottom w:val="single" w:color="auto" w:sz="6" w:space="0"/>
              <w:right w:val="single" w:color="auto" w:sz="6" w:space="0"/>
            </w:tcBorders>
            <w:noWrap w:val="0"/>
            <w:vAlign w:val="center"/>
          </w:tcPr>
          <w:p w14:paraId="09B77134">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14:paraId="134C4486">
        <w:tblPrEx>
          <w:tblCellMar>
            <w:top w:w="0" w:type="dxa"/>
            <w:left w:w="28" w:type="dxa"/>
            <w:bottom w:w="0" w:type="dxa"/>
            <w:right w:w="28" w:type="dxa"/>
          </w:tblCellMar>
        </w:tblPrEx>
        <w:trPr>
          <w:trHeight w:val="567" w:hRule="atLeast"/>
        </w:trPr>
        <w:tc>
          <w:tcPr>
            <w:tcW w:w="687" w:type="dxa"/>
            <w:tcBorders>
              <w:top w:val="single" w:color="auto" w:sz="4" w:space="0"/>
              <w:left w:val="single" w:color="auto" w:sz="4" w:space="0"/>
              <w:bottom w:val="single" w:color="auto" w:sz="6" w:space="0"/>
            </w:tcBorders>
            <w:noWrap w:val="0"/>
            <w:vAlign w:val="center"/>
          </w:tcPr>
          <w:p w14:paraId="2D209E97">
            <w:pPr>
              <w:keepNext w:val="0"/>
              <w:keepLines w:val="0"/>
              <w:widowControl/>
              <w:suppressLineNumbers w:val="0"/>
              <w:jc w:val="center"/>
              <w:textAlignment w:val="center"/>
              <w:rPr>
                <w:rFonts w:hint="eastAsia" w:ascii="仿宋" w:hAnsi="仿宋" w:eastAsia="仿宋" w:cs="仿宋"/>
                <w:i w:val="0"/>
                <w:iCs w:val="0"/>
                <w:sz w:val="24"/>
                <w:szCs w:val="24"/>
                <w:highlight w:val="none"/>
                <w:lang w:val="en-US" w:eastAsia="zh-CN"/>
              </w:rPr>
            </w:pPr>
          </w:p>
        </w:tc>
        <w:tc>
          <w:tcPr>
            <w:tcW w:w="1092" w:type="dxa"/>
            <w:tcBorders>
              <w:top w:val="single" w:color="auto" w:sz="4" w:space="0"/>
              <w:left w:val="single" w:color="auto" w:sz="6" w:space="0"/>
              <w:bottom w:val="single" w:color="auto" w:sz="6" w:space="0"/>
              <w:right w:val="single" w:color="auto" w:sz="6" w:space="0"/>
            </w:tcBorders>
            <w:noWrap w:val="0"/>
            <w:vAlign w:val="center"/>
          </w:tcPr>
          <w:p w14:paraId="6121BC9A">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bidi="ar-SA"/>
              </w:rPr>
            </w:pPr>
          </w:p>
        </w:tc>
        <w:tc>
          <w:tcPr>
            <w:tcW w:w="1075" w:type="dxa"/>
            <w:tcBorders>
              <w:top w:val="single" w:color="auto" w:sz="4" w:space="0"/>
              <w:left w:val="single" w:color="auto" w:sz="6" w:space="0"/>
              <w:bottom w:val="single" w:color="auto" w:sz="6" w:space="0"/>
              <w:right w:val="single" w:color="auto" w:sz="6" w:space="0"/>
            </w:tcBorders>
            <w:noWrap w:val="0"/>
            <w:vAlign w:val="center"/>
          </w:tcPr>
          <w:p w14:paraId="7765B610">
            <w:pPr>
              <w:keepNext w:val="0"/>
              <w:keepLines w:val="0"/>
              <w:widowControl/>
              <w:suppressLineNumbers w:val="0"/>
              <w:jc w:val="center"/>
              <w:textAlignment w:val="center"/>
              <w:rPr>
                <w:rFonts w:hint="eastAsia" w:ascii="仿宋" w:hAnsi="仿宋" w:eastAsia="仿宋" w:cs="仿宋"/>
                <w:i w:val="0"/>
                <w:iCs w:val="0"/>
                <w:color w:val="000000"/>
                <w:sz w:val="24"/>
                <w:szCs w:val="24"/>
                <w:lang w:val="en-US" w:eastAsia="zh-CN" w:bidi="ar-SA"/>
              </w:rPr>
            </w:pPr>
          </w:p>
        </w:tc>
        <w:tc>
          <w:tcPr>
            <w:tcW w:w="3213" w:type="dxa"/>
            <w:tcBorders>
              <w:top w:val="single" w:color="auto" w:sz="4" w:space="0"/>
              <w:left w:val="single" w:color="auto" w:sz="6" w:space="0"/>
              <w:bottom w:val="single" w:color="auto" w:sz="6" w:space="0"/>
              <w:right w:val="single" w:color="auto" w:sz="6" w:space="0"/>
            </w:tcBorders>
            <w:noWrap w:val="0"/>
            <w:vAlign w:val="center"/>
          </w:tcPr>
          <w:p w14:paraId="0535CBDB">
            <w:pPr>
              <w:keepNext w:val="0"/>
              <w:keepLines w:val="0"/>
              <w:widowControl/>
              <w:suppressLineNumbers w:val="0"/>
              <w:jc w:val="left"/>
              <w:textAlignment w:val="center"/>
              <w:rPr>
                <w:rFonts w:hint="eastAsia" w:ascii="仿宋" w:hAnsi="仿宋" w:eastAsia="仿宋" w:cs="仿宋"/>
                <w:i w:val="0"/>
                <w:iCs w:val="0"/>
                <w:color w:val="auto"/>
                <w:kern w:val="2"/>
                <w:sz w:val="24"/>
                <w:szCs w:val="24"/>
                <w:lang w:val="en-US" w:eastAsia="zh-CN" w:bidi="ar-SA"/>
              </w:rPr>
            </w:pPr>
          </w:p>
        </w:tc>
        <w:tc>
          <w:tcPr>
            <w:tcW w:w="637" w:type="dxa"/>
            <w:tcBorders>
              <w:top w:val="single" w:color="auto" w:sz="4" w:space="0"/>
              <w:left w:val="single" w:color="auto" w:sz="6" w:space="0"/>
              <w:bottom w:val="single" w:color="auto" w:sz="6" w:space="0"/>
              <w:right w:val="single" w:color="auto" w:sz="6" w:space="0"/>
            </w:tcBorders>
            <w:noWrap w:val="0"/>
            <w:vAlign w:val="center"/>
          </w:tcPr>
          <w:p w14:paraId="6FFF7DBF">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bidi="ar-SA"/>
              </w:rPr>
            </w:pPr>
          </w:p>
        </w:tc>
        <w:tc>
          <w:tcPr>
            <w:tcW w:w="1150" w:type="dxa"/>
            <w:tcBorders>
              <w:top w:val="single" w:color="auto" w:sz="4" w:space="0"/>
              <w:left w:val="single" w:color="auto" w:sz="6" w:space="0"/>
              <w:bottom w:val="single" w:color="auto" w:sz="6" w:space="0"/>
              <w:right w:val="single" w:color="auto" w:sz="6" w:space="0"/>
            </w:tcBorders>
            <w:noWrap w:val="0"/>
            <w:vAlign w:val="center"/>
          </w:tcPr>
          <w:p w14:paraId="6D636CC5">
            <w:pPr>
              <w:keepNext w:val="0"/>
              <w:keepLines w:val="0"/>
              <w:widowControl/>
              <w:suppressLineNumbers w:val="0"/>
              <w:jc w:val="center"/>
              <w:textAlignment w:val="center"/>
              <w:rPr>
                <w:rFonts w:hint="eastAsia" w:ascii="仿宋" w:hAnsi="仿宋" w:eastAsia="仿宋" w:cs="仿宋"/>
                <w:i w:val="0"/>
                <w:iCs w:val="0"/>
                <w:color w:val="auto"/>
                <w:kern w:val="2"/>
                <w:sz w:val="24"/>
                <w:szCs w:val="24"/>
                <w:lang w:val="en-US" w:eastAsia="zh-CN" w:bidi="ar-SA"/>
              </w:rPr>
            </w:pPr>
          </w:p>
        </w:tc>
        <w:tc>
          <w:tcPr>
            <w:tcW w:w="816" w:type="dxa"/>
            <w:tcBorders>
              <w:top w:val="single" w:color="auto" w:sz="4" w:space="0"/>
              <w:left w:val="single" w:color="auto" w:sz="6" w:space="0"/>
              <w:bottom w:val="single" w:color="auto" w:sz="6" w:space="0"/>
              <w:right w:val="single" w:color="auto" w:sz="6" w:space="0"/>
            </w:tcBorders>
            <w:noWrap w:val="0"/>
            <w:vAlign w:val="center"/>
          </w:tcPr>
          <w:p w14:paraId="2F3A5B30">
            <w:pPr>
              <w:keepNext w:val="0"/>
              <w:keepLines w:val="0"/>
              <w:widowControl/>
              <w:suppressLineNumbers w:val="0"/>
              <w:jc w:val="center"/>
              <w:textAlignment w:val="center"/>
              <w:rPr>
                <w:rFonts w:hint="eastAsia" w:ascii="仿宋" w:hAnsi="仿宋" w:eastAsia="仿宋" w:cs="仿宋"/>
                <w:i w:val="0"/>
                <w:iCs w:val="0"/>
                <w:color w:val="auto"/>
                <w:kern w:val="2"/>
                <w:sz w:val="24"/>
                <w:szCs w:val="24"/>
                <w:lang w:val="en-US" w:eastAsia="zh-CN" w:bidi="ar-SA"/>
              </w:rPr>
            </w:pPr>
          </w:p>
        </w:tc>
        <w:tc>
          <w:tcPr>
            <w:tcW w:w="816" w:type="dxa"/>
            <w:tcBorders>
              <w:top w:val="single" w:color="auto" w:sz="4" w:space="0"/>
              <w:left w:val="single" w:color="auto" w:sz="6" w:space="0"/>
              <w:bottom w:val="single" w:color="auto" w:sz="6" w:space="0"/>
              <w:right w:val="single" w:color="auto" w:sz="6" w:space="0"/>
            </w:tcBorders>
            <w:noWrap w:val="0"/>
            <w:vAlign w:val="center"/>
          </w:tcPr>
          <w:p w14:paraId="2EB75127">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14:paraId="68A4200F">
        <w:tblPrEx>
          <w:tblCellMar>
            <w:top w:w="0" w:type="dxa"/>
            <w:left w:w="28" w:type="dxa"/>
            <w:bottom w:w="0" w:type="dxa"/>
            <w:right w:w="28" w:type="dxa"/>
          </w:tblCellMar>
        </w:tblPrEx>
        <w:trPr>
          <w:trHeight w:val="567" w:hRule="atLeast"/>
        </w:trPr>
        <w:tc>
          <w:tcPr>
            <w:tcW w:w="687" w:type="dxa"/>
            <w:tcBorders>
              <w:top w:val="single" w:color="auto" w:sz="4" w:space="0"/>
              <w:left w:val="single" w:color="auto" w:sz="4" w:space="0"/>
              <w:bottom w:val="single" w:color="auto" w:sz="4" w:space="0"/>
              <w:right w:val="single" w:color="auto" w:sz="6" w:space="0"/>
            </w:tcBorders>
            <w:noWrap w:val="0"/>
            <w:vAlign w:val="center"/>
          </w:tcPr>
          <w:p w14:paraId="78A3C6D7">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092" w:type="dxa"/>
            <w:tcBorders>
              <w:top w:val="single" w:color="auto" w:sz="4" w:space="0"/>
              <w:left w:val="single" w:color="auto" w:sz="4" w:space="0"/>
              <w:bottom w:val="single" w:color="auto" w:sz="4" w:space="0"/>
              <w:right w:val="single" w:color="auto" w:sz="6" w:space="0"/>
            </w:tcBorders>
            <w:noWrap w:val="0"/>
            <w:vAlign w:val="center"/>
          </w:tcPr>
          <w:p w14:paraId="5B55D02B">
            <w:pPr>
              <w:keepNext w:val="0"/>
              <w:keepLines w:val="0"/>
              <w:widowControl/>
              <w:suppressLineNumbers w:val="0"/>
              <w:jc w:val="center"/>
              <w:textAlignment w:val="center"/>
              <w:rPr>
                <w:rFonts w:hint="eastAsia" w:ascii="仿宋" w:hAnsi="仿宋" w:eastAsia="仿宋" w:cs="仿宋"/>
              </w:rPr>
            </w:pPr>
          </w:p>
        </w:tc>
        <w:tc>
          <w:tcPr>
            <w:tcW w:w="1075" w:type="dxa"/>
            <w:tcBorders>
              <w:top w:val="single" w:color="auto" w:sz="4" w:space="0"/>
              <w:left w:val="single" w:color="auto" w:sz="6" w:space="0"/>
              <w:bottom w:val="single" w:color="auto" w:sz="4" w:space="0"/>
              <w:right w:val="single" w:color="auto" w:sz="6" w:space="0"/>
            </w:tcBorders>
            <w:noWrap w:val="0"/>
            <w:vAlign w:val="center"/>
          </w:tcPr>
          <w:p w14:paraId="25164D6C">
            <w:pPr>
              <w:keepNext w:val="0"/>
              <w:keepLines w:val="0"/>
              <w:widowControl/>
              <w:suppressLineNumbers w:val="0"/>
              <w:jc w:val="center"/>
              <w:textAlignment w:val="center"/>
              <w:rPr>
                <w:rFonts w:hint="eastAsia" w:ascii="仿宋" w:hAnsi="仿宋" w:eastAsia="仿宋" w:cs="仿宋"/>
                <w:b/>
                <w:bCs/>
                <w:i w:val="0"/>
                <w:iCs w:val="0"/>
                <w:color w:val="auto"/>
                <w:kern w:val="2"/>
                <w:sz w:val="24"/>
                <w:szCs w:val="24"/>
                <w:lang w:val="en-US" w:eastAsia="zh-CN" w:bidi="ar-SA"/>
              </w:rPr>
            </w:pPr>
          </w:p>
        </w:tc>
        <w:tc>
          <w:tcPr>
            <w:tcW w:w="3213" w:type="dxa"/>
            <w:tcBorders>
              <w:top w:val="single" w:color="auto" w:sz="4" w:space="0"/>
              <w:left w:val="single" w:color="auto" w:sz="6" w:space="0"/>
              <w:bottom w:val="single" w:color="auto" w:sz="4" w:space="0"/>
              <w:right w:val="single" w:color="auto" w:sz="6" w:space="0"/>
            </w:tcBorders>
            <w:noWrap w:val="0"/>
            <w:vAlign w:val="center"/>
          </w:tcPr>
          <w:p w14:paraId="52F9F631">
            <w:pPr>
              <w:keepNext w:val="0"/>
              <w:keepLines w:val="0"/>
              <w:widowControl/>
              <w:suppressLineNumbers w:val="0"/>
              <w:jc w:val="left"/>
              <w:textAlignment w:val="center"/>
              <w:rPr>
                <w:rFonts w:hint="eastAsia" w:ascii="仿宋" w:hAnsi="仿宋" w:eastAsia="仿宋" w:cs="仿宋"/>
              </w:rPr>
            </w:pPr>
          </w:p>
        </w:tc>
        <w:tc>
          <w:tcPr>
            <w:tcW w:w="637" w:type="dxa"/>
            <w:tcBorders>
              <w:top w:val="single" w:color="auto" w:sz="4" w:space="0"/>
              <w:left w:val="single" w:color="auto" w:sz="6" w:space="0"/>
              <w:bottom w:val="single" w:color="auto" w:sz="4" w:space="0"/>
              <w:right w:val="single" w:color="auto" w:sz="6" w:space="0"/>
            </w:tcBorders>
            <w:noWrap w:val="0"/>
            <w:vAlign w:val="center"/>
          </w:tcPr>
          <w:p w14:paraId="21863B1C">
            <w:pPr>
              <w:keepNext w:val="0"/>
              <w:keepLines w:val="0"/>
              <w:widowControl/>
              <w:suppressLineNumbers w:val="0"/>
              <w:jc w:val="center"/>
              <w:textAlignment w:val="center"/>
              <w:rPr>
                <w:rFonts w:hint="eastAsia" w:ascii="仿宋" w:hAnsi="仿宋" w:eastAsia="仿宋" w:cs="仿宋"/>
              </w:rPr>
            </w:pPr>
          </w:p>
        </w:tc>
        <w:tc>
          <w:tcPr>
            <w:tcW w:w="1150" w:type="dxa"/>
            <w:tcBorders>
              <w:top w:val="single" w:color="auto" w:sz="4" w:space="0"/>
              <w:left w:val="single" w:color="auto" w:sz="6" w:space="0"/>
              <w:bottom w:val="single" w:color="auto" w:sz="4" w:space="0"/>
              <w:right w:val="single" w:color="auto" w:sz="6" w:space="0"/>
            </w:tcBorders>
            <w:noWrap w:val="0"/>
            <w:vAlign w:val="center"/>
          </w:tcPr>
          <w:p w14:paraId="555BF5C0">
            <w:pPr>
              <w:keepNext w:val="0"/>
              <w:keepLines w:val="0"/>
              <w:widowControl/>
              <w:suppressLineNumbers w:val="0"/>
              <w:jc w:val="center"/>
              <w:textAlignment w:val="center"/>
              <w:rPr>
                <w:rFonts w:hint="eastAsia" w:ascii="仿宋" w:hAnsi="仿宋" w:eastAsia="仿宋" w:cs="仿宋"/>
              </w:rPr>
            </w:pPr>
          </w:p>
        </w:tc>
        <w:tc>
          <w:tcPr>
            <w:tcW w:w="816" w:type="dxa"/>
            <w:tcBorders>
              <w:top w:val="single" w:color="auto" w:sz="4" w:space="0"/>
              <w:left w:val="single" w:color="auto" w:sz="6" w:space="0"/>
              <w:bottom w:val="single" w:color="auto" w:sz="4" w:space="0"/>
              <w:right w:val="single" w:color="auto" w:sz="6" w:space="0"/>
            </w:tcBorders>
            <w:noWrap w:val="0"/>
            <w:vAlign w:val="center"/>
          </w:tcPr>
          <w:p w14:paraId="5170B0E1">
            <w:pPr>
              <w:keepNext w:val="0"/>
              <w:keepLines w:val="0"/>
              <w:widowControl/>
              <w:suppressLineNumbers w:val="0"/>
              <w:jc w:val="center"/>
              <w:textAlignment w:val="center"/>
              <w:rPr>
                <w:rFonts w:hint="eastAsia" w:ascii="仿宋" w:hAnsi="仿宋" w:eastAsia="仿宋" w:cs="仿宋"/>
              </w:rPr>
            </w:pPr>
          </w:p>
        </w:tc>
        <w:tc>
          <w:tcPr>
            <w:tcW w:w="816" w:type="dxa"/>
            <w:tcBorders>
              <w:top w:val="single" w:color="auto" w:sz="4" w:space="0"/>
              <w:left w:val="single" w:color="auto" w:sz="6" w:space="0"/>
              <w:bottom w:val="single" w:color="auto" w:sz="4" w:space="0"/>
              <w:right w:val="single" w:color="auto" w:sz="6" w:space="0"/>
            </w:tcBorders>
            <w:noWrap w:val="0"/>
            <w:vAlign w:val="center"/>
          </w:tcPr>
          <w:p w14:paraId="7CD0A66A">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14:paraId="38D5DC6A">
        <w:tblPrEx>
          <w:tblCellMar>
            <w:top w:w="0" w:type="dxa"/>
            <w:left w:w="28" w:type="dxa"/>
            <w:bottom w:w="0" w:type="dxa"/>
            <w:right w:w="28" w:type="dxa"/>
          </w:tblCellMar>
        </w:tblPrEx>
        <w:trPr>
          <w:trHeight w:val="567" w:hRule="atLeast"/>
        </w:trPr>
        <w:tc>
          <w:tcPr>
            <w:tcW w:w="687" w:type="dxa"/>
            <w:tcBorders>
              <w:top w:val="single" w:color="auto" w:sz="4" w:space="0"/>
              <w:left w:val="single" w:color="auto" w:sz="4" w:space="0"/>
              <w:bottom w:val="single" w:color="auto" w:sz="4" w:space="0"/>
              <w:right w:val="single" w:color="auto" w:sz="6" w:space="0"/>
            </w:tcBorders>
            <w:noWrap w:val="0"/>
            <w:vAlign w:val="center"/>
          </w:tcPr>
          <w:p w14:paraId="46327E49">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092" w:type="dxa"/>
            <w:tcBorders>
              <w:top w:val="single" w:color="auto" w:sz="4" w:space="0"/>
              <w:left w:val="single" w:color="auto" w:sz="4" w:space="0"/>
              <w:bottom w:val="single" w:color="auto" w:sz="4" w:space="0"/>
              <w:right w:val="single" w:color="auto" w:sz="6" w:space="0"/>
            </w:tcBorders>
            <w:noWrap w:val="0"/>
            <w:vAlign w:val="center"/>
          </w:tcPr>
          <w:p w14:paraId="5AB08EDC">
            <w:pPr>
              <w:keepNext w:val="0"/>
              <w:keepLines w:val="0"/>
              <w:widowControl/>
              <w:suppressLineNumbers w:val="0"/>
              <w:jc w:val="center"/>
              <w:textAlignment w:val="center"/>
              <w:rPr>
                <w:rFonts w:hint="eastAsia" w:ascii="仿宋" w:hAnsi="仿宋" w:eastAsia="仿宋" w:cs="仿宋"/>
              </w:rPr>
            </w:pPr>
          </w:p>
        </w:tc>
        <w:tc>
          <w:tcPr>
            <w:tcW w:w="1075" w:type="dxa"/>
            <w:tcBorders>
              <w:top w:val="single" w:color="auto" w:sz="4" w:space="0"/>
              <w:left w:val="single" w:color="auto" w:sz="6" w:space="0"/>
              <w:bottom w:val="single" w:color="auto" w:sz="4" w:space="0"/>
              <w:right w:val="single" w:color="auto" w:sz="6" w:space="0"/>
            </w:tcBorders>
            <w:noWrap w:val="0"/>
            <w:vAlign w:val="center"/>
          </w:tcPr>
          <w:p w14:paraId="787FA5C6">
            <w:pPr>
              <w:keepNext w:val="0"/>
              <w:keepLines w:val="0"/>
              <w:widowControl/>
              <w:suppressLineNumbers w:val="0"/>
              <w:jc w:val="center"/>
              <w:textAlignment w:val="center"/>
              <w:rPr>
                <w:rFonts w:hint="eastAsia" w:ascii="仿宋" w:hAnsi="仿宋" w:eastAsia="仿宋" w:cs="仿宋"/>
                <w:b/>
                <w:bCs/>
                <w:i w:val="0"/>
                <w:iCs w:val="0"/>
                <w:color w:val="auto"/>
                <w:kern w:val="2"/>
                <w:sz w:val="24"/>
                <w:szCs w:val="24"/>
                <w:lang w:val="en-US" w:eastAsia="zh-CN" w:bidi="ar-SA"/>
              </w:rPr>
            </w:pPr>
          </w:p>
        </w:tc>
        <w:tc>
          <w:tcPr>
            <w:tcW w:w="3213" w:type="dxa"/>
            <w:tcBorders>
              <w:top w:val="single" w:color="auto" w:sz="4" w:space="0"/>
              <w:left w:val="single" w:color="auto" w:sz="6" w:space="0"/>
              <w:bottom w:val="single" w:color="auto" w:sz="4" w:space="0"/>
              <w:right w:val="single" w:color="auto" w:sz="6" w:space="0"/>
            </w:tcBorders>
            <w:noWrap w:val="0"/>
            <w:vAlign w:val="center"/>
          </w:tcPr>
          <w:p w14:paraId="08E9BD6D">
            <w:pPr>
              <w:keepNext w:val="0"/>
              <w:keepLines w:val="0"/>
              <w:widowControl/>
              <w:suppressLineNumbers w:val="0"/>
              <w:jc w:val="left"/>
              <w:textAlignment w:val="center"/>
              <w:rPr>
                <w:rFonts w:hint="eastAsia" w:ascii="仿宋" w:hAnsi="仿宋" w:eastAsia="仿宋" w:cs="仿宋"/>
              </w:rPr>
            </w:pPr>
          </w:p>
        </w:tc>
        <w:tc>
          <w:tcPr>
            <w:tcW w:w="637" w:type="dxa"/>
            <w:tcBorders>
              <w:top w:val="single" w:color="auto" w:sz="4" w:space="0"/>
              <w:left w:val="single" w:color="auto" w:sz="6" w:space="0"/>
              <w:bottom w:val="single" w:color="auto" w:sz="4" w:space="0"/>
              <w:right w:val="single" w:color="auto" w:sz="6" w:space="0"/>
            </w:tcBorders>
            <w:noWrap w:val="0"/>
            <w:vAlign w:val="center"/>
          </w:tcPr>
          <w:p w14:paraId="72AFE585">
            <w:pPr>
              <w:keepNext w:val="0"/>
              <w:keepLines w:val="0"/>
              <w:widowControl/>
              <w:suppressLineNumbers w:val="0"/>
              <w:jc w:val="center"/>
              <w:textAlignment w:val="center"/>
              <w:rPr>
                <w:rFonts w:hint="eastAsia" w:ascii="仿宋" w:hAnsi="仿宋" w:eastAsia="仿宋" w:cs="仿宋"/>
              </w:rPr>
            </w:pPr>
          </w:p>
        </w:tc>
        <w:tc>
          <w:tcPr>
            <w:tcW w:w="1150" w:type="dxa"/>
            <w:tcBorders>
              <w:top w:val="single" w:color="auto" w:sz="4" w:space="0"/>
              <w:left w:val="single" w:color="auto" w:sz="6" w:space="0"/>
              <w:bottom w:val="single" w:color="auto" w:sz="4" w:space="0"/>
              <w:right w:val="single" w:color="auto" w:sz="6" w:space="0"/>
            </w:tcBorders>
            <w:noWrap w:val="0"/>
            <w:vAlign w:val="center"/>
          </w:tcPr>
          <w:p w14:paraId="411686FB">
            <w:pPr>
              <w:keepNext w:val="0"/>
              <w:keepLines w:val="0"/>
              <w:widowControl/>
              <w:suppressLineNumbers w:val="0"/>
              <w:jc w:val="center"/>
              <w:textAlignment w:val="center"/>
              <w:rPr>
                <w:rFonts w:hint="eastAsia" w:ascii="仿宋" w:hAnsi="仿宋" w:eastAsia="仿宋" w:cs="仿宋"/>
              </w:rPr>
            </w:pPr>
          </w:p>
        </w:tc>
        <w:tc>
          <w:tcPr>
            <w:tcW w:w="816" w:type="dxa"/>
            <w:tcBorders>
              <w:top w:val="single" w:color="auto" w:sz="4" w:space="0"/>
              <w:left w:val="single" w:color="auto" w:sz="6" w:space="0"/>
              <w:bottom w:val="single" w:color="auto" w:sz="4" w:space="0"/>
              <w:right w:val="single" w:color="auto" w:sz="6" w:space="0"/>
            </w:tcBorders>
            <w:noWrap w:val="0"/>
            <w:vAlign w:val="center"/>
          </w:tcPr>
          <w:p w14:paraId="35A6DB7A">
            <w:pPr>
              <w:keepNext w:val="0"/>
              <w:keepLines w:val="0"/>
              <w:widowControl/>
              <w:suppressLineNumbers w:val="0"/>
              <w:jc w:val="center"/>
              <w:textAlignment w:val="center"/>
              <w:rPr>
                <w:rFonts w:hint="eastAsia" w:ascii="仿宋" w:hAnsi="仿宋" w:eastAsia="仿宋" w:cs="仿宋"/>
              </w:rPr>
            </w:pPr>
          </w:p>
        </w:tc>
        <w:tc>
          <w:tcPr>
            <w:tcW w:w="816" w:type="dxa"/>
            <w:tcBorders>
              <w:top w:val="single" w:color="auto" w:sz="4" w:space="0"/>
              <w:left w:val="single" w:color="auto" w:sz="6" w:space="0"/>
              <w:bottom w:val="single" w:color="auto" w:sz="4" w:space="0"/>
              <w:right w:val="single" w:color="auto" w:sz="6" w:space="0"/>
            </w:tcBorders>
            <w:noWrap w:val="0"/>
            <w:vAlign w:val="center"/>
          </w:tcPr>
          <w:p w14:paraId="4C8FCFB5">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14:paraId="60692661">
        <w:tblPrEx>
          <w:tblCellMar>
            <w:top w:w="0" w:type="dxa"/>
            <w:left w:w="28" w:type="dxa"/>
            <w:bottom w:w="0" w:type="dxa"/>
            <w:right w:w="28" w:type="dxa"/>
          </w:tblCellMar>
        </w:tblPrEx>
        <w:trPr>
          <w:trHeight w:val="567" w:hRule="atLeast"/>
        </w:trPr>
        <w:tc>
          <w:tcPr>
            <w:tcW w:w="687" w:type="dxa"/>
            <w:tcBorders>
              <w:top w:val="single" w:color="auto" w:sz="4" w:space="0"/>
              <w:left w:val="single" w:color="auto" w:sz="4" w:space="0"/>
              <w:bottom w:val="single" w:color="auto" w:sz="4" w:space="0"/>
              <w:right w:val="single" w:color="auto" w:sz="6" w:space="0"/>
            </w:tcBorders>
            <w:noWrap w:val="0"/>
            <w:vAlign w:val="center"/>
          </w:tcPr>
          <w:p w14:paraId="09A29740">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highlight w:val="none"/>
                <w:u w:val="none"/>
                <w:lang w:val="en-US" w:eastAsia="zh-CN" w:bidi="ar"/>
              </w:rPr>
            </w:pPr>
          </w:p>
        </w:tc>
        <w:tc>
          <w:tcPr>
            <w:tcW w:w="1092" w:type="dxa"/>
            <w:tcBorders>
              <w:top w:val="single" w:color="auto" w:sz="4" w:space="0"/>
              <w:left w:val="single" w:color="auto" w:sz="4" w:space="0"/>
              <w:bottom w:val="single" w:color="auto" w:sz="4" w:space="0"/>
              <w:right w:val="single" w:color="auto" w:sz="6" w:space="0"/>
            </w:tcBorders>
            <w:noWrap w:val="0"/>
            <w:vAlign w:val="center"/>
          </w:tcPr>
          <w:p w14:paraId="2E684E8D">
            <w:pPr>
              <w:keepNext w:val="0"/>
              <w:keepLines w:val="0"/>
              <w:widowControl/>
              <w:suppressLineNumbers w:val="0"/>
              <w:jc w:val="center"/>
              <w:textAlignment w:val="center"/>
              <w:rPr>
                <w:rFonts w:hint="eastAsia" w:ascii="仿宋" w:hAnsi="仿宋" w:eastAsia="仿宋" w:cs="仿宋"/>
              </w:rPr>
            </w:pPr>
          </w:p>
        </w:tc>
        <w:tc>
          <w:tcPr>
            <w:tcW w:w="1075" w:type="dxa"/>
            <w:tcBorders>
              <w:top w:val="single" w:color="auto" w:sz="4" w:space="0"/>
              <w:left w:val="single" w:color="auto" w:sz="6" w:space="0"/>
              <w:bottom w:val="single" w:color="auto" w:sz="4" w:space="0"/>
              <w:right w:val="single" w:color="auto" w:sz="6" w:space="0"/>
            </w:tcBorders>
            <w:noWrap w:val="0"/>
            <w:vAlign w:val="center"/>
          </w:tcPr>
          <w:p w14:paraId="29DB5EBE">
            <w:pPr>
              <w:keepNext w:val="0"/>
              <w:keepLines w:val="0"/>
              <w:widowControl/>
              <w:suppressLineNumbers w:val="0"/>
              <w:jc w:val="center"/>
              <w:textAlignment w:val="center"/>
              <w:rPr>
                <w:rFonts w:hint="eastAsia" w:ascii="仿宋" w:hAnsi="仿宋" w:eastAsia="仿宋" w:cs="仿宋"/>
                <w:b/>
                <w:bCs/>
                <w:i w:val="0"/>
                <w:iCs w:val="0"/>
                <w:color w:val="auto"/>
                <w:kern w:val="2"/>
                <w:sz w:val="24"/>
                <w:szCs w:val="24"/>
                <w:lang w:val="en-US" w:eastAsia="zh-CN" w:bidi="ar-SA"/>
              </w:rPr>
            </w:pPr>
          </w:p>
        </w:tc>
        <w:tc>
          <w:tcPr>
            <w:tcW w:w="3213" w:type="dxa"/>
            <w:tcBorders>
              <w:top w:val="single" w:color="auto" w:sz="4" w:space="0"/>
              <w:left w:val="single" w:color="auto" w:sz="6" w:space="0"/>
              <w:bottom w:val="single" w:color="auto" w:sz="4" w:space="0"/>
              <w:right w:val="single" w:color="auto" w:sz="6" w:space="0"/>
            </w:tcBorders>
            <w:noWrap w:val="0"/>
            <w:vAlign w:val="center"/>
          </w:tcPr>
          <w:p w14:paraId="61C60971">
            <w:pPr>
              <w:keepNext w:val="0"/>
              <w:keepLines w:val="0"/>
              <w:widowControl/>
              <w:suppressLineNumbers w:val="0"/>
              <w:jc w:val="left"/>
              <w:textAlignment w:val="center"/>
              <w:rPr>
                <w:rFonts w:hint="eastAsia" w:ascii="仿宋" w:hAnsi="仿宋" w:eastAsia="仿宋" w:cs="仿宋"/>
              </w:rPr>
            </w:pPr>
          </w:p>
        </w:tc>
        <w:tc>
          <w:tcPr>
            <w:tcW w:w="637" w:type="dxa"/>
            <w:tcBorders>
              <w:top w:val="single" w:color="auto" w:sz="4" w:space="0"/>
              <w:left w:val="single" w:color="auto" w:sz="6" w:space="0"/>
              <w:bottom w:val="single" w:color="auto" w:sz="4" w:space="0"/>
              <w:right w:val="single" w:color="auto" w:sz="6" w:space="0"/>
            </w:tcBorders>
            <w:noWrap w:val="0"/>
            <w:vAlign w:val="center"/>
          </w:tcPr>
          <w:p w14:paraId="2663B309">
            <w:pPr>
              <w:keepNext w:val="0"/>
              <w:keepLines w:val="0"/>
              <w:widowControl/>
              <w:suppressLineNumbers w:val="0"/>
              <w:jc w:val="center"/>
              <w:textAlignment w:val="center"/>
              <w:rPr>
                <w:rFonts w:hint="eastAsia" w:ascii="仿宋" w:hAnsi="仿宋" w:eastAsia="仿宋" w:cs="仿宋"/>
              </w:rPr>
            </w:pPr>
          </w:p>
        </w:tc>
        <w:tc>
          <w:tcPr>
            <w:tcW w:w="1150" w:type="dxa"/>
            <w:tcBorders>
              <w:top w:val="single" w:color="auto" w:sz="4" w:space="0"/>
              <w:left w:val="single" w:color="auto" w:sz="6" w:space="0"/>
              <w:bottom w:val="single" w:color="auto" w:sz="4" w:space="0"/>
              <w:right w:val="single" w:color="auto" w:sz="6" w:space="0"/>
            </w:tcBorders>
            <w:noWrap w:val="0"/>
            <w:vAlign w:val="center"/>
          </w:tcPr>
          <w:p w14:paraId="5D9AEE87">
            <w:pPr>
              <w:keepNext w:val="0"/>
              <w:keepLines w:val="0"/>
              <w:widowControl/>
              <w:suppressLineNumbers w:val="0"/>
              <w:jc w:val="center"/>
              <w:textAlignment w:val="center"/>
              <w:rPr>
                <w:rFonts w:hint="eastAsia" w:ascii="仿宋" w:hAnsi="仿宋" w:eastAsia="仿宋" w:cs="仿宋"/>
              </w:rPr>
            </w:pPr>
          </w:p>
        </w:tc>
        <w:tc>
          <w:tcPr>
            <w:tcW w:w="816" w:type="dxa"/>
            <w:tcBorders>
              <w:top w:val="single" w:color="auto" w:sz="4" w:space="0"/>
              <w:left w:val="single" w:color="auto" w:sz="6" w:space="0"/>
              <w:bottom w:val="single" w:color="auto" w:sz="4" w:space="0"/>
              <w:right w:val="single" w:color="auto" w:sz="6" w:space="0"/>
            </w:tcBorders>
            <w:noWrap w:val="0"/>
            <w:vAlign w:val="center"/>
          </w:tcPr>
          <w:p w14:paraId="56C947A7">
            <w:pPr>
              <w:keepNext w:val="0"/>
              <w:keepLines w:val="0"/>
              <w:widowControl/>
              <w:suppressLineNumbers w:val="0"/>
              <w:jc w:val="center"/>
              <w:textAlignment w:val="center"/>
              <w:rPr>
                <w:rFonts w:hint="eastAsia" w:ascii="仿宋" w:hAnsi="仿宋" w:eastAsia="仿宋" w:cs="仿宋"/>
              </w:rPr>
            </w:pPr>
          </w:p>
        </w:tc>
        <w:tc>
          <w:tcPr>
            <w:tcW w:w="816" w:type="dxa"/>
            <w:tcBorders>
              <w:top w:val="single" w:color="auto" w:sz="4" w:space="0"/>
              <w:left w:val="single" w:color="auto" w:sz="6" w:space="0"/>
              <w:bottom w:val="single" w:color="auto" w:sz="4" w:space="0"/>
              <w:right w:val="single" w:color="auto" w:sz="6" w:space="0"/>
            </w:tcBorders>
            <w:noWrap w:val="0"/>
            <w:vAlign w:val="center"/>
          </w:tcPr>
          <w:p w14:paraId="7883CF9A">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14:paraId="34D76BAF">
        <w:tblPrEx>
          <w:tblCellMar>
            <w:top w:w="0" w:type="dxa"/>
            <w:left w:w="28" w:type="dxa"/>
            <w:bottom w:w="0" w:type="dxa"/>
            <w:right w:w="28" w:type="dxa"/>
          </w:tblCellMar>
        </w:tblPrEx>
        <w:trPr>
          <w:trHeight w:val="567" w:hRule="atLeast"/>
        </w:trPr>
        <w:tc>
          <w:tcPr>
            <w:tcW w:w="1779" w:type="dxa"/>
            <w:gridSpan w:val="2"/>
            <w:tcBorders>
              <w:top w:val="single" w:color="auto" w:sz="4" w:space="0"/>
              <w:left w:val="single" w:color="auto" w:sz="4" w:space="0"/>
              <w:bottom w:val="single" w:color="auto" w:sz="4" w:space="0"/>
              <w:right w:val="single" w:color="auto" w:sz="6" w:space="0"/>
            </w:tcBorders>
            <w:noWrap w:val="0"/>
            <w:vAlign w:val="center"/>
          </w:tcPr>
          <w:p w14:paraId="21D7E4B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合计</w:t>
            </w:r>
          </w:p>
        </w:tc>
        <w:tc>
          <w:tcPr>
            <w:tcW w:w="7707" w:type="dxa"/>
            <w:gridSpan w:val="6"/>
            <w:tcBorders>
              <w:top w:val="single" w:color="auto" w:sz="4" w:space="0"/>
              <w:left w:val="single" w:color="auto" w:sz="6" w:space="0"/>
              <w:bottom w:val="single" w:color="auto" w:sz="4" w:space="0"/>
              <w:right w:val="single" w:color="auto" w:sz="6" w:space="0"/>
            </w:tcBorders>
            <w:noWrap w:val="0"/>
            <w:vAlign w:val="center"/>
          </w:tcPr>
          <w:p w14:paraId="6C1D41B3">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大写：         小写：元</w:t>
            </w:r>
          </w:p>
        </w:tc>
      </w:tr>
    </w:tbl>
    <w:p w14:paraId="349283C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sz w:val="24"/>
          <w:szCs w:val="24"/>
          <w:highlight w:val="none"/>
        </w:rPr>
      </w:pPr>
      <w:bookmarkStart w:id="0" w:name="_Toc25260"/>
    </w:p>
    <w:p w14:paraId="141A7EC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第二条 合同价款</w:t>
      </w:r>
      <w:bookmarkEnd w:id="0"/>
    </w:p>
    <w:p w14:paraId="201A2D7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rPr>
      </w:pPr>
      <w:bookmarkStart w:id="1" w:name="_Toc12829"/>
      <w:r>
        <w:rPr>
          <w:rFonts w:hint="eastAsia" w:ascii="仿宋" w:hAnsi="仿宋" w:eastAsia="仿宋" w:cs="仿宋"/>
          <w:sz w:val="24"/>
          <w:szCs w:val="24"/>
          <w:highlight w:val="none"/>
        </w:rPr>
        <w:t>1、合同总价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人民币（大写）</w:t>
      </w:r>
      <w:r>
        <w:rPr>
          <w:rFonts w:hint="eastAsia" w:ascii="仿宋" w:hAnsi="仿宋" w:eastAsia="仿宋" w:cs="仿宋"/>
          <w:b/>
          <w:bCs/>
          <w:i w:val="0"/>
          <w:iCs w:val="0"/>
          <w:sz w:val="24"/>
          <w:szCs w:val="24"/>
          <w:highlight w:val="none"/>
        </w:rPr>
        <w:t xml:space="preserve"> </w:t>
      </w:r>
      <w:r>
        <w:rPr>
          <w:rFonts w:hint="eastAsia" w:ascii="仿宋" w:hAnsi="仿宋" w:eastAsia="仿宋" w:cs="仿宋"/>
          <w:b/>
          <w:bCs/>
          <w:i w:val="0"/>
          <w:iCs w:val="0"/>
          <w:sz w:val="24"/>
          <w:szCs w:val="24"/>
          <w:highlight w:val="none"/>
          <w:lang w:val="en-US" w:eastAsia="zh-CN"/>
        </w:rPr>
        <w:t xml:space="preserve">       </w:t>
      </w:r>
      <w:r>
        <w:rPr>
          <w:rFonts w:hint="eastAsia" w:ascii="仿宋" w:hAnsi="仿宋" w:eastAsia="仿宋" w:cs="仿宋"/>
          <w:sz w:val="24"/>
          <w:szCs w:val="24"/>
          <w:highlight w:val="none"/>
        </w:rPr>
        <w:t>，（</w:t>
      </w:r>
      <w:r>
        <w:rPr>
          <w:rFonts w:hint="eastAsia" w:ascii="宋体" w:hAnsi="宋体" w:eastAsia="宋体" w:cs="宋体"/>
          <w:b w:val="0"/>
          <w:sz w:val="24"/>
          <w:szCs w:val="24"/>
        </w:rPr>
        <w:t>¥</w:t>
      </w:r>
      <w:r>
        <w:rPr>
          <w:rFonts w:hint="eastAsia" w:ascii="宋体" w:hAnsi="宋体" w:cs="宋体"/>
          <w:b w:val="0"/>
          <w:sz w:val="24"/>
          <w:szCs w:val="24"/>
          <w:lang w:val="en-US" w:eastAsia="zh-CN"/>
        </w:rPr>
        <w:t xml:space="preserve">      </w:t>
      </w:r>
      <w:r>
        <w:rPr>
          <w:rFonts w:hint="eastAsia" w:ascii="仿宋" w:hAnsi="仿宋" w:eastAsia="仿宋" w:cs="仿宋"/>
          <w:i w:val="0"/>
          <w:iCs w:val="0"/>
          <w:sz w:val="24"/>
          <w:szCs w:val="24"/>
          <w:highlight w:val="none"/>
          <w:lang w:val="en-US" w:eastAsia="zh-CN"/>
        </w:rPr>
        <w:t>元</w:t>
      </w:r>
      <w:r>
        <w:rPr>
          <w:rFonts w:hint="eastAsia" w:ascii="仿宋" w:hAnsi="仿宋" w:eastAsia="仿宋" w:cs="仿宋"/>
          <w:sz w:val="24"/>
          <w:szCs w:val="24"/>
          <w:highlight w:val="none"/>
        </w:rPr>
        <w:t>）。</w:t>
      </w:r>
      <w:bookmarkEnd w:id="1"/>
    </w:p>
    <w:p w14:paraId="7001A18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rPr>
      </w:pPr>
      <w:bookmarkStart w:id="2" w:name="_Toc29915"/>
      <w:r>
        <w:rPr>
          <w:rFonts w:hint="eastAsia" w:ascii="仿宋" w:hAnsi="仿宋" w:eastAsia="仿宋" w:cs="仿宋"/>
          <w:sz w:val="24"/>
          <w:szCs w:val="24"/>
          <w:highlight w:val="none"/>
        </w:rPr>
        <w:t>2、本合同总价是货物（产品）设计、材料、制造、包装、运输、安装、调试、检测、验收合格交付使用之前及保修期内保修服务与备用物件等其他有关各项的含税费用。</w:t>
      </w:r>
      <w:bookmarkEnd w:id="2"/>
    </w:p>
    <w:p w14:paraId="4786762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rPr>
      </w:pPr>
      <w:bookmarkStart w:id="3" w:name="_Toc22881"/>
      <w:r>
        <w:rPr>
          <w:rFonts w:hint="eastAsia" w:ascii="仿宋" w:hAnsi="仿宋" w:eastAsia="仿宋" w:cs="仿宋"/>
          <w:sz w:val="24"/>
          <w:szCs w:val="24"/>
          <w:highlight w:val="none"/>
        </w:rPr>
        <w:t>3、本合同总价还包含乙方应当提供的伴随服务和售后服务费用。</w:t>
      </w:r>
      <w:bookmarkEnd w:id="3"/>
    </w:p>
    <w:p w14:paraId="3BFF12C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rPr>
      </w:pPr>
      <w:bookmarkStart w:id="4" w:name="_Toc9657"/>
      <w:r>
        <w:rPr>
          <w:rFonts w:hint="eastAsia" w:ascii="仿宋" w:hAnsi="仿宋" w:eastAsia="仿宋" w:cs="仿宋"/>
          <w:sz w:val="24"/>
          <w:szCs w:val="24"/>
          <w:highlight w:val="none"/>
        </w:rPr>
        <w:t>4、本合同执行期间合同总价不变，甲方无须另向乙方支付本合同规定之外的其他任何费用。</w:t>
      </w:r>
      <w:bookmarkEnd w:id="4"/>
    </w:p>
    <w:p w14:paraId="1A29900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sz w:val="24"/>
          <w:szCs w:val="24"/>
          <w:highlight w:val="none"/>
        </w:rPr>
        <w:t>第三</w:t>
      </w:r>
      <w:r>
        <w:rPr>
          <w:rFonts w:hint="eastAsia" w:ascii="仿宋" w:hAnsi="仿宋" w:eastAsia="仿宋" w:cs="仿宋"/>
          <w:b/>
          <w:bCs/>
          <w:color w:val="auto"/>
          <w:sz w:val="24"/>
          <w:szCs w:val="24"/>
          <w:highlight w:val="none"/>
        </w:rPr>
        <w:t>条</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款项结算</w:t>
      </w:r>
    </w:p>
    <w:p w14:paraId="3D8B656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1、交货期：自合同签订生效之日起</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个日历日完成供货、安装及调试；</w:t>
      </w:r>
    </w:p>
    <w:p w14:paraId="242FA50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2、全部产品交货至指定地点并验收合格交付使用，付合同总价的</w:t>
      </w:r>
      <w:r>
        <w:rPr>
          <w:rFonts w:hint="eastAsia" w:ascii="仿宋" w:hAnsi="仿宋" w:eastAsia="仿宋" w:cs="仿宋"/>
          <w:sz w:val="24"/>
          <w:szCs w:val="24"/>
          <w:highlight w:val="none"/>
          <w:lang w:val="en-US" w:eastAsia="zh-CN"/>
        </w:rPr>
        <w:t>100</w:t>
      </w:r>
      <w:r>
        <w:rPr>
          <w:rFonts w:hint="eastAsia" w:ascii="仿宋" w:hAnsi="仿宋" w:eastAsia="仿宋" w:cs="仿宋"/>
          <w:sz w:val="24"/>
          <w:szCs w:val="24"/>
          <w:highlight w:val="none"/>
        </w:rPr>
        <w:t>%；</w:t>
      </w:r>
    </w:p>
    <w:p w14:paraId="30D1A73A">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3、乙方须向甲方出具合法有效的完税发票，甲方进行支付结算。</w:t>
      </w:r>
    </w:p>
    <w:p w14:paraId="7381CA54">
      <w:pPr>
        <w:pStyle w:val="4"/>
        <w:spacing w:line="24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第四条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权利保证</w:t>
      </w:r>
    </w:p>
    <w:p w14:paraId="7A6689CC">
      <w:pPr>
        <w:pStyle w:val="21"/>
        <w:spacing w:line="240" w:lineRule="auto"/>
        <w:ind w:firstLine="48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1、乙方保证对其出售的货物享有合法的权利。</w:t>
      </w:r>
    </w:p>
    <w:p w14:paraId="1543AF52">
      <w:pPr>
        <w:pStyle w:val="21"/>
        <w:spacing w:line="240" w:lineRule="auto"/>
        <w:ind w:firstLine="48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2、乙方保证对其出售的货物上不存在任何未曾向甲方透露的担保物权，如抵押权、质押权、留置权。</w:t>
      </w:r>
    </w:p>
    <w:p w14:paraId="2AECA594">
      <w:pPr>
        <w:pStyle w:val="21"/>
        <w:spacing w:line="240" w:lineRule="auto"/>
        <w:ind w:firstLine="48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3、乙方保证对其出售的货物或其任何一部分没有侵犯第三方的专利权、版权、商标权或其他权利。</w:t>
      </w:r>
    </w:p>
    <w:p w14:paraId="1039CD5B">
      <w:pPr>
        <w:pStyle w:val="21"/>
        <w:spacing w:line="240" w:lineRule="auto"/>
        <w:ind w:left="141" w:leftChars="67" w:firstLine="360" w:firstLineChars="15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4、如甲方在使用该货物构成上述侵权的，则由乙方承担全部责任。</w:t>
      </w:r>
    </w:p>
    <w:p w14:paraId="781C790B">
      <w:pPr>
        <w:pStyle w:val="4"/>
        <w:spacing w:line="24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第五条</w:t>
      </w: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交货时间与地点</w:t>
      </w:r>
    </w:p>
    <w:p w14:paraId="0244AD8C">
      <w:pPr>
        <w:pStyle w:val="4"/>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乙方在合同签订生效之日起，按甲方指定时间、地点交货。</w:t>
      </w:r>
    </w:p>
    <w:p w14:paraId="4CF7BB94">
      <w:pPr>
        <w:pStyle w:val="4"/>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1、交货期：自合同签订生效之日起10个日历日完成供货、安装及调试</w:t>
      </w:r>
      <w:r>
        <w:rPr>
          <w:rFonts w:hint="eastAsia" w:ascii="仿宋" w:hAnsi="仿宋" w:eastAsia="仿宋" w:cs="仿宋"/>
          <w:color w:val="auto"/>
          <w:kern w:val="0"/>
          <w:sz w:val="24"/>
          <w:szCs w:val="24"/>
          <w:highlight w:val="none"/>
        </w:rPr>
        <w:t>。</w:t>
      </w:r>
    </w:p>
    <w:p w14:paraId="6AFA5810">
      <w:pPr>
        <w:pStyle w:val="4"/>
        <w:spacing w:line="24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2、交货地点：甲方指定地点</w:t>
      </w:r>
    </w:p>
    <w:p w14:paraId="21F36E00">
      <w:pPr>
        <w:pStyle w:val="21"/>
        <w:spacing w:line="240" w:lineRule="auto"/>
        <w:ind w:firstLine="0" w:firstLineChars="0"/>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第六条 包装要求与运输方式  </w:t>
      </w:r>
    </w:p>
    <w:p w14:paraId="6044810E">
      <w:pPr>
        <w:pStyle w:val="21"/>
        <w:spacing w:line="240" w:lineRule="auto"/>
        <w:ind w:left="141" w:leftChars="67"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1、除合同另有规定外，乙方提供的全部货物均应按标准保护措施进行包装，该包装应适应于远距离运输、防潮、防震、防锈和防野蛮装卸，以确保货物安全运抵指定地点。</w:t>
      </w:r>
    </w:p>
    <w:p w14:paraId="576260AA">
      <w:pPr>
        <w:pStyle w:val="21"/>
        <w:spacing w:line="240" w:lineRule="auto"/>
        <w:ind w:left="141" w:leftChars="67"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2、每一包装单元应附详细的装箱单和质量合格证。</w:t>
      </w:r>
    </w:p>
    <w:p w14:paraId="08A12E16">
      <w:pPr>
        <w:pStyle w:val="21"/>
        <w:spacing w:line="240" w:lineRule="auto"/>
        <w:ind w:left="141" w:leftChars="67"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3、货物（产品）运输方式</w:t>
      </w:r>
      <w:r>
        <w:rPr>
          <w:rFonts w:hint="eastAsia" w:ascii="仿宋" w:hAnsi="仿宋" w:eastAsia="仿宋" w:cs="仿宋"/>
          <w:sz w:val="24"/>
          <w:szCs w:val="24"/>
          <w:highlight w:val="none"/>
          <w:u w:val="single"/>
          <w:lang w:val="en-US" w:eastAsia="zh-CN"/>
        </w:rPr>
        <w:t>汽运</w:t>
      </w:r>
      <w:r>
        <w:rPr>
          <w:rFonts w:hint="eastAsia" w:ascii="仿宋" w:hAnsi="仿宋" w:eastAsia="仿宋" w:cs="仿宋"/>
          <w:sz w:val="24"/>
          <w:szCs w:val="24"/>
          <w:highlight w:val="none"/>
        </w:rPr>
        <w:t xml:space="preserve"> 。</w:t>
      </w:r>
    </w:p>
    <w:p w14:paraId="7D6BF099">
      <w:pPr>
        <w:pStyle w:val="21"/>
        <w:spacing w:line="240" w:lineRule="auto"/>
        <w:ind w:left="141" w:leftChars="67"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4、乙方负责货物（产品）运输，货物运输的合理损耗及计算方法。</w:t>
      </w:r>
    </w:p>
    <w:p w14:paraId="0889A7D6">
      <w:pPr>
        <w:pStyle w:val="21"/>
        <w:spacing w:before="156" w:beforeLines="50" w:after="156" w:afterLines="50" w:line="240" w:lineRule="auto"/>
        <w:ind w:firstLine="0" w:firstLineChars="0"/>
        <w:rPr>
          <w:rFonts w:hint="eastAsia" w:ascii="仿宋" w:hAnsi="仿宋" w:eastAsia="仿宋" w:cs="仿宋"/>
          <w:b/>
          <w:sz w:val="24"/>
          <w:szCs w:val="24"/>
          <w:highlight w:val="none"/>
        </w:rPr>
      </w:pPr>
      <w:r>
        <w:rPr>
          <w:rFonts w:hint="eastAsia" w:ascii="仿宋" w:hAnsi="仿宋" w:eastAsia="仿宋" w:cs="仿宋"/>
          <w:b/>
          <w:sz w:val="24"/>
          <w:szCs w:val="24"/>
          <w:highlight w:val="none"/>
        </w:rPr>
        <w:t>第七条 质量保证</w:t>
      </w:r>
    </w:p>
    <w:p w14:paraId="21B508BB">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1、乙方须提供全新的、未使用过的合格正品货物（含零部件、配件等），完全符合合同规定的质量、规格和性能的要求。</w:t>
      </w:r>
    </w:p>
    <w:p w14:paraId="16CCFEC2">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2、乙方提供的节能和环保产品必须是列入政府采购清单的产品。</w:t>
      </w:r>
    </w:p>
    <w:p w14:paraId="4C1DDF24">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3、质量标准按照最新颁布的国家标准、行业标准或制造商企业标准确定，上述标准不一致的，以严格标准为准。</w:t>
      </w:r>
    </w:p>
    <w:p w14:paraId="03DA2FF7">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4、乙方所提供货物还应符合国家和陕西省有关安全、环保、节能之规定，“3C”认证的货物（产品）应加贴“3C”认证标志。</w:t>
      </w:r>
    </w:p>
    <w:p w14:paraId="4DB9C5AD">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5、货物制造质量出现问题，乙方应负责三包（包修、包换、包退），费用由乙方负担，甲方有权到乙方生产场地检查货物质量和生产进度。</w:t>
      </w:r>
    </w:p>
    <w:p w14:paraId="23497B8F">
      <w:pPr>
        <w:pStyle w:val="21"/>
        <w:spacing w:before="156" w:beforeLines="50" w:after="156" w:afterLines="50" w:line="240" w:lineRule="auto"/>
        <w:ind w:firstLine="0" w:firstLineChars="0"/>
        <w:rPr>
          <w:rFonts w:hint="eastAsia" w:ascii="仿宋" w:hAnsi="仿宋" w:eastAsia="仿宋" w:cs="仿宋"/>
          <w:sz w:val="24"/>
          <w:szCs w:val="24"/>
          <w:highlight w:val="none"/>
        </w:rPr>
      </w:pPr>
      <w:r>
        <w:rPr>
          <w:rFonts w:hint="eastAsia" w:ascii="仿宋" w:hAnsi="仿宋" w:eastAsia="仿宋" w:cs="仿宋"/>
          <w:b/>
          <w:sz w:val="24"/>
          <w:szCs w:val="24"/>
          <w:highlight w:val="none"/>
        </w:rPr>
        <w:t>第八条 交货、验收要求</w:t>
      </w:r>
    </w:p>
    <w:p w14:paraId="0948D52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46E9EE88">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2、乙方保证合同所有设备是全新的（包括零部件），其规格参数及配件不低于（符合）本项目磋商文件和响应文件的要求。</w:t>
      </w:r>
    </w:p>
    <w:p w14:paraId="7B32C1E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3、安装完成，乙方进行自测并形成自测报告（软硬件），出现的问题限期整改。自检最终通过后，乙方提出验收申请，甲方组织相关人员进行最终验收。</w:t>
      </w:r>
    </w:p>
    <w:p w14:paraId="38C90FA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4、设备采购从通过最终验收之日起进入保修期，提供原厂保修升级。</w:t>
      </w:r>
    </w:p>
    <w:p w14:paraId="6D4C9E3E">
      <w:pPr>
        <w:pStyle w:val="21"/>
        <w:spacing w:before="156" w:beforeLines="50" w:after="156" w:afterLines="50" w:line="240" w:lineRule="auto"/>
        <w:ind w:firstLine="0" w:firstLineChars="0"/>
        <w:rPr>
          <w:rFonts w:hint="eastAsia" w:ascii="仿宋" w:hAnsi="仿宋" w:eastAsia="仿宋" w:cs="仿宋"/>
          <w:b/>
          <w:sz w:val="24"/>
          <w:szCs w:val="24"/>
          <w:highlight w:val="none"/>
        </w:rPr>
      </w:pPr>
      <w:r>
        <w:rPr>
          <w:rFonts w:hint="eastAsia" w:ascii="仿宋" w:hAnsi="仿宋" w:eastAsia="仿宋" w:cs="仿宋"/>
          <w:b/>
          <w:sz w:val="24"/>
          <w:szCs w:val="24"/>
          <w:highlight w:val="none"/>
        </w:rPr>
        <w:t>第九条 售后服务要求</w:t>
      </w:r>
    </w:p>
    <w:p w14:paraId="784C5DAA">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1、派专人对学校提供售后服务，并每月定期对所提供的软硬件设备、材料等进行巡检，做好巡检记录；                  </w:t>
      </w:r>
    </w:p>
    <w:p w14:paraId="219A17FA">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2、货物（产品）的现场安装、调试和启动监督；</w:t>
      </w:r>
    </w:p>
    <w:p w14:paraId="002DC20C">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7606D6FE">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4、质保期自采购人在货物质量验收单（终验）上签字之日起计算；</w:t>
      </w:r>
    </w:p>
    <w:p w14:paraId="0C381907">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5、乙方对其所提供软硬件设备、材料等负责备品配件的供应，长期提供维修服务，并提供技术咨询等服务。质保期内应无偿负责的维修和替换等工作。超出质保期只收取维修所需原设备、材料成本费用；</w:t>
      </w:r>
    </w:p>
    <w:p w14:paraId="293F3AD2">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6、服务响应时限：7*24小时服务，提供售后服务电话（应具有：固定电话、移动电话、传真）；</w:t>
      </w:r>
    </w:p>
    <w:p w14:paraId="68EFEFF2">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7、成交供应商在接到采购人通知后维修工作时间不大于24小时，更换工作时间不大于72小时；</w:t>
      </w:r>
    </w:p>
    <w:p w14:paraId="6289A9A4">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8、若乙方未按照合同规定的售后服务要求执行，甲方有权自行选择第三方进行维护和修理；</w:t>
      </w:r>
    </w:p>
    <w:p w14:paraId="56C2F33F">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9、在质保期内更换系统中部件（包括软件和硬件），其保修期应相应延长。</w:t>
      </w:r>
    </w:p>
    <w:p w14:paraId="3AB979FB">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11、所有货物服务方式均为成交供应商上门服务，即由成交供应商派员到货物使用现场维修，由此产生的一切费用均由成交供应商承担；</w:t>
      </w:r>
    </w:p>
    <w:p w14:paraId="7F812B65">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12、质保期结束后的货物维修、维护由双方协商再定；</w:t>
      </w:r>
    </w:p>
    <w:p w14:paraId="5D6EE56A">
      <w:pPr>
        <w:pStyle w:val="21"/>
        <w:keepNext w:val="0"/>
        <w:keepLines w:val="0"/>
        <w:pageBreakBefore w:val="0"/>
        <w:kinsoku/>
        <w:wordWrap/>
        <w:overflowPunct/>
        <w:topLinePunct w:val="0"/>
        <w:autoSpaceDE/>
        <w:autoSpaceDN/>
        <w:bidi w:val="0"/>
        <w:adjustRightInd/>
        <w:snapToGrid/>
        <w:spacing w:line="240" w:lineRule="auto"/>
        <w:ind w:firstLine="48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13、质保期：不少于36个月。</w:t>
      </w:r>
    </w:p>
    <w:p w14:paraId="30A8FB2D">
      <w:pPr>
        <w:pStyle w:val="21"/>
        <w:spacing w:after="156" w:afterLines="50" w:line="240" w:lineRule="auto"/>
        <w:ind w:firstLine="0" w:firstLineChars="0"/>
        <w:rPr>
          <w:rFonts w:hint="eastAsia" w:ascii="仿宋" w:hAnsi="仿宋" w:eastAsia="仿宋" w:cs="仿宋"/>
          <w:sz w:val="24"/>
          <w:szCs w:val="24"/>
          <w:highlight w:val="none"/>
        </w:rPr>
      </w:pPr>
      <w:r>
        <w:rPr>
          <w:rFonts w:hint="eastAsia" w:ascii="仿宋" w:hAnsi="仿宋" w:eastAsia="仿宋" w:cs="仿宋"/>
          <w:b/>
          <w:sz w:val="24"/>
          <w:szCs w:val="24"/>
          <w:highlight w:val="none"/>
        </w:rPr>
        <w:t>第十条</w:t>
      </w:r>
      <w:r>
        <w:rPr>
          <w:rFonts w:hint="eastAsia" w:ascii="仿宋" w:hAnsi="仿宋" w:eastAsia="仿宋" w:cs="仿宋"/>
          <w:b/>
          <w:sz w:val="24"/>
          <w:szCs w:val="24"/>
          <w:highlight w:val="none"/>
          <w:lang w:val="en-US" w:eastAsia="zh-CN"/>
        </w:rPr>
        <w:t xml:space="preserve"> </w:t>
      </w:r>
      <w:r>
        <w:rPr>
          <w:rFonts w:hint="eastAsia" w:ascii="仿宋" w:hAnsi="仿宋" w:eastAsia="仿宋" w:cs="仿宋"/>
          <w:b/>
          <w:sz w:val="24"/>
          <w:szCs w:val="24"/>
          <w:highlight w:val="none"/>
        </w:rPr>
        <w:t>违约责任</w:t>
      </w:r>
    </w:p>
    <w:p w14:paraId="34C05ED8">
      <w:pPr>
        <w:pStyle w:val="24"/>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按《中华人民共和国民法典》中的相关条款执行。</w:t>
      </w:r>
    </w:p>
    <w:p w14:paraId="4B30630B">
      <w:pPr>
        <w:pStyle w:val="24"/>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 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04752DCC">
      <w:pPr>
        <w:pStyle w:val="24"/>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因采购人原因导制变更、中止或者终止政府采购合同的，采购人应当依照合同约定对供应商受到的损失予以赔偿或者补偿。</w:t>
      </w:r>
    </w:p>
    <w:p w14:paraId="367A595E">
      <w:pPr>
        <w:pStyle w:val="24"/>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违约终止合同：未按合同要求提供货物或质量不能满足技术要求，甲方会 同监督机构有权终止合同，对乙方违约行为进行追究，同时按政府采购法的有关规定进行相应的处罚。</w:t>
      </w:r>
    </w:p>
    <w:p w14:paraId="7B39CF8A">
      <w:pPr>
        <w:pStyle w:val="24"/>
        <w:keepNext w:val="0"/>
        <w:keepLines w:val="0"/>
        <w:pageBreakBefore w:val="0"/>
        <w:widowControl/>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凡因本合同引起的 或与本合同有关的争议，双方应友好协商解决。协商不成时，双方均同意采用以下第（ ）种争议解决方式：</w:t>
      </w:r>
    </w:p>
    <w:p w14:paraId="03351DC2">
      <w:pPr>
        <w:pStyle w:val="24"/>
        <w:keepNext w:val="0"/>
        <w:keepLines w:val="0"/>
        <w:pageBreakBefore w:val="0"/>
        <w:widowControl/>
        <w:numPr>
          <w:ilvl w:val="0"/>
          <w:numId w:val="2"/>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甲、乙双 方均同意向（甲方所在地人民法院）提起诉讼。 </w:t>
      </w:r>
    </w:p>
    <w:p w14:paraId="1F5417C1">
      <w:pPr>
        <w:keepNext w:val="0"/>
        <w:keepLines w:val="0"/>
        <w:pageBreakBefore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lang w:val="en-US" w:eastAsia="zh-CN" w:bidi="ar-SA"/>
        </w:rPr>
        <w:t>甲、</w:t>
      </w:r>
      <w:r>
        <w:rPr>
          <w:rFonts w:hint="eastAsia" w:ascii="仿宋" w:hAnsi="仿宋" w:eastAsia="仿宋" w:cs="仿宋"/>
          <w:kern w:val="2"/>
          <w:sz w:val="24"/>
          <w:szCs w:val="24"/>
          <w:highlight w:val="none"/>
          <w:lang w:val="en-US" w:eastAsia="zh-CN" w:bidi="ar-SA"/>
        </w:rPr>
        <w:t>乙双方均同意向（仲裁委员会）提起仲裁。</w:t>
      </w:r>
    </w:p>
    <w:p w14:paraId="22B8522F">
      <w:pPr>
        <w:numPr>
          <w:ilvl w:val="0"/>
          <w:numId w:val="0"/>
        </w:numPr>
        <w:spacing w:before="156" w:beforeLines="50" w:after="156" w:afterLines="50" w:line="24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第十一条 合同的变更和终止</w:t>
      </w:r>
    </w:p>
    <w:p w14:paraId="19B14D56">
      <w:pPr>
        <w:spacing w:line="24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除《中华人民共和国政府采购法》第49条、第50条第二款规定的情形外，本合同一经签订，甲乙双方不得擅自变更、中止或终止合同。</w:t>
      </w:r>
    </w:p>
    <w:p w14:paraId="4FBBAE82">
      <w:pPr>
        <w:spacing w:before="156" w:beforeLines="50" w:after="156" w:afterLines="50" w:line="24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第十二条 争议的解决</w:t>
      </w:r>
    </w:p>
    <w:p w14:paraId="22301971">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05AE8B0D">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2、因履行本合同引</w:t>
      </w:r>
      <w:r>
        <w:rPr>
          <w:rFonts w:hint="eastAsia" w:ascii="仿宋" w:hAnsi="仿宋" w:eastAsia="仿宋" w:cs="仿宋"/>
          <w:color w:val="auto"/>
          <w:sz w:val="24"/>
          <w:szCs w:val="24"/>
          <w:highlight w:val="none"/>
        </w:rPr>
        <w:t>起的或与本合同有关的争议，甲、乙双方应首先通过友好协商解决，如果协商不成，则采取以下第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种方</w:t>
      </w:r>
      <w:r>
        <w:rPr>
          <w:rFonts w:hint="eastAsia" w:ascii="仿宋" w:hAnsi="仿宋" w:eastAsia="仿宋" w:cs="仿宋"/>
          <w:sz w:val="24"/>
          <w:szCs w:val="24"/>
          <w:highlight w:val="none"/>
        </w:rPr>
        <w:t>式解决争议：</w:t>
      </w:r>
    </w:p>
    <w:p w14:paraId="2760B93D">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（1）向甲方所在地有管辖权的人民法院提起诉讼；</w:t>
      </w:r>
    </w:p>
    <w:p w14:paraId="7A62CC9E">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（2）向</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仲裁委员会按其仲裁规则申请仲裁。</w:t>
      </w:r>
    </w:p>
    <w:p w14:paraId="00283683">
      <w:pPr>
        <w:pStyle w:val="21"/>
        <w:spacing w:line="240" w:lineRule="auto"/>
        <w:ind w:firstLine="480"/>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3．在仲</w:t>
      </w:r>
      <w:r>
        <w:rPr>
          <w:rFonts w:hint="eastAsia" w:ascii="仿宋" w:hAnsi="仿宋" w:eastAsia="仿宋" w:cs="仿宋"/>
          <w:sz w:val="24"/>
          <w:szCs w:val="24"/>
          <w:highlight w:val="none"/>
        </w:rPr>
        <w:t>裁期间，本合同应继续履行。</w:t>
      </w:r>
    </w:p>
    <w:p w14:paraId="6878C4D9">
      <w:pPr>
        <w:snapToGrid w:val="0"/>
        <w:spacing w:before="156" w:beforeLines="50" w:after="156" w:afterLines="50" w:line="240" w:lineRule="auto"/>
        <w:textAlignment w:val="baseline"/>
        <w:rPr>
          <w:rFonts w:hint="eastAsia" w:ascii="仿宋" w:hAnsi="仿宋" w:eastAsia="仿宋" w:cs="仿宋"/>
          <w:b/>
          <w:sz w:val="24"/>
          <w:szCs w:val="24"/>
          <w:highlight w:val="none"/>
        </w:rPr>
      </w:pPr>
      <w:r>
        <w:rPr>
          <w:rFonts w:hint="eastAsia" w:ascii="仿宋" w:hAnsi="仿宋" w:eastAsia="仿宋" w:cs="仿宋"/>
          <w:b/>
          <w:sz w:val="24"/>
          <w:szCs w:val="24"/>
          <w:highlight w:val="none"/>
        </w:rPr>
        <w:t>第十三条 合同生效及其他</w:t>
      </w:r>
    </w:p>
    <w:p w14:paraId="5FEC070D">
      <w:pPr>
        <w:snapToGrid w:val="0"/>
        <w:spacing w:line="240" w:lineRule="auto"/>
        <w:ind w:firstLine="539"/>
        <w:rPr>
          <w:rFonts w:hint="eastAsia" w:ascii="仿宋" w:hAnsi="仿宋" w:eastAsia="仿宋" w:cs="仿宋"/>
          <w:sz w:val="24"/>
          <w:szCs w:val="24"/>
          <w:highlight w:val="none"/>
        </w:rPr>
      </w:pPr>
      <w:r>
        <w:rPr>
          <w:rFonts w:hint="eastAsia" w:ascii="仿宋" w:hAnsi="仿宋" w:eastAsia="仿宋" w:cs="仿宋"/>
          <w:sz w:val="24"/>
          <w:szCs w:val="24"/>
          <w:highlight w:val="none"/>
        </w:rPr>
        <w:t>1、如有未尽事宜，由双方依法订立补充合同。</w:t>
      </w:r>
    </w:p>
    <w:p w14:paraId="24355855">
      <w:pPr>
        <w:snapToGrid w:val="0"/>
        <w:spacing w:line="240" w:lineRule="auto"/>
        <w:ind w:firstLine="539"/>
        <w:rPr>
          <w:rFonts w:hint="eastAsia" w:ascii="仿宋" w:hAnsi="仿宋" w:eastAsia="仿宋" w:cs="仿宋"/>
          <w:sz w:val="24"/>
          <w:szCs w:val="24"/>
          <w:highlight w:val="none"/>
        </w:rPr>
      </w:pPr>
      <w:r>
        <w:rPr>
          <w:rFonts w:hint="eastAsia" w:ascii="仿宋" w:hAnsi="仿宋" w:eastAsia="仿宋" w:cs="仿宋"/>
          <w:sz w:val="24"/>
          <w:szCs w:val="24"/>
          <w:highlight w:val="none"/>
        </w:rPr>
        <w:t>2、本合同自签订之日起生效。</w:t>
      </w:r>
    </w:p>
    <w:p w14:paraId="50AB5FC8">
      <w:pPr>
        <w:snapToGrid w:val="0"/>
        <w:spacing w:line="240" w:lineRule="auto"/>
        <w:ind w:firstLine="539"/>
        <w:rPr>
          <w:rFonts w:hint="eastAsia" w:ascii="仿宋" w:hAnsi="仿宋" w:eastAsia="仿宋" w:cs="仿宋"/>
          <w:sz w:val="24"/>
          <w:szCs w:val="24"/>
          <w:highlight w:val="none"/>
        </w:rPr>
      </w:pPr>
      <w:r>
        <w:rPr>
          <w:rFonts w:hint="eastAsia" w:ascii="仿宋" w:hAnsi="仿宋" w:eastAsia="仿宋" w:cs="仿宋"/>
          <w:sz w:val="24"/>
          <w:szCs w:val="24"/>
          <w:highlight w:val="none"/>
        </w:rPr>
        <w:t>3、本合同一式</w:t>
      </w:r>
      <w:r>
        <w:rPr>
          <w:rFonts w:hint="eastAsia" w:ascii="仿宋" w:hAnsi="仿宋" w:eastAsia="仿宋" w:cs="仿宋"/>
          <w:sz w:val="24"/>
          <w:szCs w:val="24"/>
          <w:highlight w:val="none"/>
          <w:u w:val="single"/>
          <w:lang w:val="en-US" w:eastAsia="zh-CN"/>
        </w:rPr>
        <w:t>陆</w:t>
      </w:r>
      <w:r>
        <w:rPr>
          <w:rFonts w:hint="eastAsia" w:ascii="仿宋" w:hAnsi="仿宋" w:eastAsia="仿宋" w:cs="仿宋"/>
          <w:sz w:val="24"/>
          <w:szCs w:val="24"/>
          <w:highlight w:val="none"/>
        </w:rPr>
        <w:t>份，具有同等法律效力，甲乙双方各执</w:t>
      </w:r>
      <w:r>
        <w:rPr>
          <w:rFonts w:hint="eastAsia" w:ascii="仿宋" w:hAnsi="仿宋" w:eastAsia="仿宋" w:cs="仿宋"/>
          <w:sz w:val="24"/>
          <w:szCs w:val="24"/>
          <w:highlight w:val="none"/>
          <w:u w:val="single"/>
          <w:lang w:val="en-US" w:eastAsia="zh-CN"/>
        </w:rPr>
        <w:t>三</w:t>
      </w:r>
      <w:r>
        <w:rPr>
          <w:rFonts w:hint="eastAsia" w:ascii="仿宋" w:hAnsi="仿宋" w:eastAsia="仿宋" w:cs="仿宋"/>
          <w:sz w:val="24"/>
          <w:szCs w:val="24"/>
          <w:highlight w:val="none"/>
        </w:rPr>
        <w:t>份，一份报送政府采购监督管理部门备案。</w:t>
      </w:r>
    </w:p>
    <w:tbl>
      <w:tblPr>
        <w:tblStyle w:val="14"/>
        <w:tblpPr w:leftFromText="180" w:rightFromText="180" w:vertAnchor="text" w:horzAnchor="page" w:tblpX="1277" w:tblpY="448"/>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920"/>
      </w:tblGrid>
      <w:tr w14:paraId="40FA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vAlign w:val="top"/>
          </w:tcPr>
          <w:p w14:paraId="774A3FE9">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甲方：（盖章）</w:t>
            </w:r>
          </w:p>
        </w:tc>
        <w:tc>
          <w:tcPr>
            <w:tcW w:w="4920" w:type="dxa"/>
            <w:vAlign w:val="center"/>
          </w:tcPr>
          <w:p w14:paraId="21609B66">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乙方：（</w:t>
            </w:r>
            <w:r>
              <w:rPr>
                <w:rFonts w:hint="eastAsia" w:ascii="仿宋" w:hAnsi="仿宋" w:eastAsia="仿宋" w:cs="仿宋"/>
                <w:sz w:val="28"/>
                <w:szCs w:val="28"/>
                <w:highlight w:val="none"/>
                <w:lang w:eastAsia="zh-CN"/>
              </w:rPr>
              <w:t>盖</w:t>
            </w:r>
            <w:r>
              <w:rPr>
                <w:rFonts w:hint="eastAsia" w:ascii="仿宋" w:hAnsi="仿宋" w:eastAsia="仿宋" w:cs="仿宋"/>
                <w:sz w:val="28"/>
                <w:szCs w:val="28"/>
                <w:highlight w:val="none"/>
              </w:rPr>
              <w:t>章）</w:t>
            </w:r>
          </w:p>
        </w:tc>
      </w:tr>
      <w:tr w14:paraId="2609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5AE91797">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w:t>
            </w:r>
          </w:p>
        </w:tc>
        <w:tc>
          <w:tcPr>
            <w:tcW w:w="4920" w:type="dxa"/>
          </w:tcPr>
          <w:p w14:paraId="20A2DAF7">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w:t>
            </w:r>
          </w:p>
        </w:tc>
      </w:tr>
      <w:tr w14:paraId="1AA9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10A1ADB1">
            <w:pPr>
              <w:pStyle w:val="10"/>
              <w:ind w:left="0" w:leftChars="0" w:firstLine="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地址：</w:t>
            </w:r>
          </w:p>
        </w:tc>
        <w:tc>
          <w:tcPr>
            <w:tcW w:w="4920" w:type="dxa"/>
          </w:tcPr>
          <w:p w14:paraId="3B0DAD60">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p>
        </w:tc>
      </w:tr>
      <w:tr w14:paraId="4B2E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60EE445F">
            <w:pPr>
              <w:pStyle w:val="10"/>
              <w:ind w:left="0" w:leftChars="0" w:firstLine="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开户银行：</w:t>
            </w:r>
          </w:p>
        </w:tc>
        <w:tc>
          <w:tcPr>
            <w:tcW w:w="4920" w:type="dxa"/>
          </w:tcPr>
          <w:p w14:paraId="29B704DA">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tc>
      </w:tr>
      <w:tr w14:paraId="38E9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5CC0CA5E">
            <w:pPr>
              <w:pStyle w:val="10"/>
              <w:ind w:left="0" w:leftChars="0" w:firstLine="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账号：</w:t>
            </w:r>
          </w:p>
        </w:tc>
        <w:tc>
          <w:tcPr>
            <w:tcW w:w="4920" w:type="dxa"/>
          </w:tcPr>
          <w:p w14:paraId="258E84D8">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账号：</w:t>
            </w:r>
          </w:p>
        </w:tc>
      </w:tr>
      <w:tr w14:paraId="73E6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64B339D4">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p>
        </w:tc>
        <w:tc>
          <w:tcPr>
            <w:tcW w:w="4920" w:type="dxa"/>
          </w:tcPr>
          <w:p w14:paraId="53DBE99F">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电话：</w:t>
            </w:r>
          </w:p>
        </w:tc>
      </w:tr>
      <w:tr w14:paraId="49D2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Pr>
          <w:p w14:paraId="07492555">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签约日期：    年  月  日</w:t>
            </w:r>
          </w:p>
        </w:tc>
        <w:tc>
          <w:tcPr>
            <w:tcW w:w="4920" w:type="dxa"/>
          </w:tcPr>
          <w:p w14:paraId="0294D37B">
            <w:pPr>
              <w:pStyle w:val="10"/>
              <w:ind w:left="0" w:leftChars="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签约日期：    年  月  日</w:t>
            </w:r>
          </w:p>
        </w:tc>
      </w:tr>
    </w:tbl>
    <w:p w14:paraId="0C693B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F6A48"/>
    <w:multiLevelType w:val="singleLevel"/>
    <w:tmpl w:val="C4DF6A48"/>
    <w:lvl w:ilvl="0" w:tentative="0">
      <w:start w:val="1"/>
      <w:numFmt w:val="decimal"/>
      <w:suff w:val="nothing"/>
      <w:lvlText w:val="（%1）"/>
      <w:lvlJc w:val="left"/>
    </w:lvl>
  </w:abstractNum>
  <w:abstractNum w:abstractNumId="1">
    <w:nsid w:val="1DD8BAAF"/>
    <w:multiLevelType w:val="singleLevel"/>
    <w:tmpl w:val="1DD8BAA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wMjI2ZGQ3Nzk3OTQ1OGY1NGM3MDExMzI2OTkyMGIifQ=="/>
  </w:docVars>
  <w:rsids>
    <w:rsidRoot w:val="00000000"/>
    <w:rsid w:val="01D549AE"/>
    <w:rsid w:val="02056D00"/>
    <w:rsid w:val="02165FAF"/>
    <w:rsid w:val="021A7591"/>
    <w:rsid w:val="02ED346D"/>
    <w:rsid w:val="03B677F7"/>
    <w:rsid w:val="046B7A2F"/>
    <w:rsid w:val="08C05347"/>
    <w:rsid w:val="0B270AF0"/>
    <w:rsid w:val="0F9D2024"/>
    <w:rsid w:val="12B56C41"/>
    <w:rsid w:val="14A5650D"/>
    <w:rsid w:val="14DB1396"/>
    <w:rsid w:val="179E6721"/>
    <w:rsid w:val="18812C1B"/>
    <w:rsid w:val="1AEA572F"/>
    <w:rsid w:val="1CFD0B3D"/>
    <w:rsid w:val="1E7C6B26"/>
    <w:rsid w:val="214B295B"/>
    <w:rsid w:val="234F2079"/>
    <w:rsid w:val="24412260"/>
    <w:rsid w:val="24AA5F17"/>
    <w:rsid w:val="27AC5CEC"/>
    <w:rsid w:val="29D53545"/>
    <w:rsid w:val="2A171C98"/>
    <w:rsid w:val="2BAF75BF"/>
    <w:rsid w:val="2D1618F2"/>
    <w:rsid w:val="34FD1935"/>
    <w:rsid w:val="37E36B3E"/>
    <w:rsid w:val="383E25DC"/>
    <w:rsid w:val="3A0C79AE"/>
    <w:rsid w:val="3A3F40B2"/>
    <w:rsid w:val="3B91540F"/>
    <w:rsid w:val="3D31048F"/>
    <w:rsid w:val="3E510FCC"/>
    <w:rsid w:val="41460894"/>
    <w:rsid w:val="432D7CE4"/>
    <w:rsid w:val="46A02DC8"/>
    <w:rsid w:val="48EE48B5"/>
    <w:rsid w:val="4A4326D9"/>
    <w:rsid w:val="4A481960"/>
    <w:rsid w:val="4AA2007C"/>
    <w:rsid w:val="4D8527BF"/>
    <w:rsid w:val="4DE253E9"/>
    <w:rsid w:val="4EB3160F"/>
    <w:rsid w:val="4FE44003"/>
    <w:rsid w:val="543D5CAB"/>
    <w:rsid w:val="54482775"/>
    <w:rsid w:val="545D3BCF"/>
    <w:rsid w:val="559353B9"/>
    <w:rsid w:val="5B974C88"/>
    <w:rsid w:val="5BA00AE1"/>
    <w:rsid w:val="5C616D3A"/>
    <w:rsid w:val="63A2253B"/>
    <w:rsid w:val="644A04E3"/>
    <w:rsid w:val="672A32AB"/>
    <w:rsid w:val="6920735A"/>
    <w:rsid w:val="6B6D41B1"/>
    <w:rsid w:val="6B84746B"/>
    <w:rsid w:val="6BCF2F6A"/>
    <w:rsid w:val="6CFB7F33"/>
    <w:rsid w:val="7233293F"/>
    <w:rsid w:val="74A9087E"/>
    <w:rsid w:val="74C10DAF"/>
    <w:rsid w:val="76E1640A"/>
    <w:rsid w:val="779B2290"/>
    <w:rsid w:val="79EE56A4"/>
    <w:rsid w:val="7BAB211D"/>
    <w:rsid w:val="7C6A19B4"/>
    <w:rsid w:val="7C750495"/>
    <w:rsid w:val="7C914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Lines="0" w:beforeAutospacing="0" w:afterLines="0" w:afterAutospacing="0" w:line="240" w:lineRule="auto"/>
      <w:ind w:firstLine="0" w:firstLineChars="0"/>
      <w:jc w:val="left"/>
      <w:outlineLvl w:val="0"/>
    </w:pPr>
    <w:rPr>
      <w:rFonts w:ascii="Times New Roman" w:hAnsi="Times New Roman" w:eastAsia="宋体" w:cs="Times New Roman"/>
      <w:b/>
      <w:kern w:val="44"/>
      <w:sz w:val="36"/>
      <w:szCs w:val="21"/>
    </w:rPr>
  </w:style>
  <w:style w:type="paragraph" w:styleId="3">
    <w:name w:val="heading 2"/>
    <w:basedOn w:val="1"/>
    <w:next w:val="4"/>
    <w:link w:val="17"/>
    <w:unhideWhenUsed/>
    <w:qFormat/>
    <w:uiPriority w:val="0"/>
    <w:pPr>
      <w:keepNext/>
      <w:keepLines/>
      <w:spacing w:line="240" w:lineRule="auto"/>
      <w:ind w:firstLine="0" w:firstLineChars="0"/>
      <w:jc w:val="left"/>
      <w:outlineLvl w:val="1"/>
    </w:pPr>
    <w:rPr>
      <w:rFonts w:ascii="Arial" w:hAnsi="Arial" w:eastAsia="宋体" w:cs="Times New Roman"/>
      <w:b/>
      <w:bCs/>
      <w:sz w:val="32"/>
      <w:szCs w:val="32"/>
    </w:rPr>
  </w:style>
  <w:style w:type="paragraph" w:styleId="5">
    <w:name w:val="heading 3"/>
    <w:basedOn w:val="1"/>
    <w:next w:val="1"/>
    <w:link w:val="18"/>
    <w:autoRedefine/>
    <w:semiHidden/>
    <w:unhideWhenUsed/>
    <w:qFormat/>
    <w:uiPriority w:val="0"/>
    <w:pPr>
      <w:keepNext/>
      <w:keepLines/>
      <w:spacing w:beforeLines="0" w:beforeAutospacing="0" w:afterLines="0" w:afterAutospacing="0" w:line="240" w:lineRule="auto"/>
      <w:ind w:firstLine="0" w:firstLineChars="0"/>
      <w:jc w:val="left"/>
      <w:outlineLvl w:val="2"/>
    </w:pPr>
    <w:rPr>
      <w:rFonts w:ascii="Times New Roman" w:hAnsi="Times New Roman" w:eastAsia="宋体" w:cs="Times New Roman"/>
      <w:b/>
      <w:sz w:val="30"/>
      <w:szCs w:val="21"/>
    </w:rPr>
  </w:style>
  <w:style w:type="paragraph" w:styleId="6">
    <w:name w:val="heading 4"/>
    <w:basedOn w:val="1"/>
    <w:next w:val="1"/>
    <w:link w:val="20"/>
    <w:semiHidden/>
    <w:unhideWhenUsed/>
    <w:qFormat/>
    <w:uiPriority w:val="0"/>
    <w:pPr>
      <w:keepNext/>
      <w:keepLines/>
      <w:spacing w:beforeLines="0" w:beforeAutospacing="0" w:afterLines="0" w:afterAutospacing="0" w:line="240" w:lineRule="auto"/>
      <w:ind w:firstLine="0" w:firstLineChars="0"/>
      <w:outlineLvl w:val="3"/>
    </w:pPr>
    <w:rPr>
      <w:rFonts w:ascii="Arial" w:hAnsi="Arial" w:eastAsia="宋体" w:cs="Times New Roman"/>
      <w:b/>
      <w:sz w:val="28"/>
    </w:rPr>
  </w:style>
  <w:style w:type="paragraph" w:styleId="7">
    <w:name w:val="heading 5"/>
    <w:basedOn w:val="1"/>
    <w:next w:val="1"/>
    <w:semiHidden/>
    <w:unhideWhenUsed/>
    <w:qFormat/>
    <w:uiPriority w:val="0"/>
    <w:pPr>
      <w:keepNext/>
      <w:keepLines/>
      <w:spacing w:beforeLines="0" w:beforeAutospacing="0" w:afterLines="0" w:afterAutospacing="0" w:line="240" w:lineRule="auto"/>
      <w:outlineLvl w:val="4"/>
    </w:pPr>
    <w:rPr>
      <w:b/>
    </w:rPr>
  </w:style>
  <w:style w:type="character" w:default="1" w:styleId="15">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8">
    <w:name w:val="Normal Indent"/>
    <w:basedOn w:val="1"/>
    <w:qFormat/>
    <w:uiPriority w:val="0"/>
    <w:pPr>
      <w:autoSpaceDE w:val="0"/>
      <w:autoSpaceDN w:val="0"/>
      <w:adjustRightInd w:val="0"/>
      <w:spacing w:line="240" w:lineRule="auto"/>
      <w:ind w:firstLine="0" w:firstLineChars="0"/>
      <w:jc w:val="left"/>
    </w:pPr>
    <w:rPr>
      <w:rFonts w:ascii="楷体_GB2312" w:hAnsi="楷体_GB2312" w:eastAsia="宋体" w:cs="Times New Roman"/>
      <w:sz w:val="24"/>
      <w:szCs w:val="32"/>
    </w:rPr>
  </w:style>
  <w:style w:type="paragraph" w:styleId="9">
    <w:name w:val="Body Text 3"/>
    <w:basedOn w:val="1"/>
    <w:qFormat/>
    <w:uiPriority w:val="0"/>
    <w:pPr>
      <w:ind w:firstLine="0" w:firstLineChars="0"/>
      <w:jc w:val="left"/>
    </w:pPr>
    <w:rPr>
      <w:rFonts w:cs="Times New Roman"/>
      <w:kern w:val="0"/>
      <w:sz w:val="24"/>
      <w:szCs w:val="16"/>
    </w:rPr>
  </w:style>
  <w:style w:type="paragraph" w:styleId="10">
    <w:name w:val="Block Text"/>
    <w:basedOn w:val="1"/>
    <w:qFormat/>
    <w:uiPriority w:val="0"/>
    <w:pPr>
      <w:spacing w:line="360" w:lineRule="auto"/>
      <w:ind w:left="-420" w:leftChars="-200" w:right="210" w:rightChars="100" w:firstLine="480" w:firstLineChars="200"/>
    </w:pPr>
    <w:rPr>
      <w:rFonts w:ascii="宋体" w:hAnsi="宋体"/>
      <w:sz w:val="24"/>
    </w:rPr>
  </w:style>
  <w:style w:type="paragraph" w:styleId="11">
    <w:name w:val="Plain Text"/>
    <w:basedOn w:val="1"/>
    <w:next w:val="4"/>
    <w:qFormat/>
    <w:uiPriority w:val="0"/>
    <w:rPr>
      <w:rFonts w:ascii="宋体" w:hAnsi="Courier New"/>
    </w:rPr>
  </w:style>
  <w:style w:type="paragraph" w:styleId="12">
    <w:name w:val="footer"/>
    <w:basedOn w:val="1"/>
    <w:autoRedefine/>
    <w:qFormat/>
    <w:uiPriority w:val="0"/>
    <w:pPr>
      <w:tabs>
        <w:tab w:val="center" w:pos="4153"/>
        <w:tab w:val="right" w:pos="8306"/>
      </w:tabs>
      <w:snapToGrid w:val="0"/>
      <w:jc w:val="left"/>
    </w:pPr>
    <w:rPr>
      <w:sz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1 Char"/>
    <w:link w:val="2"/>
    <w:qFormat/>
    <w:uiPriority w:val="0"/>
    <w:rPr>
      <w:rFonts w:ascii="Times New Roman" w:hAnsi="Times New Roman" w:eastAsia="宋体" w:cs="Times New Roman"/>
      <w:b/>
      <w:kern w:val="44"/>
      <w:sz w:val="36"/>
      <w:szCs w:val="21"/>
    </w:rPr>
  </w:style>
  <w:style w:type="character" w:customStyle="1" w:styleId="17">
    <w:name w:val="标题 2 Char"/>
    <w:link w:val="3"/>
    <w:autoRedefine/>
    <w:qFormat/>
    <w:uiPriority w:val="0"/>
    <w:rPr>
      <w:rFonts w:ascii="Arial" w:hAnsi="Arial" w:eastAsia="宋体" w:cs="Times New Roman"/>
      <w:b/>
      <w:bCs/>
      <w:sz w:val="32"/>
      <w:szCs w:val="32"/>
    </w:rPr>
  </w:style>
  <w:style w:type="character" w:customStyle="1" w:styleId="18">
    <w:name w:val="标题 3 字符"/>
    <w:link w:val="5"/>
    <w:qFormat/>
    <w:uiPriority w:val="0"/>
    <w:rPr>
      <w:rFonts w:ascii="Times New Roman" w:hAnsi="Times New Roman" w:eastAsia="宋体" w:cs="Times New Roman"/>
      <w:b/>
      <w:sz w:val="30"/>
      <w:szCs w:val="21"/>
    </w:rPr>
  </w:style>
  <w:style w:type="paragraph" w:customStyle="1" w:styleId="19">
    <w:name w:val="列出段落1"/>
    <w:basedOn w:val="1"/>
    <w:qFormat/>
    <w:uiPriority w:val="0"/>
    <w:pPr>
      <w:ind w:firstLine="420" w:firstLineChars="200"/>
    </w:pPr>
    <w:rPr>
      <w:rFonts w:ascii="Times New Roman" w:hAnsi="Times New Roman" w:eastAsia="宋体"/>
      <w:sz w:val="24"/>
    </w:rPr>
  </w:style>
  <w:style w:type="character" w:customStyle="1" w:styleId="20">
    <w:name w:val="标题 4 Char"/>
    <w:link w:val="6"/>
    <w:autoRedefine/>
    <w:qFormat/>
    <w:uiPriority w:val="0"/>
    <w:rPr>
      <w:rFonts w:ascii="Arial" w:hAnsi="Arial" w:eastAsia="宋体" w:cs="Times New Roman"/>
      <w:b/>
      <w:sz w:val="28"/>
    </w:rPr>
  </w:style>
  <w:style w:type="paragraph" w:customStyle="1" w:styleId="21">
    <w:name w:val="样式 首行缩进:  2 字符"/>
    <w:basedOn w:val="1"/>
    <w:autoRedefine/>
    <w:qFormat/>
    <w:uiPriority w:val="0"/>
    <w:pPr>
      <w:spacing w:line="400" w:lineRule="exact"/>
      <w:ind w:firstLine="200" w:firstLineChars="200"/>
    </w:pPr>
    <w:rPr>
      <w:rFonts w:cs="宋体"/>
    </w:rPr>
  </w:style>
  <w:style w:type="character" w:customStyle="1" w:styleId="22">
    <w:name w:val="font51"/>
    <w:basedOn w:val="15"/>
    <w:autoRedefine/>
    <w:qFormat/>
    <w:uiPriority w:val="0"/>
    <w:rPr>
      <w:rFonts w:hint="eastAsia" w:ascii="宋体" w:hAnsi="宋体" w:eastAsia="宋体" w:cs="宋体"/>
      <w:b/>
      <w:bCs/>
      <w:color w:val="000000"/>
      <w:sz w:val="22"/>
      <w:szCs w:val="22"/>
      <w:u w:val="none"/>
    </w:rPr>
  </w:style>
  <w:style w:type="character" w:customStyle="1" w:styleId="23">
    <w:name w:val="font61"/>
    <w:basedOn w:val="15"/>
    <w:qFormat/>
    <w:uiPriority w:val="0"/>
    <w:rPr>
      <w:rFonts w:hint="default" w:ascii="仿宋_GB2312" w:eastAsia="仿宋_GB2312" w:cs="仿宋_GB2312"/>
      <w:b/>
      <w:bCs/>
      <w:color w:val="000000"/>
      <w:sz w:val="22"/>
      <w:szCs w:val="22"/>
      <w:u w:val="none"/>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2950</Words>
  <Characters>2976</Characters>
  <Lines>0</Lines>
  <Paragraphs>0</Paragraphs>
  <TotalTime>2</TotalTime>
  <ScaleCrop>false</ScaleCrop>
  <LinksUpToDate>false</LinksUpToDate>
  <CharactersWithSpaces>3127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2022-09-22T13:18:00Z</dcterms:created>
  <dc:creator>Administrator</dc:creator>
  <cp:lastModifiedBy>张寒冰</cp:lastModifiedBy>
  <cp:lastPrinted>2023-09-12T08:15:00Z</cp:lastPrinted>
  <dcterms:modified xsi:type="dcterms:W3CDTF">2025-01-10T04:23:43Z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CF00E27B81D347E09D2077223CD14A04_13</vt:lpwstr>
  </property>
  <property fmtid="{D5CDD505-2E9C-101B-9397-08002B2CF9AE}" pid="4" name="KSOTemplateDocerSaveRecord">
    <vt:lpwstr>eyJoZGlkIjoiYzljMzU4MWIzYzRjYWUwMzliYmRhNjY3YTdmNzFhNDciLCJ1c2VySWQiOiI2MDQyNzIwMTkifQ==</vt:lpwstr>
  </property>
</Properties>
</file>