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版本号：THXZB2025-100220250113001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细柳街道GX3-17-28地块配合文勘项目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THXZB2025-1002</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细柳街道GX3-17-28地块配合文勘项目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细柳街道GX3-17-28地块配合文勘项目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高新区细柳街道Gx3-17-28地块（经二十八路东）配合文堪项目，项目位于西安市高新区细柳街道经二十八路以东韦斗路以南。施工范围在经二十八路以东、韦斗路以南。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2、法定代表人授权书：法定代表人直接投标须提交其身份证，法定代表人授权代表参加投标的，须出具授权书及被授权人身份证，供应商需在项目电子化交易系统中按要求上传相应证明文件并进行电子签章；</w:t>
      </w:r>
    </w:p>
    <w:p>
      <w:pPr>
        <w:pStyle w:val="null3"/>
      </w:pPr>
      <w:r>
        <w:rPr>
          <w:rFonts w:ascii="仿宋_GB2312" w:hAnsi="仿宋_GB2312" w:cs="仿宋_GB2312" w:eastAsia="仿宋_GB2312"/>
        </w:rPr>
        <w:t>3、供应商资质：供应商须具备建设行政主管部门颁发的建筑工程施工总承包三级及以上资质，在有效期内，且具备有效的安全生产许可证（复印件加盖供应商公章），供应商需在项目电子化交易系统中按要求上传相应证明文件并进行电子签章；</w:t>
      </w:r>
    </w:p>
    <w:p>
      <w:pPr>
        <w:pStyle w:val="null3"/>
      </w:pPr>
      <w:r>
        <w:rPr>
          <w:rFonts w:ascii="仿宋_GB2312" w:hAnsi="仿宋_GB2312" w:cs="仿宋_GB2312" w:eastAsia="仿宋_GB2312"/>
        </w:rPr>
        <w:t>4、拟派项目负责人资质和专业要求：拟派项目经理须具备建筑工程专业 二级及以上注册建造师资质，在有效期内，且具备有效的安全生产考核合格证书（B证），并提供项目经理无其他在建工程承诺，供应商需在项目电子化交易系统中按要求上传相应证明文件并进行电子签章。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西安市长安区细柳街道办事处经办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029-85962302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陕西省西安市雁塔区唐延南路8号泰维智链中心二期南楼1602室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赵磊、卢晨驰、单丹妮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代理服务费收费标准：参照《招标代理服务收费管理暂行办法》(计价格(2002)1980号)号文规定计取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联系电话：029-88210791转812</w:t>
      </w:r>
    </w:p>
    <w:p>
      <w:pPr>
        <w:pStyle w:val="null3"/>
      </w:pPr>
      <w:r>
        <w:rPr>
          <w:rFonts w:ascii="仿宋_GB2312" w:hAnsi="仿宋_GB2312" w:cs="仿宋_GB2312" w:eastAsia="仿宋_GB2312"/>
        </w:rPr>
        <w:t>地址：西安市高新区唐延南路8号泰维智链中心二期T2号楼1602室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1,191,300.00</w:t>
      </w:r>
    </w:p>
    <w:p>
      <w:pPr>
        <w:pStyle w:val="null3"/>
      </w:pPr>
      <w:r>
        <w:rPr>
          <w:rFonts w:ascii="仿宋_GB2312" w:hAnsi="仿宋_GB2312" w:cs="仿宋_GB2312" w:eastAsia="仿宋_GB2312"/>
        </w:rPr>
        <w:t>采购包最高限价（元）: 1,191,300.00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细柳街道GX3-17-28地块配合文勘项目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1,191,300.00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标的名称：细柳街道GX3-17-28地块配合文勘项目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（一）项目名称：细柳街道</w:t>
            </w:r>
            <w:r>
              <w:rPr>
                <w:rFonts w:ascii="仿宋_GB2312" w:hAnsi="仿宋_GB2312" w:cs="仿宋_GB2312" w:eastAsia="仿宋_GB2312"/>
                <w:sz w:val="28"/>
              </w:rPr>
              <w:t>Gx3-17-</w:t>
            </w:r>
            <w:r>
              <w:rPr>
                <w:rFonts w:ascii="仿宋_GB2312" w:hAnsi="仿宋_GB2312" w:cs="仿宋_GB2312" w:eastAsia="仿宋_GB2312"/>
                <w:sz w:val="28"/>
              </w:rPr>
              <w:t>2</w:t>
            </w:r>
            <w:r>
              <w:rPr>
                <w:rFonts w:ascii="仿宋_GB2312" w:hAnsi="仿宋_GB2312" w:cs="仿宋_GB2312" w:eastAsia="仿宋_GB2312"/>
                <w:sz w:val="28"/>
              </w:rPr>
              <w:t>8</w:t>
            </w:r>
            <w:r>
              <w:rPr>
                <w:rFonts w:ascii="仿宋_GB2312" w:hAnsi="仿宋_GB2312" w:cs="仿宋_GB2312" w:eastAsia="仿宋_GB2312"/>
                <w:sz w:val="28"/>
              </w:rPr>
              <w:t>地块配合文堪项目</w:t>
            </w:r>
          </w:p>
          <w:p>
            <w:pPr>
              <w:pStyle w:val="null3"/>
              <w:ind w:firstLine="560"/>
              <w:jc w:val="both"/>
            </w:pPr>
            <w:r>
              <w:rPr>
                <w:rFonts w:ascii="仿宋_GB2312" w:hAnsi="仿宋_GB2312" w:cs="仿宋_GB2312" w:eastAsia="仿宋_GB2312"/>
                <w:sz w:val="28"/>
              </w:rPr>
              <w:t>（二）项目地点：西安市细柳街道经二十八路以东韦斗路以南</w:t>
            </w:r>
          </w:p>
          <w:p>
            <w:pPr>
              <w:pStyle w:val="null3"/>
              <w:jc w:val="left"/>
            </w:pPr>
            <w:r>
              <w:rPr>
                <w:rFonts w:ascii="仿宋_GB2312" w:hAnsi="仿宋_GB2312" w:cs="仿宋_GB2312" w:eastAsia="仿宋_GB2312"/>
                <w:sz w:val="28"/>
                <w:b/>
              </w:rPr>
              <w:t>二、施工范围：</w:t>
            </w:r>
          </w:p>
          <w:p>
            <w:pPr>
              <w:pStyle w:val="null3"/>
              <w:ind w:firstLine="560"/>
              <w:jc w:val="both"/>
            </w:pPr>
            <w:r>
              <w:rPr>
                <w:rFonts w:ascii="仿宋_GB2312" w:hAnsi="仿宋_GB2312" w:cs="仿宋_GB2312" w:eastAsia="仿宋_GB2312"/>
                <w:sz w:val="28"/>
              </w:rPr>
              <w:t>高新区细柳街道</w:t>
            </w:r>
            <w:r>
              <w:rPr>
                <w:rFonts w:ascii="仿宋_GB2312" w:hAnsi="仿宋_GB2312" w:cs="仿宋_GB2312" w:eastAsia="仿宋_GB2312"/>
                <w:sz w:val="28"/>
              </w:rPr>
              <w:t>Gx3-17-</w:t>
            </w:r>
            <w:r>
              <w:rPr>
                <w:rFonts w:ascii="仿宋_GB2312" w:hAnsi="仿宋_GB2312" w:cs="仿宋_GB2312" w:eastAsia="仿宋_GB2312"/>
                <w:sz w:val="28"/>
              </w:rPr>
              <w:t>2</w:t>
            </w:r>
            <w:r>
              <w:rPr>
                <w:rFonts w:ascii="仿宋_GB2312" w:hAnsi="仿宋_GB2312" w:cs="仿宋_GB2312" w:eastAsia="仿宋_GB2312"/>
                <w:sz w:val="28"/>
              </w:rPr>
              <w:t>8</w:t>
            </w:r>
            <w:r>
              <w:rPr>
                <w:rFonts w:ascii="仿宋_GB2312" w:hAnsi="仿宋_GB2312" w:cs="仿宋_GB2312" w:eastAsia="仿宋_GB2312"/>
                <w:sz w:val="28"/>
              </w:rPr>
              <w:t>地块（经二十八路东）配合文堪项目，项目位于西安市高新区细柳街道经二十八路以东韦斗路以南。施工范围在经二十八路以东、韦斗路以南。</w:t>
            </w:r>
          </w:p>
          <w:p>
            <w:pPr>
              <w:pStyle w:val="null3"/>
              <w:jc w:val="left"/>
            </w:pP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执行的法律法规、技术规范：</w:t>
            </w:r>
          </w:p>
          <w:p>
            <w:pPr>
              <w:pStyle w:val="null3"/>
              <w:ind w:firstLine="560"/>
              <w:jc w:val="left"/>
            </w:pPr>
            <w:r>
              <w:rPr>
                <w:rFonts w:ascii="仿宋_GB2312" w:hAnsi="仿宋_GB2312" w:cs="仿宋_GB2312" w:eastAsia="仿宋_GB2312"/>
                <w:sz w:val="28"/>
              </w:rPr>
              <w:t>（一）执行的法律法规、技术规范包括但不限于以下规定、规范、标准：</w:t>
            </w:r>
          </w:p>
          <w:p>
            <w:pPr>
              <w:pStyle w:val="null3"/>
              <w:ind w:left="210" w:firstLine="560"/>
              <w:jc w:val="left"/>
            </w:pPr>
            <w:r>
              <w:rPr>
                <w:rFonts w:ascii="仿宋_GB2312" w:hAnsi="仿宋_GB2312" w:cs="仿宋_GB2312" w:eastAsia="仿宋_GB2312"/>
                <w:sz w:val="28"/>
              </w:rPr>
              <w:t>①</w:t>
            </w:r>
            <w:r>
              <w:rPr>
                <w:rFonts w:ascii="仿宋_GB2312" w:hAnsi="仿宋_GB2312" w:cs="仿宋_GB2312" w:eastAsia="仿宋_GB2312"/>
                <w:sz w:val="28"/>
              </w:rPr>
              <w:t>《安全生产法》</w:t>
            </w:r>
          </w:p>
          <w:p>
            <w:pPr>
              <w:pStyle w:val="null3"/>
              <w:ind w:left="210" w:firstLine="560"/>
              <w:jc w:val="left"/>
            </w:pPr>
            <w:r>
              <w:rPr>
                <w:rFonts w:ascii="仿宋_GB2312" w:hAnsi="仿宋_GB2312" w:cs="仿宋_GB2312" w:eastAsia="仿宋_GB2312"/>
                <w:sz w:val="28"/>
              </w:rPr>
              <w:t>②</w:t>
            </w:r>
            <w:r>
              <w:rPr>
                <w:rFonts w:ascii="仿宋_GB2312" w:hAnsi="仿宋_GB2312" w:cs="仿宋_GB2312" w:eastAsia="仿宋_GB2312"/>
                <w:sz w:val="28"/>
              </w:rPr>
              <w:t>《建设工程安全生产管理条例》</w:t>
            </w:r>
          </w:p>
          <w:p>
            <w:pPr>
              <w:pStyle w:val="null3"/>
              <w:ind w:left="210" w:firstLine="560"/>
              <w:jc w:val="left"/>
            </w:pPr>
            <w:r>
              <w:rPr>
                <w:rFonts w:ascii="仿宋_GB2312" w:hAnsi="仿宋_GB2312" w:cs="仿宋_GB2312" w:eastAsia="仿宋_GB2312"/>
                <w:sz w:val="28"/>
              </w:rPr>
              <w:t>③</w:t>
            </w:r>
            <w:r>
              <w:rPr>
                <w:rFonts w:ascii="仿宋_GB2312" w:hAnsi="仿宋_GB2312" w:cs="仿宋_GB2312" w:eastAsia="仿宋_GB2312"/>
                <w:sz w:val="28"/>
              </w:rPr>
              <w:t>《西安市扬尘污染防治条例》</w:t>
            </w:r>
          </w:p>
          <w:p>
            <w:pPr>
              <w:pStyle w:val="null3"/>
              <w:ind w:left="210" w:firstLine="560"/>
              <w:jc w:val="left"/>
            </w:pPr>
            <w:r>
              <w:rPr>
                <w:rFonts w:ascii="仿宋_GB2312" w:hAnsi="仿宋_GB2312" w:cs="仿宋_GB2312" w:eastAsia="仿宋_GB2312"/>
                <w:sz w:val="28"/>
              </w:rPr>
              <w:t>④</w:t>
            </w:r>
            <w:r>
              <w:rPr>
                <w:rFonts w:ascii="仿宋_GB2312" w:hAnsi="仿宋_GB2312" w:cs="仿宋_GB2312" w:eastAsia="仿宋_GB2312"/>
                <w:sz w:val="28"/>
              </w:rPr>
              <w:t>《西安高新区治污减霾网格化管理工作实施方案》</w:t>
            </w:r>
          </w:p>
          <w:p>
            <w:pPr>
              <w:pStyle w:val="null3"/>
              <w:ind w:firstLine="560"/>
              <w:jc w:val="left"/>
            </w:pPr>
            <w:r>
              <w:rPr>
                <w:rFonts w:ascii="仿宋_GB2312" w:hAnsi="仿宋_GB2312" w:cs="仿宋_GB2312" w:eastAsia="仿宋_GB2312"/>
                <w:sz w:val="28"/>
              </w:rPr>
              <w:t>（二）质量标准：</w:t>
            </w:r>
          </w:p>
          <w:p>
            <w:pPr>
              <w:pStyle w:val="null3"/>
              <w:ind w:left="210" w:firstLine="560"/>
              <w:jc w:val="left"/>
            </w:pPr>
            <w:r>
              <w:rPr>
                <w:rFonts w:ascii="仿宋_GB2312" w:hAnsi="仿宋_GB2312" w:cs="仿宋_GB2312" w:eastAsia="仿宋_GB2312"/>
                <w:sz w:val="28"/>
              </w:rPr>
              <w:t>1、</w:t>
            </w:r>
            <w:r>
              <w:rPr>
                <w:rFonts w:ascii="仿宋_GB2312" w:hAnsi="仿宋_GB2312" w:cs="仿宋_GB2312" w:eastAsia="仿宋_GB2312"/>
                <w:sz w:val="28"/>
              </w:rPr>
              <w:t>按城市管理部门要求在入口处安装冲洗台、限高栏，在施工场地内安装互联网监控和空气检测装置等，确保设备正常使用。</w:t>
            </w:r>
          </w:p>
          <w:p>
            <w:pPr>
              <w:pStyle w:val="null3"/>
              <w:ind w:left="210" w:firstLine="560"/>
              <w:jc w:val="left"/>
            </w:pPr>
            <w:r>
              <w:rPr>
                <w:rFonts w:ascii="仿宋_GB2312" w:hAnsi="仿宋_GB2312" w:cs="仿宋_GB2312" w:eastAsia="仿宋_GB2312"/>
                <w:sz w:val="28"/>
              </w:rPr>
              <w:t>2、</w:t>
            </w:r>
            <w:r>
              <w:rPr>
                <w:rFonts w:ascii="仿宋_GB2312" w:hAnsi="仿宋_GB2312" w:cs="仿宋_GB2312" w:eastAsia="仿宋_GB2312"/>
                <w:sz w:val="28"/>
              </w:rPr>
              <w:t>负责协调村内及周边关系。</w:t>
            </w:r>
          </w:p>
          <w:p>
            <w:pPr>
              <w:pStyle w:val="null3"/>
              <w:ind w:left="210" w:firstLine="560"/>
              <w:jc w:val="left"/>
            </w:pPr>
            <w:r>
              <w:rPr>
                <w:rFonts w:ascii="仿宋_GB2312" w:hAnsi="仿宋_GB2312" w:cs="仿宋_GB2312" w:eastAsia="仿宋_GB2312"/>
                <w:sz w:val="28"/>
              </w:rPr>
              <w:t>3</w:t>
            </w:r>
            <w:r>
              <w:rPr>
                <w:rFonts w:ascii="仿宋_GB2312" w:hAnsi="仿宋_GB2312" w:cs="仿宋_GB2312" w:eastAsia="仿宋_GB2312"/>
                <w:sz w:val="28"/>
              </w:rPr>
              <w:t>、计划开挖时依据文勘工作要求，多台挖掘机地面开挖，自卸车同时配合将出土装车内倒至地块西边，出土暂堆至</w:t>
            </w:r>
            <w:r>
              <w:rPr>
                <w:rFonts w:ascii="仿宋_GB2312" w:hAnsi="仿宋_GB2312" w:cs="仿宋_GB2312" w:eastAsia="仿宋_GB2312"/>
                <w:sz w:val="28"/>
              </w:rPr>
              <w:t>Gx3-17-</w:t>
            </w:r>
            <w:r>
              <w:rPr>
                <w:rFonts w:ascii="仿宋_GB2312" w:hAnsi="仿宋_GB2312" w:cs="仿宋_GB2312" w:eastAsia="仿宋_GB2312"/>
                <w:sz w:val="28"/>
              </w:rPr>
              <w:t>2</w:t>
            </w:r>
            <w:r>
              <w:rPr>
                <w:rFonts w:ascii="仿宋_GB2312" w:hAnsi="仿宋_GB2312" w:cs="仿宋_GB2312" w:eastAsia="仿宋_GB2312"/>
                <w:sz w:val="28"/>
              </w:rPr>
              <w:t>8</w:t>
            </w:r>
            <w:r>
              <w:rPr>
                <w:rFonts w:ascii="仿宋_GB2312" w:hAnsi="仿宋_GB2312" w:cs="仿宋_GB2312" w:eastAsia="仿宋_GB2312"/>
                <w:sz w:val="28"/>
              </w:rPr>
              <w:t>地块西邻的经二十八路上，待文堪工作结束后，再将出土回填并清理地表。施工期间，每天洒水车喷洒降尘，人工清扫场地周边道路，作业完覆盖防尘网在施工地表面防止扬尘。</w:t>
            </w:r>
            <w:r>
              <w:rPr>
                <w:rFonts w:ascii="仿宋_GB2312" w:hAnsi="仿宋_GB2312" w:cs="仿宋_GB2312" w:eastAsia="仿宋_GB2312"/>
                <w:sz w:val="28"/>
              </w:rPr>
              <w:t>且施工方要具有垃圾消纳的处置能力。</w:t>
            </w:r>
          </w:p>
          <w:p>
            <w:pPr>
              <w:pStyle w:val="null3"/>
              <w:jc w:val="left"/>
            </w:pPr>
            <w:r>
              <w:rPr>
                <w:rFonts w:ascii="仿宋_GB2312" w:hAnsi="仿宋_GB2312" w:cs="仿宋_GB2312" w:eastAsia="仿宋_GB2312"/>
                <w:sz w:val="28"/>
                <w:b/>
              </w:rPr>
              <w:t>四、工程实施期限：</w:t>
            </w:r>
          </w:p>
          <w:p>
            <w:pPr>
              <w:pStyle w:val="null3"/>
              <w:ind w:left="210" w:firstLine="560"/>
              <w:jc w:val="left"/>
            </w:pPr>
            <w:r>
              <w:rPr>
                <w:rFonts w:ascii="仿宋_GB2312" w:hAnsi="仿宋_GB2312" w:cs="仿宋_GB2312" w:eastAsia="仿宋_GB2312"/>
                <w:sz w:val="28"/>
              </w:rPr>
              <w:t>（一）</w:t>
            </w:r>
            <w:r>
              <w:rPr>
                <w:rFonts w:ascii="仿宋_GB2312" w:hAnsi="仿宋_GB2312" w:cs="仿宋_GB2312" w:eastAsia="仿宋_GB2312"/>
                <w:sz w:val="28"/>
              </w:rPr>
              <w:t>在同签订之日起</w:t>
            </w:r>
            <w:r>
              <w:rPr>
                <w:rFonts w:ascii="仿宋_GB2312" w:hAnsi="仿宋_GB2312" w:cs="仿宋_GB2312" w:eastAsia="仿宋_GB2312"/>
                <w:sz w:val="28"/>
              </w:rPr>
              <w:t>3</w:t>
            </w:r>
            <w:r>
              <w:rPr>
                <w:rFonts w:ascii="仿宋_GB2312" w:hAnsi="仿宋_GB2312" w:cs="仿宋_GB2312" w:eastAsia="仿宋_GB2312"/>
                <w:sz w:val="28"/>
              </w:rPr>
              <w:t>天内进驻并制作工程计划进度表，并经采购人书面同意；</w:t>
            </w:r>
          </w:p>
          <w:p>
            <w:pPr>
              <w:pStyle w:val="null3"/>
              <w:ind w:left="210" w:firstLine="560"/>
              <w:jc w:val="left"/>
            </w:pPr>
            <w:r>
              <w:rPr>
                <w:rFonts w:ascii="仿宋_GB2312" w:hAnsi="仿宋_GB2312" w:cs="仿宋_GB2312" w:eastAsia="仿宋_GB2312"/>
                <w:sz w:val="28"/>
              </w:rPr>
              <w:t>（二）</w:t>
            </w:r>
            <w:r>
              <w:rPr>
                <w:rFonts w:ascii="仿宋_GB2312" w:hAnsi="仿宋_GB2312" w:cs="仿宋_GB2312" w:eastAsia="仿宋_GB2312"/>
                <w:sz w:val="28"/>
              </w:rPr>
              <w:t>承诺在</w:t>
            </w:r>
            <w:r>
              <w:rPr>
                <w:rFonts w:ascii="仿宋_GB2312" w:hAnsi="仿宋_GB2312" w:cs="仿宋_GB2312" w:eastAsia="仿宋_GB2312"/>
                <w:sz w:val="28"/>
              </w:rPr>
              <w:t>5</w:t>
            </w:r>
            <w:r>
              <w:rPr>
                <w:rFonts w:ascii="仿宋_GB2312" w:hAnsi="仿宋_GB2312" w:cs="仿宋_GB2312" w:eastAsia="仿宋_GB2312"/>
                <w:sz w:val="28"/>
              </w:rPr>
              <w:t>天内开始施工；</w:t>
            </w:r>
          </w:p>
          <w:p>
            <w:pPr>
              <w:pStyle w:val="null3"/>
              <w:ind w:left="210" w:firstLine="560"/>
              <w:jc w:val="left"/>
            </w:pPr>
            <w:r>
              <w:rPr>
                <w:rFonts w:ascii="仿宋_GB2312" w:hAnsi="仿宋_GB2312" w:cs="仿宋_GB2312" w:eastAsia="仿宋_GB2312"/>
                <w:sz w:val="28"/>
              </w:rPr>
              <w:t>（三）双方约定自施工之日起在</w:t>
            </w:r>
            <w:r>
              <w:rPr>
                <w:rFonts w:ascii="仿宋_GB2312" w:hAnsi="仿宋_GB2312" w:cs="仿宋_GB2312" w:eastAsia="仿宋_GB2312"/>
                <w:sz w:val="28"/>
              </w:rPr>
              <w:t>30</w:t>
            </w:r>
            <w:r>
              <w:rPr>
                <w:rFonts w:ascii="仿宋_GB2312" w:hAnsi="仿宋_GB2312" w:cs="仿宋_GB2312" w:eastAsia="仿宋_GB2312"/>
                <w:sz w:val="28"/>
              </w:rPr>
              <w:t>天完成约定的项目。遇阴雨天及不可抗力因素以及非中标人施工因素影响、工期相应顺延（顺延工期应由采购人、施工单位共同签字确认）。</w:t>
            </w:r>
          </w:p>
          <w:p>
            <w:pPr>
              <w:pStyle w:val="null3"/>
              <w:jc w:val="left"/>
            </w:pPr>
            <w:r>
              <w:rPr>
                <w:rFonts w:ascii="仿宋_GB2312" w:hAnsi="仿宋_GB2312" w:cs="仿宋_GB2312" w:eastAsia="仿宋_GB2312"/>
                <w:sz w:val="28"/>
                <w:b/>
              </w:rPr>
              <w:t>五、付款方式</w:t>
            </w:r>
          </w:p>
          <w:p>
            <w:pPr>
              <w:pStyle w:val="null3"/>
              <w:ind w:left="210"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）按照工程实施进度进行支付，工程完工且验收合格后，支付到合同金额的</w:t>
            </w:r>
            <w:r>
              <w:rPr>
                <w:rFonts w:ascii="仿宋_GB2312" w:hAnsi="仿宋_GB2312" w:cs="仿宋_GB2312" w:eastAsia="仿宋_GB2312"/>
                <w:sz w:val="28"/>
              </w:rPr>
              <w:t>85%</w:t>
            </w:r>
            <w:r>
              <w:rPr>
                <w:rFonts w:ascii="仿宋_GB2312" w:hAnsi="仿宋_GB2312" w:cs="仿宋_GB2312" w:eastAsia="仿宋_GB2312"/>
                <w:sz w:val="28"/>
              </w:rPr>
              <w:t>；</w:t>
            </w:r>
          </w:p>
          <w:p>
            <w:pPr>
              <w:pStyle w:val="null3"/>
              <w:ind w:left="210"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 xml:space="preserve">）待项目结算评审后，支付至结算金额的 </w:t>
            </w:r>
            <w:r>
              <w:rPr>
                <w:rFonts w:ascii="仿宋_GB2312" w:hAnsi="仿宋_GB2312" w:cs="仿宋_GB2312" w:eastAsia="仿宋_GB2312"/>
                <w:sz w:val="28"/>
              </w:rPr>
              <w:t>97%</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3</w:t>
            </w:r>
            <w:r>
              <w:rPr>
                <w:rFonts w:ascii="仿宋_GB2312" w:hAnsi="仿宋_GB2312" w:cs="仿宋_GB2312" w:eastAsia="仿宋_GB2312"/>
                <w:sz w:val="28"/>
              </w:rPr>
              <w:t>）剩余</w:t>
            </w:r>
            <w:r>
              <w:rPr>
                <w:rFonts w:ascii="仿宋_GB2312" w:hAnsi="仿宋_GB2312" w:cs="仿宋_GB2312" w:eastAsia="仿宋_GB2312"/>
                <w:sz w:val="28"/>
              </w:rPr>
              <w:t>3%</w:t>
            </w:r>
            <w:r>
              <w:rPr>
                <w:rFonts w:ascii="仿宋_GB2312" w:hAnsi="仿宋_GB2312" w:cs="仿宋_GB2312" w:eastAsia="仿宋_GB2312"/>
                <w:sz w:val="28"/>
              </w:rPr>
              <w:t>作为质保金，竣工验收一年后无息支付。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1.本项目不专门面向中小企业，项目所属行业类别： 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2.供应商需要在线提交所有通过电子化交易平台实施的政府采购项目的磋商响应文件，同时线下提交磋商响应文件纸质文件正本壹份、副本贰份，电子版本壹份（以U盘形式提供）。 3.磋商响应文件正、副本分别各自装订成册并密封，封袋封面标注项目名称、项目编号、供应商名称等。 4..线下纸质文件递交截止时间：同在线递交电子响应文件截止时间一致。 5.线下递交地点：陕西省西安市雁塔区唐延南路8号泰维智链中心二期南楼1602室。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特定资格证明文件.docx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磋商响应文件提交截止日一年内银行出具的资信证明，④供应商注册时间截至磋商响应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供应商需在项目电子化交易系统中按要求填写《承诺函》完成承诺并进行电子签章。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在有效期内，且具备有效的安全生产许可证（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 二级及以上注册建造师资质，在有效期内，且具备有效的安全生产考核合格证书（B证），并提供项目经理无其他在建工程承诺，供应商需在项目电子化交易系统中按要求上传相应证明文件并进行电子签章。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特定资格证明文件.docx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磋商响应文件中项目名称、项目编号、合同包号与本项目一致，无遗漏；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特定资格证明文件.docx 响应函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磋商响应内容与要求</w:t>
            </w:r>
          </w:p>
        </w:tc>
        <w:tc>
          <w:tcPr>
            <w:tcW w:type="dxa" w:w="3322"/>
          </w:tcPr>
          <w:p>
            <w:pPr>
              <w:pStyle w:val="null3"/>
            </w:pPr>
            <w:r>
              <w:rPr>
                <w:rFonts w:ascii="仿宋_GB2312" w:hAnsi="仿宋_GB2312" w:cs="仿宋_GB2312" w:eastAsia="仿宋_GB2312"/>
              </w:rPr>
              <w:t>磋商响应内容未出现漏项；数量与要求相符；</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中小企业声明函 残疾人福利性单位声明函 特定资格证明文件.docx 供应商应提交的相关资格证明材料 供应商承诺书.docx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内容包括但不限于①施工准备；②施工进度安排;③施工方法；④重点难点工程分析及解决措施； ⑤影响正常施工外在因素分析及对应预案等。 评审标准：（1）施工方案专门针对本项目编制，符合项目实际情况及实施要求，内容详尽且涵盖角度全面，合理性和可行性强，能够保障项目顺利实施的，得10分; （2）施工方案能够针对本项目编制，符合项目实际情况及实施要求，内容详尽且涵盖角度基本全面，有一定的合理性和可行性的，得8分; （3）施工方案基本能够针对本项目编制，基本符合项目实际情况及实施要求，内容较宽泛，涵盖角度不够全面，内容基本合理可行的，得6分; （4）具有方案内容但内容未贴合本项目，内容涵盖角度不够全面且实施有难度的，得4分; （5）具有方案内容但内容未针对本项目，内容空洞宽泛，基本不具有可实施性，得2分; （6）未提供方案内容不得分。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施工组织设计--施工总体方案.docx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内容包括但不限于①质量管理工作流程；②工程质量保障方案；③工程质量控制体系； ④材料和构配件的质量控制等；⑤施工检测及工序交验方案等。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内容包括但不限于①安全生产管 理制度；②配置安全组织机构；③安全隐患排查、整改制度；④应急救援机制等。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施工组织设计--安全生产技术组织措施.docx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内容包括但不限于①文明及环境保护管理制度； ②防尘降噪措施； ③节能减排措施； ④文明及环境保护施工监督检查机制等。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施工组织设计--文明施工及环境保护组织措施.docx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内容包括但不限于①项目管理机构图;②岗位安排及职责（配备施工员、安全员、资料员、材料员、质量员）；③管理制度；④相应的协调措施等。 评审标准：（1）项目部组成科学合理、人员表配置充足，有详细的人员配置清单，针对性强，能够很好的满足项目需求，得10分；（2）项目部组成基本合理、人员表配置基本齐全，具有人员配置清单，有一定的针对性，能够满足项目需求，得8分；（3）提供项目部组成情况，配置基本合理但组成不全面得6分；（4）项目部组成人员缺乏科学合理性，无人员配置清单，无法满足项目需求，得4分；（5）项目部组成内容简单笼统得2分； （6）未提供项目部组成不得分。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施工组织设计--施工组织和项目管理机构.docx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内容包括但不限于①施工机械配置计划； ②施工材料投入计划； ③施工机械的维护保养和材料的贮存； ④施工机械、材料的监督和检查等。 评审标准：（1）投入计划专门针对本项目编制，符合项目实际情况及实施要求，内容详尽且涵盖角度全面，合理性和可行性强，能够保障项目顺利实施的，得10分; （2）投入计划基本针对本项目编制，符合项目实际情况及实施要求，内容详尽且涵盖角度基本全面，有一定的合理性和可行性的，得8分; （3）投入计划能够针对本项目编制，基本符合项目实际情况及实施要求，内容较详细，涵盖角度较全面但略有不完善，基本合理可行的，得6分; （4）提供投入计划，但内容涵盖角度不够全面且实施具有一定难度，得4分; （5）投入计划内容简单笼统，实施难度大的，得2分; （6）未提供投入计划内容不得分。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施工组织设计--施工机械配置和材料投入计划.docx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内容包括但不限于①施工总平面布置；②进度安排计划； ③工期目标控制和保证措施； ④材料供应措施；⑤成品、半成品保护监管措施等。 评审标准：（1）网络图或进度表内容详尽、工期目标及措施安排合理且实施性强计5分；（2）网络图或进度表内容详尽、工期目标及措施安排合理且实施性较强计4分；（3）提供网络图或进度表内容、工期目标及措施安排基本合理实施性缺乏计3分；（4）提供网络图或进度表，工期目标及措施内容不够全面，实施性不强计2分；（5）提供网络图或进度表，工期目标及措施内容不合理，不具有实施性计1分。（6）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施工组织设计--施工部署与进度计划.docx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 类似项目业绩，每提供一个类似项目业绩计1分，满分5分（以施工合同为准，时间以合同内时间为准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详见附件：施工组织设计--施工总体方案.docx</w:t>
      </w:r>
    </w:p>
    <w:p>
      <w:pPr>
        <w:pStyle w:val="null3"/>
        <w:ind w:firstLine="960"/>
      </w:pPr>
      <w:r>
        <w:rPr>
          <w:rFonts w:ascii="仿宋_GB2312" w:hAnsi="仿宋_GB2312" w:cs="仿宋_GB2312" w:eastAsia="仿宋_GB2312"/>
        </w:rPr>
        <w:t>详见附件：施工组织设计--工程质量的技术组织措施.docx</w:t>
      </w:r>
    </w:p>
    <w:p>
      <w:pPr>
        <w:pStyle w:val="null3"/>
        <w:ind w:firstLine="960"/>
      </w:pPr>
      <w:r>
        <w:rPr>
          <w:rFonts w:ascii="仿宋_GB2312" w:hAnsi="仿宋_GB2312" w:cs="仿宋_GB2312" w:eastAsia="仿宋_GB2312"/>
        </w:rPr>
        <w:t>详见附件：施工组织设计--安全生产技术组织措施.docx</w:t>
      </w:r>
    </w:p>
    <w:p>
      <w:pPr>
        <w:pStyle w:val="null3"/>
        <w:ind w:firstLine="960"/>
      </w:pPr>
      <w:r>
        <w:rPr>
          <w:rFonts w:ascii="仿宋_GB2312" w:hAnsi="仿宋_GB2312" w:cs="仿宋_GB2312" w:eastAsia="仿宋_GB2312"/>
        </w:rPr>
        <w:t>详见附件：施工组织设计--文明施工及环境保护组织措施.docx</w:t>
      </w:r>
    </w:p>
    <w:p>
      <w:pPr>
        <w:pStyle w:val="null3"/>
        <w:ind w:firstLine="960"/>
      </w:pPr>
      <w:r>
        <w:rPr>
          <w:rFonts w:ascii="仿宋_GB2312" w:hAnsi="仿宋_GB2312" w:cs="仿宋_GB2312" w:eastAsia="仿宋_GB2312"/>
        </w:rPr>
        <w:t>详见附件：施工组织设计--施工组织和项目管理机构.docx</w:t>
      </w:r>
    </w:p>
    <w:p>
      <w:pPr>
        <w:pStyle w:val="null3"/>
        <w:ind w:firstLine="960"/>
      </w:pPr>
      <w:r>
        <w:rPr>
          <w:rFonts w:ascii="仿宋_GB2312" w:hAnsi="仿宋_GB2312" w:cs="仿宋_GB2312" w:eastAsia="仿宋_GB2312"/>
        </w:rPr>
        <w:t>详见附件：施工组织设计--施工机械配置和材料投入计划.docx</w:t>
      </w:r>
    </w:p>
    <w:p>
      <w:pPr>
        <w:pStyle w:val="null3"/>
        <w:ind w:firstLine="960"/>
      </w:pPr>
      <w:r>
        <w:rPr>
          <w:rFonts w:ascii="仿宋_GB2312" w:hAnsi="仿宋_GB2312" w:cs="仿宋_GB2312" w:eastAsia="仿宋_GB2312"/>
        </w:rPr>
        <w:t>详见附件：施工组织设计--施工部署与进度计划.docx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