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版本号：LZBE2025-058（XDZ2024-Z-N-2）20250117001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高新区婚姻登记处视觉空间提升工程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LZBE2025-058（XDZ2024-Z-N-2）</w:t>
      </w:r>
      <w:r>
        <w:br/>
      </w:r>
      <w:r>
        <w:br/>
      </w:r>
      <w:r>
        <w:br/>
      </w:r>
    </w:p>
    <w:p>
      <w:pPr>
        <w:pStyle w:val="null3"/>
        <w:jc w:val="center"/>
        <w:outlineLvl w:val="2"/>
      </w:pPr>
      <w:r>
        <w:rPr>
          <w:rFonts w:ascii="仿宋_GB2312" w:hAnsi="仿宋_GB2312" w:cs="仿宋_GB2312" w:eastAsia="仿宋_GB2312"/>
          <w:sz w:val="28"/>
          <w:b/>
        </w:rPr>
        <w:t>西安高新技术产业开发区社会事业服务局</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2025年01月17日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西安高新技术产业开发区社会事业服务局</w:t>
      </w:r>
      <w:r>
        <w:rPr>
          <w:rFonts w:ascii="仿宋_GB2312" w:hAnsi="仿宋_GB2312" w:cs="仿宋_GB2312" w:eastAsia="仿宋_GB2312"/>
        </w:rPr>
        <w:t>委托，拟对</w:t>
      </w:r>
      <w:r>
        <w:rPr>
          <w:rFonts w:ascii="仿宋_GB2312" w:hAnsi="仿宋_GB2312" w:cs="仿宋_GB2312" w:eastAsia="仿宋_GB2312"/>
        </w:rPr>
        <w:t>高新区婚姻登记处视觉空间提升工程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LZBE2025-058（XDZ2024-Z-N-2）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高新区婚姻登记处视觉空间提升工程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高新区婚姻登记处视觉空间提升工程，具体详见第三章。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采购包1（高新区婚姻登记处视觉空间提升工程）：属于专门面向中小企业采购。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1、具有独立承担民事责任能力的法人、其他组织或自然人：法人或者其他组织提供营业执照等证明文件，自然人提供身份证件，供应商需在项目电子化交易系统中按要求上传相应证明文件并进行电子签章</w:t>
      </w:r>
    </w:p>
    <w:p>
      <w:pPr>
        <w:pStyle w:val="null3"/>
      </w:pPr>
      <w:r>
        <w:rPr>
          <w:rFonts w:ascii="仿宋_GB2312" w:hAnsi="仿宋_GB2312" w:cs="仿宋_GB2312" w:eastAsia="仿宋_GB2312"/>
        </w:rPr>
        <w:t>2、税收缴纳凭证及社会保险缴纳的凭证：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p>
      <w:pPr>
        <w:pStyle w:val="null3"/>
      </w:pPr>
      <w:r>
        <w:rPr>
          <w:rFonts w:ascii="仿宋_GB2312" w:hAnsi="仿宋_GB2312" w:cs="仿宋_GB2312" w:eastAsia="仿宋_GB2312"/>
        </w:rPr>
        <w:t>3、财务状况报告：供应商提供2023年度经审计的财务审计报告（事业法人可提供部门决算报告）；或提供供应商基本账户出具的资信证明；或提供政府采购专业担保机构出具的投标担保函，供应商需在项目电子化交易系统中按要求上传相应证明文件</w:t>
      </w:r>
    </w:p>
    <w:p>
      <w:pPr>
        <w:pStyle w:val="null3"/>
      </w:pPr>
      <w:r>
        <w:rPr>
          <w:rFonts w:ascii="仿宋_GB2312" w:hAnsi="仿宋_GB2312" w:cs="仿宋_GB2312" w:eastAsia="仿宋_GB2312"/>
        </w:rPr>
        <w:t>4、参加政府采购活动前3年内在经营活动中没有重大违法记录的书面声明； 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6、供应商应具有建筑装修装饰工程专业承包二级及以上资质及安全生产许可证：供应商提供建筑装修装饰工程专业承包二级及以上资质及安全生产许可证，供应商需在项目电子化交易系统中按要求上传相应证明文件并进行电子签章。</w:t>
      </w:r>
    </w:p>
    <w:p>
      <w:pPr>
        <w:pStyle w:val="null3"/>
      </w:pPr>
      <w:r>
        <w:rPr>
          <w:rFonts w:ascii="仿宋_GB2312" w:hAnsi="仿宋_GB2312" w:cs="仿宋_GB2312" w:eastAsia="仿宋_GB2312"/>
        </w:rPr>
        <w:t>7、供应商拟派项目负责人具有本企业注册的建筑工程专业二级及以上注册建造师证书及安全考核合格证,且无在建：供应商提供拟派项目负责人的建筑工程专业二级及以上注册建造师证书、安全考核合格证及无在建承诺书（格式自拟），供应商需在项目电子化交易系统中按要求上传相应证明文件并进行电子签章。</w:t>
      </w:r>
    </w:p>
    <w:p>
      <w:pPr>
        <w:pStyle w:val="null3"/>
      </w:pPr>
      <w:r>
        <w:rPr>
          <w:rFonts w:ascii="仿宋_GB2312" w:hAnsi="仿宋_GB2312" w:cs="仿宋_GB2312" w:eastAsia="仿宋_GB2312"/>
        </w:rPr>
        <w:t>8、信用状况：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西安高新技术产业开发区社会事业服务局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高新区锦业路1号都市之门A座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81150321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陕西省西安市市本级陕西省西安市高新区太白南路181号A座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029-88228899-653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采购包1：685,584.41元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有关规定收取。注：1、成交单位在领取成交通知书之前，须向代理机构支付招标代理服务费。2、、招标代理服务费以转账或现金形式缴纳至以下账户： 开户名称：龙寰项目管理咨询有限公司，开户银行：平安银行西安高新路支行，账 号：30201278016110</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西安高新技术产业开发区社会事业服务局</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西安高新技术产业开发区社会事业服务局</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西安高新技术产业开发区社会事业服务局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以最终签订合同为准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联系人：王浩</w:t>
      </w:r>
    </w:p>
    <w:p>
      <w:pPr>
        <w:pStyle w:val="null3"/>
      </w:pPr>
      <w:r>
        <w:rPr>
          <w:rFonts w:ascii="仿宋_GB2312" w:hAnsi="仿宋_GB2312" w:cs="仿宋_GB2312" w:eastAsia="仿宋_GB2312"/>
        </w:rPr>
        <w:t>联系电话：029-88228899-653</w:t>
      </w:r>
    </w:p>
    <w:p>
      <w:pPr>
        <w:pStyle w:val="null3"/>
      </w:pPr>
      <w:r>
        <w:rPr>
          <w:rFonts w:ascii="仿宋_GB2312" w:hAnsi="仿宋_GB2312" w:cs="仿宋_GB2312" w:eastAsia="仿宋_GB2312"/>
        </w:rPr>
        <w:t>地址：陕西省西安市高新区太白南路181号A座A区501室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685,584.41</w:t>
      </w:r>
    </w:p>
    <w:p>
      <w:pPr>
        <w:pStyle w:val="null3"/>
      </w:pPr>
      <w:r>
        <w:rPr>
          <w:rFonts w:ascii="仿宋_GB2312" w:hAnsi="仿宋_GB2312" w:cs="仿宋_GB2312" w:eastAsia="仿宋_GB2312"/>
        </w:rPr>
        <w:t>采购包最高限价（元）: 685,584.41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高新区婚姻登记处视觉空间提升工程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685,584.41</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标的名称：高新区婚姻登记处视觉空间提升工程</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ind w:firstLine="420"/>
              <w:jc w:val="left"/>
            </w:pPr>
            <w:r>
              <w:rPr>
                <w:rFonts w:ascii="仿宋_GB2312" w:hAnsi="仿宋_GB2312" w:cs="仿宋_GB2312" w:eastAsia="仿宋_GB2312"/>
                <w:sz w:val="21"/>
              </w:rPr>
              <w:t>一、</w:t>
            </w:r>
            <w:r>
              <w:rPr>
                <w:rFonts w:ascii="仿宋_GB2312" w:hAnsi="仿宋_GB2312" w:cs="仿宋_GB2312" w:eastAsia="仿宋_GB2312"/>
                <w:sz w:val="21"/>
              </w:rPr>
              <w:t>工期</w:t>
            </w:r>
            <w:r>
              <w:rPr>
                <w:rFonts w:ascii="仿宋_GB2312" w:hAnsi="仿宋_GB2312" w:cs="仿宋_GB2312" w:eastAsia="仿宋_GB2312"/>
                <w:sz w:val="21"/>
              </w:rPr>
              <w:t>：</w:t>
            </w:r>
            <w:r>
              <w:rPr>
                <w:rFonts w:ascii="仿宋_GB2312" w:hAnsi="仿宋_GB2312" w:cs="仿宋_GB2312" w:eastAsia="仿宋_GB2312"/>
                <w:sz w:val="21"/>
              </w:rPr>
              <w:t>合同签订之日起</w:t>
            </w:r>
            <w:r>
              <w:rPr>
                <w:rFonts w:ascii="仿宋_GB2312" w:hAnsi="仿宋_GB2312" w:cs="仿宋_GB2312" w:eastAsia="仿宋_GB2312"/>
                <w:sz w:val="21"/>
              </w:rPr>
              <w:t>30天内</w:t>
            </w:r>
          </w:p>
          <w:p>
            <w:pPr>
              <w:pStyle w:val="null3"/>
              <w:ind w:firstLine="420"/>
              <w:jc w:val="left"/>
            </w:pPr>
            <w:r>
              <w:rPr>
                <w:rFonts w:ascii="仿宋_GB2312" w:hAnsi="仿宋_GB2312" w:cs="仿宋_GB2312" w:eastAsia="仿宋_GB2312"/>
                <w:sz w:val="21"/>
              </w:rPr>
              <w:t>二、质保期：</w:t>
            </w:r>
            <w:r>
              <w:rPr>
                <w:rFonts w:ascii="仿宋_GB2312" w:hAnsi="仿宋_GB2312" w:cs="仿宋_GB2312" w:eastAsia="仿宋_GB2312"/>
                <w:sz w:val="21"/>
              </w:rPr>
              <w:t>2年</w:t>
            </w:r>
          </w:p>
          <w:p>
            <w:pPr>
              <w:pStyle w:val="null3"/>
              <w:ind w:firstLine="420"/>
              <w:jc w:val="left"/>
            </w:pPr>
            <w:r>
              <w:rPr>
                <w:rFonts w:ascii="仿宋_GB2312" w:hAnsi="仿宋_GB2312" w:cs="仿宋_GB2312" w:eastAsia="仿宋_GB2312"/>
                <w:sz w:val="21"/>
              </w:rPr>
              <w:t>三、质量要求：合格，符合国家及行业现行标准</w:t>
            </w:r>
          </w:p>
          <w:p>
            <w:pPr>
              <w:pStyle w:val="null3"/>
              <w:ind w:firstLine="420"/>
              <w:jc w:val="left"/>
            </w:pPr>
            <w:r>
              <w:rPr>
                <w:rFonts w:ascii="仿宋_GB2312" w:hAnsi="仿宋_GB2312" w:cs="仿宋_GB2312" w:eastAsia="仿宋_GB2312"/>
                <w:sz w:val="21"/>
              </w:rPr>
              <w:t>四、工程量清单（详见附件）</w:t>
            </w:r>
          </w:p>
          <w:p>
            <w:pPr>
              <w:pStyle w:val="null3"/>
              <w:ind w:firstLine="420"/>
              <w:jc w:val="left"/>
            </w:pPr>
            <w:r>
              <w:rPr>
                <w:rFonts w:ascii="仿宋_GB2312" w:hAnsi="仿宋_GB2312" w:cs="仿宋_GB2312" w:eastAsia="仿宋_GB2312"/>
                <w:sz w:val="21"/>
              </w:rPr>
              <w:t>五、工程量清单编制说明：</w:t>
            </w:r>
          </w:p>
          <w:p>
            <w:pPr>
              <w:pStyle w:val="null3"/>
              <w:ind w:firstLine="420"/>
              <w:jc w:val="left"/>
            </w:pPr>
            <w:r>
              <w:rPr>
                <w:rFonts w:ascii="仿宋_GB2312" w:hAnsi="仿宋_GB2312" w:cs="仿宋_GB2312" w:eastAsia="仿宋_GB2312"/>
                <w:sz w:val="21"/>
              </w:rPr>
              <w:t>（一）</w:t>
            </w:r>
            <w:r>
              <w:rPr>
                <w:rFonts w:ascii="仿宋_GB2312" w:hAnsi="仿宋_GB2312" w:cs="仿宋_GB2312" w:eastAsia="仿宋_GB2312"/>
                <w:sz w:val="21"/>
              </w:rPr>
              <w:t>、工程概况：</w:t>
            </w:r>
          </w:p>
          <w:p>
            <w:pPr>
              <w:pStyle w:val="null3"/>
              <w:ind w:firstLine="420"/>
              <w:jc w:val="left"/>
            </w:pPr>
            <w:r>
              <w:rPr>
                <w:rFonts w:ascii="仿宋_GB2312" w:hAnsi="仿宋_GB2312" w:cs="仿宋_GB2312" w:eastAsia="仿宋_GB2312"/>
                <w:sz w:val="21"/>
              </w:rPr>
              <w:t>本工程为高新区婚姻登记处视觉空间提升工程。项目主要工作内容：</w:t>
            </w:r>
            <w:r>
              <w:rPr>
                <w:rFonts w:ascii="仿宋_GB2312" w:hAnsi="仿宋_GB2312" w:cs="仿宋_GB2312" w:eastAsia="仿宋_GB2312"/>
                <w:sz w:val="21"/>
              </w:rPr>
              <w:t>1、原办公室资料、资料柜、家具及空调、新风系统拆除、搬运；2、新办公室装修改造及广告文化装饰；3、新办公室电气、弱电按照工程；4、空调、通风系统安装等。</w:t>
            </w:r>
          </w:p>
          <w:p>
            <w:pPr>
              <w:pStyle w:val="null3"/>
              <w:ind w:firstLine="420"/>
              <w:jc w:val="left"/>
            </w:pPr>
            <w:r>
              <w:rPr>
                <w:rFonts w:ascii="仿宋_GB2312" w:hAnsi="仿宋_GB2312" w:cs="仿宋_GB2312" w:eastAsia="仿宋_GB2312"/>
                <w:sz w:val="21"/>
              </w:rPr>
              <w:t>（二）</w:t>
            </w:r>
            <w:r>
              <w:rPr>
                <w:rFonts w:ascii="仿宋_GB2312" w:hAnsi="仿宋_GB2312" w:cs="仿宋_GB2312" w:eastAsia="仿宋_GB2312"/>
                <w:sz w:val="21"/>
              </w:rPr>
              <w:t>、编制依据：</w:t>
            </w:r>
          </w:p>
          <w:p>
            <w:pPr>
              <w:pStyle w:val="null3"/>
              <w:ind w:firstLine="420"/>
              <w:jc w:val="left"/>
            </w:pPr>
            <w:r>
              <w:rPr>
                <w:rFonts w:ascii="仿宋_GB2312" w:hAnsi="仿宋_GB2312" w:cs="仿宋_GB2312" w:eastAsia="仿宋_GB2312"/>
                <w:sz w:val="21"/>
              </w:rPr>
              <w:t>1、全套施工图纸；</w:t>
            </w:r>
          </w:p>
          <w:p>
            <w:pPr>
              <w:pStyle w:val="null3"/>
              <w:ind w:firstLine="420"/>
              <w:jc w:val="left"/>
            </w:pPr>
            <w:r>
              <w:rPr>
                <w:rFonts w:ascii="仿宋_GB2312" w:hAnsi="仿宋_GB2312" w:cs="仿宋_GB2312" w:eastAsia="仿宋_GB2312"/>
                <w:sz w:val="21"/>
              </w:rPr>
              <w:t>2、《陕西省建设工程工程量清单计价规则》（2009）、参《陕西省建筑、装饰工程消耗量定额》（2004版）、《陕西省安装工程消耗量定额》（2004版）、《陕西省建设工程消耗量定额勘误及补充定额》（2009版）、《陕西省建筑、装饰工程价目表》2009、《陕西省安装工程价目表》2009、《陕西省建设工程工程量清单计价费率》（2009）。</w:t>
            </w:r>
          </w:p>
          <w:p>
            <w:pPr>
              <w:pStyle w:val="null3"/>
              <w:ind w:firstLine="420"/>
              <w:jc w:val="left"/>
            </w:pPr>
            <w:r>
              <w:rPr>
                <w:rFonts w:ascii="仿宋_GB2312" w:hAnsi="仿宋_GB2312" w:cs="仿宋_GB2312" w:eastAsia="仿宋_GB2312"/>
                <w:sz w:val="21"/>
              </w:rPr>
              <w:t>3、材料价格按照市场价计取。</w:t>
            </w:r>
          </w:p>
          <w:p>
            <w:pPr>
              <w:pStyle w:val="null3"/>
              <w:ind w:firstLine="420"/>
              <w:jc w:val="left"/>
            </w:pPr>
            <w:r>
              <w:rPr>
                <w:rFonts w:ascii="仿宋_GB2312" w:hAnsi="仿宋_GB2312" w:cs="仿宋_GB2312" w:eastAsia="仿宋_GB2312"/>
                <w:sz w:val="21"/>
              </w:rPr>
              <w:t>4、拆除及搬运情况说明。</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符合国家及行业现行规范标准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符合国家及行业现行规范标准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采购标的对应的中小企业划分标准所属行业为建筑业。建筑业的划型标准为：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2、本项目专门面向中小企业采购（残疾人福利性单位、监狱企业视同小型、微型企业）。 3、为顺利推进政府采购电子化交易平台试点应用工作，供应商需要在线提交所有通过电子化交易平台实施的政府采购项目的投标文件，同时，线下提交纸质投标文件正本一份，未按照要求提供纸质版文件的按照无效响应处理。 4、需要落实的政府采购政策：（1）《国务院办公厅关于建立政府强制采购节能产品制度的通知》（国办发〔2007〕51号）；（2）《财政部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 5、付款方式：项目竣工验收合格结算审定后，按结算审定金额一次性支付。 6、根据《西安高新区财政金融局关于开展政府采购供应商基本资格条件承诺制试点工作的通知（西高财函〔2024〕111号）》，简化对供应商资格条件等的形式审查，供应商只需以书面形式提供规定格式的《基本资格条件承诺函》(详见响应文件格式七、相关证明资料),即可替代以下材料：1.财务状况报告(表)或其基本开户银行出具的资信证明材料；2.依法缴纳税收的证明材料；3.缴纳社会保障金的证明材料；4.具有履行合同所必需的设备和专业技术能力的证明材料；5.参加政府采购活动前三年内，在经营活动中没有重大违法记录的证明材料；6.未被列入失信被执行人、重大税收违法案件当事人名单及政府采购严重违法失信行为记录名单的证明材料。简化后，供应商应对承诺内容的真实性、合法性、有效性负责。经调查核实为虚假承诺的，视同为“提供虚假材料谋取中标、成交”的违法行为，依照《中华人民共和国政府采购法》等法律法规追究相应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相关资格证明资料.docx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相关资格证明资料.docx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相关资格证明资料.docx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法人或者其他组织提供营业执照等证明文件，自然人提供身份证件，供应商需在项目电子化交易系统中按要求上传相应证明文件并进行电子签章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2023年度经审计的财务审计报告（事业法人可提供部门决算报告）；或提供供应商基本账户出具的资信证明；或提供政府采购专业担保机构出具的投标担保函，供应商需在项目电子化交易系统中按要求上传相应证明文件</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参加政府采购活动前3年内在经营活动中没有重大违法记录的书面声明； 其中：重大违法记录是指供应商因违法经营受到刑事处罚或者责令停产停业、吊销许可证或者执照、较大数额罚款等行政处罚</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供应商应具有建筑装修装饰工程专业承包二级及以上资质及安全生产许可证</w:t>
            </w:r>
          </w:p>
        </w:tc>
        <w:tc>
          <w:tcPr>
            <w:tcW w:type="dxa" w:w="3322"/>
          </w:tcPr>
          <w:p>
            <w:pPr>
              <w:pStyle w:val="null3"/>
            </w:pPr>
            <w:r>
              <w:rPr>
                <w:rFonts w:ascii="仿宋_GB2312" w:hAnsi="仿宋_GB2312" w:cs="仿宋_GB2312" w:eastAsia="仿宋_GB2312"/>
              </w:rPr>
              <w:t>供应商提供建筑装修装饰工程专业承包二级及以上资质及安全生产许可证，供应商需在项目电子化交易系统中按要求上传相应证明文件并进行电子签章。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供应商拟派项目负责人具有本企业注册的建筑工程专业二级及以上注册建造师证书及安全考核合格证,且无在建</w:t>
            </w:r>
          </w:p>
        </w:tc>
        <w:tc>
          <w:tcPr>
            <w:tcW w:type="dxa" w:w="3322"/>
          </w:tcPr>
          <w:p>
            <w:pPr>
              <w:pStyle w:val="null3"/>
            </w:pPr>
            <w:r>
              <w:rPr>
                <w:rFonts w:ascii="仿宋_GB2312" w:hAnsi="仿宋_GB2312" w:cs="仿宋_GB2312" w:eastAsia="仿宋_GB2312"/>
              </w:rPr>
              <w:t>供应商提供拟派项目负责人的建筑工程专业二级及以上注册建造师证书、安全考核合格证及无在建承诺书（格式自拟），供应商需在项目电子化交易系统中按要求上传相应证明文件并进行电子签章。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信用状况</w:t>
            </w:r>
          </w:p>
        </w:tc>
        <w:tc>
          <w:tcPr>
            <w:tcW w:type="dxa" w:w="3322"/>
          </w:tcPr>
          <w:p>
            <w:pPr>
              <w:pStyle w:val="null3"/>
            </w:pPr>
            <w:r>
              <w:rPr>
                <w:rFonts w:ascii="仿宋_GB2312" w:hAnsi="仿宋_GB2312" w:cs="仿宋_GB2312" w:eastAsia="仿宋_GB2312"/>
              </w:rPr>
              <w:t>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tc>
        <w:tc>
          <w:tcPr>
            <w:tcW w:type="dxa" w:w="1661"/>
          </w:tcPr>
          <w:p>
            <w:pPr>
              <w:pStyle w:val="null3"/>
            </w:pPr>
            <w:r>
              <w:rPr>
                <w:rFonts w:ascii="仿宋_GB2312" w:hAnsi="仿宋_GB2312" w:cs="仿宋_GB2312" w:eastAsia="仿宋_GB2312"/>
              </w:rPr>
              <w:t>相关资格证明资料.docx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商务和技术响应.docx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符合文件要求</w:t>
            </w:r>
          </w:p>
        </w:tc>
        <w:tc>
          <w:tcPr>
            <w:tcW w:type="dxa" w:w="1661"/>
          </w:tcPr>
          <w:p>
            <w:pPr>
              <w:pStyle w:val="null3"/>
            </w:pPr>
            <w:r>
              <w:rPr>
                <w:rFonts w:ascii="仿宋_GB2312" w:hAnsi="仿宋_GB2312" w:cs="仿宋_GB2312" w:eastAsia="仿宋_GB2312"/>
              </w:rPr>
              <w:t>商务和技术响应.docx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符合文件要求</w:t>
            </w:r>
          </w:p>
        </w:tc>
        <w:tc>
          <w:tcPr>
            <w:tcW w:type="dxa" w:w="1661"/>
          </w:tcPr>
          <w:p>
            <w:pPr>
              <w:pStyle w:val="null3"/>
            </w:pPr>
            <w:r>
              <w:rPr>
                <w:rFonts w:ascii="仿宋_GB2312" w:hAnsi="仿宋_GB2312" w:cs="仿宋_GB2312" w:eastAsia="仿宋_GB2312"/>
              </w:rPr>
              <w:t>商务和技术响应.docx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质量要求</w:t>
            </w:r>
          </w:p>
        </w:tc>
        <w:tc>
          <w:tcPr>
            <w:tcW w:type="dxa" w:w="3322"/>
          </w:tcPr>
          <w:p>
            <w:pPr>
              <w:pStyle w:val="null3"/>
            </w:pPr>
            <w:r>
              <w:rPr>
                <w:rFonts w:ascii="仿宋_GB2312" w:hAnsi="仿宋_GB2312" w:cs="仿宋_GB2312" w:eastAsia="仿宋_GB2312"/>
              </w:rPr>
              <w:t>符合文件要求</w:t>
            </w:r>
          </w:p>
        </w:tc>
        <w:tc>
          <w:tcPr>
            <w:tcW w:type="dxa" w:w="1661"/>
          </w:tcPr>
          <w:p>
            <w:pPr>
              <w:pStyle w:val="null3"/>
            </w:pPr>
            <w:r>
              <w:rPr>
                <w:rFonts w:ascii="仿宋_GB2312" w:hAnsi="仿宋_GB2312" w:cs="仿宋_GB2312" w:eastAsia="仿宋_GB2312"/>
              </w:rPr>
              <w:t>商务和技术响应.docx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磋商总报价</w:t>
            </w:r>
          </w:p>
        </w:tc>
        <w:tc>
          <w:tcPr>
            <w:tcW w:type="dxa" w:w="3322"/>
          </w:tcPr>
          <w:p>
            <w:pPr>
              <w:pStyle w:val="null3"/>
            </w:pPr>
            <w:r>
              <w:rPr>
                <w:rFonts w:ascii="仿宋_GB2312" w:hAnsi="仿宋_GB2312" w:cs="仿宋_GB2312" w:eastAsia="仿宋_GB2312"/>
              </w:rPr>
              <w:t>报价唯一，且未超过采购预算。</w:t>
            </w:r>
          </w:p>
        </w:tc>
        <w:tc>
          <w:tcPr>
            <w:tcW w:type="dxa" w:w="1661"/>
          </w:tcPr>
          <w:p>
            <w:pPr>
              <w:pStyle w:val="null3"/>
            </w:pPr>
            <w:r>
              <w:rPr>
                <w:rFonts w:ascii="仿宋_GB2312" w:hAnsi="仿宋_GB2312" w:cs="仿宋_GB2312" w:eastAsia="仿宋_GB2312"/>
              </w:rPr>
              <w:t>商务和技术响应.docx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响应文件封面 相关资格证明资料.docx 商务和技术响应.docx 授权委托书.docx 报价函 标的清单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响应文件未出现竞争性磋商文件、法律法规规定的无效响应情形。</w:t>
            </w:r>
          </w:p>
        </w:tc>
        <w:tc>
          <w:tcPr>
            <w:tcW w:type="dxa" w:w="1661"/>
          </w:tcPr>
          <w:p>
            <w:pPr>
              <w:pStyle w:val="null3"/>
            </w:pPr>
            <w:r>
              <w:rPr>
                <w:rFonts w:ascii="仿宋_GB2312" w:hAnsi="仿宋_GB2312" w:cs="仿宋_GB2312" w:eastAsia="仿宋_GB2312"/>
              </w:rPr>
              <w:t>响应文件封面 相关资格证明资料.docx 商务和技术响应.docx 授权委托书.docx 报价函 标的清单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针对供应商提供的施工方案进行评审，评审内容包含①总体施工组织方案②进度计划和工期目标③文明施工的技术组织措施④环境保护措施⑤施工部署。 二、评审标准 1、完整性：方案须全面，对评审内容中的各项要求有详细 描述及说明； 2、可实施性：切合本项目实际情况，实施步骤清晰、合理； 3、针对性：方案能够紧扣项目实际情况， 内容科学合理。 三、赋分标准（满分30分） ①总体施工组织方案：每完全满足一项评审标准得2分，满分6分 ②进度计划和工期目标：每完全满足一项评审标准得2分，满分6分 ③文明施工的技术组织措施:每完全满足一项评审标准得2分，满分6分 ④环境保护措施：每完全满足一项评审标准得2分，满分6分 ⑤施工部署：每完全满足一项评审标准得2分，满分6分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商务和技术响应.docx</w:t>
            </w:r>
          </w:p>
        </w:tc>
      </w:tr>
      <w:tr>
        <w:tc>
          <w:tcPr>
            <w:tcW w:type="dxa" w:w="831"/>
            <w:vMerge/>
          </w:tcPr>
          <w:p/>
        </w:tc>
        <w:tc>
          <w:tcPr>
            <w:tcW w:type="dxa" w:w="1661"/>
          </w:tcPr>
          <w:p>
            <w:pPr>
              <w:pStyle w:val="null3"/>
            </w:pPr>
            <w:r>
              <w:rPr>
                <w:rFonts w:ascii="仿宋_GB2312" w:hAnsi="仿宋_GB2312" w:cs="仿宋_GB2312" w:eastAsia="仿宋_GB2312"/>
              </w:rPr>
              <w:t>项目部人员</w:t>
            </w:r>
          </w:p>
        </w:tc>
        <w:tc>
          <w:tcPr>
            <w:tcW w:type="dxa" w:w="2492"/>
          </w:tcPr>
          <w:p>
            <w:pPr>
              <w:pStyle w:val="null3"/>
            </w:pPr>
            <w:r>
              <w:rPr>
                <w:rFonts w:ascii="仿宋_GB2312" w:hAnsi="仿宋_GB2312" w:cs="仿宋_GB2312" w:eastAsia="仿宋_GB2312"/>
              </w:rPr>
              <w:t>一、评审内容 针对供应商拟投入本项目日常维修人员进行评审，内容包含①拟投入项目经理和项目部人员数量、专业、工作经验②岗位分工及职责③人员管理制度。 二、评审标准 1、完整性：方案须全面，对评审内容中的各项要求有详细 描述及说明； 2、可实施性：切合本项目实际情况，实施步骤清晰、合理； 3、针对性：方案能够紧扣项目实际情况， 内容科学合理。 三、赋分标准（满分18分） ①项目经理和项目部：每完全满足一项评审标准得2分，满分6分 ②岗位分工及职责：每完全满足一项评审标准得 2分，满分6分 ③人员管理制度：每完全满足一项评审标 准得 2分，满分6分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商务和技术响应.docx</w:t>
            </w:r>
          </w:p>
        </w:tc>
      </w:tr>
      <w:tr>
        <w:tc>
          <w:tcPr>
            <w:tcW w:type="dxa" w:w="831"/>
            <w:vMerge/>
          </w:tcPr>
          <w:p/>
        </w:tc>
        <w:tc>
          <w:tcPr>
            <w:tcW w:type="dxa" w:w="1661"/>
          </w:tcPr>
          <w:p>
            <w:pPr>
              <w:pStyle w:val="null3"/>
            </w:pPr>
            <w:r>
              <w:rPr>
                <w:rFonts w:ascii="仿宋_GB2312" w:hAnsi="仿宋_GB2312" w:cs="仿宋_GB2312" w:eastAsia="仿宋_GB2312"/>
              </w:rPr>
              <w:t>拟投入本项目设备、机具</w:t>
            </w:r>
          </w:p>
        </w:tc>
        <w:tc>
          <w:tcPr>
            <w:tcW w:type="dxa" w:w="2492"/>
          </w:tcPr>
          <w:p>
            <w:pPr>
              <w:pStyle w:val="null3"/>
            </w:pPr>
            <w:r>
              <w:rPr>
                <w:rFonts w:ascii="仿宋_GB2312" w:hAnsi="仿宋_GB2312" w:cs="仿宋_GB2312" w:eastAsia="仿宋_GB2312"/>
              </w:rPr>
              <w:t>一、评审内容 针对供应商拟投入设备、机具进行评审，内容包含①数量、种类②使用的安全性、先进性。 二、评审标准 1、完整性：方案须全面，对评审内容中的各项要求有详细 描述及说明； 2、可实施性：切合本项目实际情况，实施步骤清晰、合理； 3、针对性：方案能够紧扣项目实际情况， 内容科学合理。 三、赋分标准（满分6分） ①数量、种类：每完全满足一项评审标准得1分，满分3分 ②使用的安全性、先进性：每完全满足一项评审标准得1分，满分3分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商务和技术响应.docx</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一、评审内容 针对日常维修提出保障措施，内容包含①工期保障措施②确保工程质量的技术组织措施。 二、评审标准 1、完整性：方案须全面，对评审内容中的各项要求有详细 描述及说明； 2、可实施性：切合本项目实际情况，实施步骤清晰、合理； 3、针对性：方案能够紧扣项目实际情况， 内容科学合理。 三、赋分标准（满分12分） ①工期保障措施：每完全满足一项评审标准得2分，满分6分 ②确保工程质量的技术组织措施：每完全满足一项评审标准得2分，满分6分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根据供应商提供的自2022年01月1日起类似项目业绩，每提供1份业绩得1分，最高得4分。以提供的合同为准，时间以合同签订时间为准。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商务和技术响应.docx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各有效供应商的评审价中，取最终报价最低者作为基准价，各有效供应商的价格评分统一按照下列公式计算： 价格评分＝（基准价÷评审价）×价格分分值。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商务和技术响应.docx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详见附件：相关资格证明资料.docx</w:t>
      </w:r>
    </w:p>
    <w:p>
      <w:pPr>
        <w:pStyle w:val="null3"/>
        <w:ind w:firstLine="960"/>
      </w:pPr>
      <w:r>
        <w:rPr>
          <w:rFonts w:ascii="仿宋_GB2312" w:hAnsi="仿宋_GB2312" w:cs="仿宋_GB2312" w:eastAsia="仿宋_GB2312"/>
        </w:rPr>
        <w:t>详见附件：商务和技术响应.docx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