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4AF25D">
      <w:pPr>
        <w:spacing w:line="56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项目编号：       </w:t>
      </w:r>
    </w:p>
    <w:p w14:paraId="3EBFB199">
      <w:pPr>
        <w:spacing w:line="560" w:lineRule="exact"/>
        <w:rPr>
          <w:rFonts w:hint="eastAsia" w:ascii="仿宋" w:hAnsi="仿宋" w:eastAsia="仿宋" w:cs="仿宋"/>
          <w:color w:val="auto"/>
          <w:sz w:val="28"/>
          <w:szCs w:val="28"/>
          <w:highlight w:val="none"/>
        </w:rPr>
      </w:pPr>
    </w:p>
    <w:p w14:paraId="264E7794">
      <w:pPr>
        <w:spacing w:line="480" w:lineRule="auto"/>
        <w:jc w:val="center"/>
        <w:rPr>
          <w:rFonts w:hint="eastAsia" w:ascii="仿宋" w:hAnsi="仿宋" w:eastAsia="仿宋" w:cs="仿宋"/>
          <w:color w:val="auto"/>
          <w:sz w:val="48"/>
          <w:szCs w:val="48"/>
          <w:highlight w:val="none"/>
          <w:lang w:eastAsia="zh-CN"/>
        </w:rPr>
      </w:pPr>
    </w:p>
    <w:p w14:paraId="79E53A80">
      <w:pPr>
        <w:spacing w:line="480" w:lineRule="auto"/>
        <w:jc w:val="center"/>
        <w:rPr>
          <w:rFonts w:hint="eastAsia" w:ascii="仿宋" w:hAnsi="仿宋" w:eastAsia="仿宋" w:cs="仿宋"/>
          <w:b/>
          <w:bCs/>
          <w:color w:val="auto"/>
          <w:sz w:val="48"/>
          <w:szCs w:val="48"/>
          <w:highlight w:val="none"/>
          <w:lang w:eastAsia="zh-CN"/>
        </w:rPr>
      </w:pPr>
    </w:p>
    <w:p w14:paraId="3803707C">
      <w:pPr>
        <w:keepNext w:val="0"/>
        <w:keepLines w:val="0"/>
        <w:pageBreakBefore w:val="0"/>
        <w:widowControl w:val="0"/>
        <w:kinsoku/>
        <w:wordWrap/>
        <w:overflowPunct/>
        <w:topLinePunct w:val="0"/>
        <w:autoSpaceDE/>
        <w:autoSpaceDN/>
        <w:bidi w:val="0"/>
        <w:adjustRightInd/>
        <w:spacing w:line="720" w:lineRule="auto"/>
        <w:jc w:val="center"/>
        <w:textAlignment w:val="auto"/>
        <w:rPr>
          <w:rFonts w:hint="eastAsia" w:ascii="仿宋" w:hAnsi="仿宋" w:eastAsia="仿宋" w:cs="仿宋"/>
          <w:b/>
          <w:bCs/>
          <w:color w:val="auto"/>
          <w:sz w:val="56"/>
          <w:szCs w:val="56"/>
          <w:highlight w:val="none"/>
          <w:lang w:eastAsia="zh-CN"/>
        </w:rPr>
      </w:pPr>
      <w:r>
        <w:rPr>
          <w:rFonts w:hint="eastAsia" w:ascii="仿宋" w:hAnsi="仿宋" w:eastAsia="仿宋" w:cs="仿宋"/>
          <w:b/>
          <w:bCs/>
          <w:color w:val="auto"/>
          <w:sz w:val="60"/>
          <w:szCs w:val="60"/>
          <w:highlight w:val="none"/>
          <w:lang w:eastAsia="zh-CN"/>
        </w:rPr>
        <w:t>高新区农村黑臭水体巩固提升项目</w:t>
      </w:r>
    </w:p>
    <w:p w14:paraId="620A1302">
      <w:pPr>
        <w:pStyle w:val="5"/>
        <w:keepNext w:val="0"/>
        <w:keepLines w:val="0"/>
        <w:pageBreakBefore w:val="0"/>
        <w:widowControl w:val="0"/>
        <w:kinsoku/>
        <w:wordWrap/>
        <w:overflowPunct/>
        <w:topLinePunct w:val="0"/>
        <w:autoSpaceDE/>
        <w:autoSpaceDN/>
        <w:bidi w:val="0"/>
        <w:adjustRightInd/>
        <w:spacing w:line="720" w:lineRule="auto"/>
        <w:textAlignment w:val="auto"/>
        <w:rPr>
          <w:rFonts w:hint="eastAsia" w:ascii="仿宋" w:hAnsi="仿宋" w:eastAsia="仿宋" w:cs="仿宋"/>
          <w:color w:val="auto"/>
          <w:highlight w:val="none"/>
        </w:rPr>
      </w:pPr>
    </w:p>
    <w:p w14:paraId="0A5B0140">
      <w:pPr>
        <w:spacing w:line="560" w:lineRule="exact"/>
        <w:jc w:val="center"/>
        <w:rPr>
          <w:rFonts w:hint="eastAsia" w:ascii="仿宋" w:hAnsi="仿宋" w:eastAsia="仿宋" w:cs="仿宋"/>
          <w:b/>
          <w:color w:val="auto"/>
          <w:sz w:val="44"/>
          <w:szCs w:val="44"/>
          <w:highlight w:val="none"/>
        </w:rPr>
      </w:pPr>
    </w:p>
    <w:p w14:paraId="4B1086B5">
      <w:pPr>
        <w:spacing w:line="560" w:lineRule="exact"/>
        <w:jc w:val="center"/>
        <w:rPr>
          <w:rFonts w:hint="eastAsia" w:ascii="仿宋" w:hAnsi="仿宋" w:eastAsia="仿宋" w:cs="仿宋"/>
          <w:b/>
          <w:color w:val="auto"/>
          <w:sz w:val="44"/>
          <w:szCs w:val="44"/>
          <w:highlight w:val="none"/>
        </w:rPr>
      </w:pPr>
      <w:r>
        <w:rPr>
          <w:rFonts w:hint="eastAsia" w:ascii="仿宋" w:hAnsi="仿宋" w:eastAsia="仿宋" w:cs="仿宋"/>
          <w:b/>
          <w:color w:val="auto"/>
          <w:sz w:val="56"/>
          <w:szCs w:val="56"/>
          <w:highlight w:val="none"/>
        </w:rPr>
        <w:t>服 务 合 同</w:t>
      </w:r>
    </w:p>
    <w:p w14:paraId="58F15428">
      <w:pPr>
        <w:spacing w:line="560" w:lineRule="exact"/>
        <w:rPr>
          <w:rFonts w:hint="eastAsia" w:ascii="仿宋" w:hAnsi="仿宋" w:eastAsia="仿宋" w:cs="仿宋"/>
          <w:color w:val="auto"/>
          <w:sz w:val="32"/>
          <w:szCs w:val="32"/>
          <w:highlight w:val="none"/>
        </w:rPr>
      </w:pPr>
    </w:p>
    <w:p w14:paraId="5AFE4090">
      <w:pPr>
        <w:spacing w:line="560" w:lineRule="exact"/>
        <w:ind w:firstLine="843" w:firstLineChars="400"/>
        <w:rPr>
          <w:rFonts w:hint="eastAsia" w:ascii="仿宋" w:hAnsi="仿宋" w:eastAsia="仿宋" w:cs="仿宋"/>
          <w:b/>
          <w:color w:val="auto"/>
          <w:highlight w:val="none"/>
        </w:rPr>
      </w:pPr>
    </w:p>
    <w:p w14:paraId="5382A2C1">
      <w:pPr>
        <w:spacing w:line="560" w:lineRule="exact"/>
        <w:ind w:firstLine="843" w:firstLineChars="400"/>
        <w:rPr>
          <w:rFonts w:hint="eastAsia" w:ascii="仿宋" w:hAnsi="仿宋" w:eastAsia="仿宋" w:cs="仿宋"/>
          <w:b/>
          <w:color w:val="auto"/>
          <w:highlight w:val="none"/>
        </w:rPr>
      </w:pPr>
    </w:p>
    <w:p w14:paraId="49089E3D">
      <w:pPr>
        <w:spacing w:line="560" w:lineRule="exact"/>
        <w:ind w:firstLine="843" w:firstLineChars="400"/>
        <w:rPr>
          <w:rFonts w:hint="eastAsia" w:ascii="仿宋" w:hAnsi="仿宋" w:eastAsia="仿宋" w:cs="仿宋"/>
          <w:b/>
          <w:color w:val="auto"/>
          <w:highlight w:val="none"/>
        </w:rPr>
      </w:pPr>
    </w:p>
    <w:p w14:paraId="5ADB4CE6">
      <w:pPr>
        <w:spacing w:line="720" w:lineRule="auto"/>
        <w:ind w:firstLine="1124" w:firstLineChars="400"/>
        <w:rPr>
          <w:rFonts w:hint="eastAsia" w:ascii="仿宋" w:hAnsi="仿宋" w:eastAsia="仿宋" w:cs="仿宋"/>
          <w:b/>
          <w:color w:val="auto"/>
          <w:sz w:val="28"/>
          <w:szCs w:val="28"/>
          <w:highlight w:val="none"/>
        </w:rPr>
      </w:pPr>
    </w:p>
    <w:p w14:paraId="7AE4D4DB">
      <w:pPr>
        <w:spacing w:line="720" w:lineRule="auto"/>
        <w:jc w:val="center"/>
        <w:rPr>
          <w:rFonts w:hint="eastAsia" w:ascii="仿宋" w:hAnsi="仿宋" w:eastAsia="仿宋" w:cs="仿宋"/>
          <w:color w:val="auto"/>
          <w:sz w:val="28"/>
          <w:szCs w:val="28"/>
          <w:highlight w:val="none"/>
        </w:rPr>
      </w:pPr>
    </w:p>
    <w:p w14:paraId="2E90AB71">
      <w:pPr>
        <w:spacing w:line="720" w:lineRule="auto"/>
        <w:jc w:val="center"/>
        <w:rPr>
          <w:rFonts w:hint="eastAsia" w:ascii="仿宋" w:hAnsi="仿宋" w:eastAsia="仿宋" w:cs="仿宋"/>
          <w:color w:val="auto"/>
          <w:szCs w:val="21"/>
          <w:highlight w:val="none"/>
        </w:rPr>
      </w:pPr>
      <w:r>
        <w:rPr>
          <w:rFonts w:hint="eastAsia" w:ascii="仿宋" w:hAnsi="仿宋" w:eastAsia="仿宋" w:cs="仿宋"/>
          <w:color w:val="auto"/>
          <w:sz w:val="28"/>
          <w:szCs w:val="28"/>
          <w:highlight w:val="none"/>
        </w:rPr>
        <w:t>二〇二</w:t>
      </w:r>
      <w:r>
        <w:rPr>
          <w:rFonts w:hint="eastAsia" w:ascii="仿宋" w:hAnsi="仿宋" w:eastAsia="仿宋" w:cs="仿宋"/>
          <w:color w:val="auto"/>
          <w:sz w:val="28"/>
          <w:szCs w:val="28"/>
          <w:highlight w:val="none"/>
          <w:lang w:val="en-US" w:eastAsia="zh-CN"/>
        </w:rPr>
        <w:t>五</w:t>
      </w:r>
      <w:r>
        <w:rPr>
          <w:rFonts w:hint="eastAsia" w:ascii="仿宋" w:hAnsi="仿宋" w:eastAsia="仿宋" w:cs="仿宋"/>
          <w:color w:val="auto"/>
          <w:sz w:val="28"/>
          <w:szCs w:val="28"/>
          <w:highlight w:val="none"/>
        </w:rPr>
        <w:t>年  月</w:t>
      </w:r>
    </w:p>
    <w:p w14:paraId="553E5D17">
      <w:pPr>
        <w:pStyle w:val="5"/>
        <w:pageBreakBefore w:val="0"/>
        <w:kinsoku/>
        <w:wordWrap/>
        <w:overflowPunct/>
        <w:topLinePunct w:val="0"/>
        <w:bidi w:val="0"/>
        <w:spacing w:line="360" w:lineRule="auto"/>
        <w:ind w:firstLine="402" w:firstLineChars="200"/>
        <w:textAlignment w:val="auto"/>
        <w:rPr>
          <w:rFonts w:hint="eastAsia" w:ascii="仿宋" w:hAnsi="仿宋" w:eastAsia="仿宋" w:cs="仿宋"/>
          <w:b/>
          <w:color w:val="auto"/>
          <w:sz w:val="20"/>
          <w:szCs w:val="20"/>
          <w:highlight w:val="none"/>
        </w:rPr>
      </w:pPr>
    </w:p>
    <w:p w14:paraId="7FDB9B83">
      <w:pPr>
        <w:pStyle w:val="5"/>
        <w:pageBreakBefore w:val="0"/>
        <w:kinsoku/>
        <w:wordWrap/>
        <w:overflowPunct/>
        <w:topLinePunct w:val="0"/>
        <w:bidi w:val="0"/>
        <w:spacing w:line="360" w:lineRule="auto"/>
        <w:ind w:firstLine="402" w:firstLineChars="200"/>
        <w:textAlignment w:val="auto"/>
        <w:rPr>
          <w:rFonts w:hint="eastAsia" w:ascii="仿宋" w:hAnsi="仿宋" w:eastAsia="仿宋" w:cs="仿宋"/>
          <w:b/>
          <w:color w:val="auto"/>
          <w:sz w:val="20"/>
          <w:szCs w:val="20"/>
          <w:highlight w:val="none"/>
        </w:rPr>
      </w:pPr>
    </w:p>
    <w:p w14:paraId="779EC689">
      <w:pPr>
        <w:pStyle w:val="5"/>
        <w:pageBreakBefore w:val="0"/>
        <w:kinsoku/>
        <w:wordWrap/>
        <w:overflowPunct/>
        <w:topLinePunct w:val="0"/>
        <w:bidi w:val="0"/>
        <w:spacing w:line="360" w:lineRule="auto"/>
        <w:ind w:firstLine="402" w:firstLineChars="200"/>
        <w:textAlignment w:val="auto"/>
        <w:rPr>
          <w:rFonts w:hint="eastAsia" w:ascii="仿宋" w:hAnsi="仿宋" w:eastAsia="仿宋" w:cs="仿宋"/>
          <w:b/>
          <w:color w:val="auto"/>
          <w:sz w:val="20"/>
          <w:szCs w:val="20"/>
          <w:highlight w:val="none"/>
        </w:rPr>
      </w:pPr>
    </w:p>
    <w:p w14:paraId="286E3E1A">
      <w:pPr>
        <w:pStyle w:val="5"/>
        <w:pageBreakBefore w:val="0"/>
        <w:kinsoku/>
        <w:wordWrap/>
        <w:overflowPunct/>
        <w:topLinePunct w:val="0"/>
        <w:bidi w:val="0"/>
        <w:spacing w:line="360" w:lineRule="auto"/>
        <w:ind w:firstLine="402" w:firstLineChars="200"/>
        <w:textAlignment w:val="auto"/>
        <w:rPr>
          <w:rFonts w:hint="eastAsia" w:ascii="仿宋" w:hAnsi="仿宋" w:eastAsia="仿宋" w:cs="仿宋"/>
          <w:b/>
          <w:color w:val="auto"/>
          <w:sz w:val="20"/>
          <w:szCs w:val="20"/>
          <w:highlight w:val="none"/>
        </w:rPr>
      </w:pPr>
    </w:p>
    <w:p w14:paraId="68A69FD0">
      <w:pPr>
        <w:pStyle w:val="5"/>
        <w:pageBreakBefore w:val="0"/>
        <w:kinsoku/>
        <w:wordWrap/>
        <w:overflowPunct/>
        <w:topLinePunct w:val="0"/>
        <w:bidi w:val="0"/>
        <w:spacing w:line="360" w:lineRule="auto"/>
        <w:ind w:firstLine="402" w:firstLineChars="200"/>
        <w:textAlignment w:val="auto"/>
        <w:rPr>
          <w:rFonts w:hint="eastAsia" w:ascii="仿宋" w:hAnsi="仿宋" w:eastAsia="仿宋" w:cs="仿宋"/>
          <w:b/>
          <w:color w:val="auto"/>
          <w:sz w:val="20"/>
          <w:szCs w:val="20"/>
          <w:highlight w:val="none"/>
        </w:rPr>
      </w:pPr>
    </w:p>
    <w:p w14:paraId="65BD883F">
      <w:pPr>
        <w:pStyle w:val="5"/>
        <w:pageBreakBefore w:val="0"/>
        <w:kinsoku/>
        <w:wordWrap/>
        <w:overflowPunct/>
        <w:topLinePunct w:val="0"/>
        <w:bidi w:val="0"/>
        <w:spacing w:line="360" w:lineRule="auto"/>
        <w:ind w:firstLine="402" w:firstLineChars="200"/>
        <w:textAlignment w:val="auto"/>
        <w:rPr>
          <w:rFonts w:hint="eastAsia" w:ascii="仿宋" w:hAnsi="仿宋" w:eastAsia="仿宋" w:cs="仿宋"/>
          <w:b/>
          <w:color w:val="auto"/>
          <w:sz w:val="20"/>
          <w:szCs w:val="20"/>
          <w:highlight w:val="none"/>
        </w:rPr>
      </w:pPr>
    </w:p>
    <w:p w14:paraId="1D2DCA85">
      <w:pPr>
        <w:pStyle w:val="5"/>
        <w:pageBreakBefore w:val="0"/>
        <w:kinsoku/>
        <w:wordWrap/>
        <w:overflowPunct/>
        <w:topLinePunct w:val="0"/>
        <w:bidi w:val="0"/>
        <w:spacing w:line="360" w:lineRule="auto"/>
        <w:ind w:firstLine="402" w:firstLineChars="200"/>
        <w:textAlignment w:val="auto"/>
        <w:rPr>
          <w:rFonts w:hint="eastAsia" w:ascii="仿宋" w:hAnsi="仿宋" w:eastAsia="仿宋" w:cs="仿宋"/>
          <w:b/>
          <w:color w:val="auto"/>
          <w:sz w:val="20"/>
          <w:szCs w:val="20"/>
          <w:highlight w:val="none"/>
        </w:rPr>
      </w:pPr>
    </w:p>
    <w:p w14:paraId="16C5BCAC">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val="0"/>
          <w:bCs w:val="0"/>
          <w:sz w:val="24"/>
          <w:szCs w:val="24"/>
          <w:lang w:eastAsia="zh-CN"/>
        </w:rPr>
      </w:pPr>
      <w:r>
        <w:rPr>
          <w:rFonts w:hint="eastAsia" w:ascii="仿宋_GB2312" w:hAnsi="仿宋_GB2312" w:eastAsia="仿宋_GB2312" w:cs="仿宋_GB2312"/>
          <w:b/>
          <w:bCs/>
          <w:sz w:val="24"/>
          <w:lang w:val="en-US" w:eastAsia="zh-CN"/>
        </w:rPr>
        <w:t>采购人</w:t>
      </w:r>
      <w:r>
        <w:rPr>
          <w:rFonts w:hint="eastAsia" w:ascii="仿宋_GB2312" w:hAnsi="仿宋_GB2312" w:eastAsia="仿宋_GB2312" w:cs="仿宋_GB2312"/>
          <w:b/>
          <w:bCs/>
          <w:sz w:val="24"/>
          <w:lang w:eastAsia="zh-CN"/>
        </w:rPr>
        <w:t>：</w:t>
      </w:r>
      <w:r>
        <w:rPr>
          <w:rFonts w:hint="eastAsia" w:ascii="仿宋" w:hAnsi="仿宋" w:eastAsia="仿宋" w:cs="仿宋"/>
          <w:b w:val="0"/>
          <w:bCs w:val="0"/>
          <w:spacing w:val="-12"/>
          <w:sz w:val="24"/>
          <w:szCs w:val="24"/>
          <w:u w:val="single"/>
          <w:lang w:val="en-US" w:eastAsia="zh-CN"/>
        </w:rPr>
        <w:t xml:space="preserve">                                            </w:t>
      </w:r>
      <w:r>
        <w:rPr>
          <w:rFonts w:hint="eastAsia" w:ascii="仿宋" w:hAnsi="仿宋" w:eastAsia="仿宋" w:cs="仿宋"/>
          <w:b w:val="0"/>
          <w:bCs w:val="0"/>
          <w:spacing w:val="-12"/>
          <w:sz w:val="24"/>
          <w:szCs w:val="24"/>
          <w:lang w:eastAsia="zh-CN"/>
        </w:rPr>
        <w:t>（</w:t>
      </w:r>
      <w:r>
        <w:rPr>
          <w:rFonts w:hint="eastAsia" w:ascii="仿宋" w:hAnsi="仿宋" w:eastAsia="仿宋" w:cs="仿宋"/>
          <w:b w:val="0"/>
          <w:bCs w:val="0"/>
          <w:spacing w:val="1"/>
          <w:sz w:val="24"/>
          <w:szCs w:val="24"/>
          <w:lang w:eastAsia="zh-CN"/>
        </w:rPr>
        <w:t>以下简称甲方）</w:t>
      </w:r>
    </w:p>
    <w:p w14:paraId="5624042D">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val="0"/>
          <w:bCs w:val="0"/>
          <w:sz w:val="24"/>
          <w:szCs w:val="24"/>
          <w:lang w:eastAsia="zh-CN"/>
        </w:rPr>
      </w:pPr>
      <w:r>
        <w:rPr>
          <w:rFonts w:hint="eastAsia" w:ascii="仿宋_GB2312" w:hAnsi="仿宋_GB2312" w:eastAsia="仿宋_GB2312" w:cs="仿宋_GB2312"/>
          <w:b/>
          <w:bCs/>
          <w:sz w:val="24"/>
          <w:lang w:val="en-US" w:eastAsia="zh-CN"/>
        </w:rPr>
        <w:t>供应商：</w:t>
      </w:r>
      <w:r>
        <w:rPr>
          <w:rFonts w:hint="eastAsia" w:ascii="仿宋" w:hAnsi="仿宋" w:eastAsia="仿宋" w:cs="仿宋"/>
          <w:b w:val="0"/>
          <w:bCs w:val="0"/>
          <w:sz w:val="24"/>
          <w:szCs w:val="24"/>
          <w:u w:val="single"/>
          <w:lang w:eastAsia="zh-CN"/>
        </w:rPr>
        <w:t xml:space="preserve">     </w:t>
      </w:r>
      <w:r>
        <w:rPr>
          <w:rFonts w:hint="eastAsia" w:ascii="仿宋" w:hAnsi="仿宋" w:eastAsia="仿宋" w:cs="仿宋"/>
          <w:b w:val="0"/>
          <w:bCs w:val="0"/>
          <w:sz w:val="24"/>
          <w:szCs w:val="24"/>
          <w:u w:val="single"/>
          <w:lang w:val="en-US" w:eastAsia="zh-CN"/>
        </w:rPr>
        <w:t xml:space="preserve">    </w:t>
      </w:r>
      <w:r>
        <w:rPr>
          <w:rFonts w:hint="eastAsia" w:ascii="仿宋" w:hAnsi="仿宋" w:eastAsia="仿宋" w:cs="仿宋"/>
          <w:b w:val="0"/>
          <w:bCs w:val="0"/>
          <w:sz w:val="24"/>
          <w:szCs w:val="24"/>
          <w:u w:val="single"/>
          <w:lang w:eastAsia="zh-CN"/>
        </w:rPr>
        <w:t xml:space="preserve"> </w:t>
      </w:r>
      <w:r>
        <w:rPr>
          <w:rFonts w:hint="eastAsia" w:ascii="仿宋" w:hAnsi="仿宋" w:eastAsia="仿宋" w:cs="仿宋"/>
          <w:b w:val="0"/>
          <w:bCs w:val="0"/>
          <w:sz w:val="24"/>
          <w:szCs w:val="24"/>
          <w:u w:val="single"/>
          <w:lang w:val="en-US" w:eastAsia="zh-CN"/>
        </w:rPr>
        <w:t xml:space="preserve">                          </w:t>
      </w:r>
      <w:r>
        <w:rPr>
          <w:rFonts w:hint="eastAsia" w:ascii="仿宋" w:hAnsi="仿宋" w:eastAsia="仿宋" w:cs="仿宋"/>
          <w:b w:val="0"/>
          <w:bCs w:val="0"/>
          <w:spacing w:val="-8"/>
          <w:sz w:val="24"/>
          <w:szCs w:val="24"/>
          <w:lang w:eastAsia="zh-CN"/>
        </w:rPr>
        <w:t>（</w:t>
      </w:r>
      <w:r>
        <w:rPr>
          <w:rFonts w:hint="eastAsia" w:ascii="仿宋" w:hAnsi="仿宋" w:eastAsia="仿宋" w:cs="仿宋"/>
          <w:b w:val="0"/>
          <w:bCs w:val="0"/>
          <w:sz w:val="24"/>
          <w:szCs w:val="24"/>
          <w:lang w:eastAsia="zh-CN"/>
        </w:rPr>
        <w:t>以下简称乙方）</w:t>
      </w:r>
    </w:p>
    <w:p w14:paraId="1A2648B2">
      <w:pPr>
        <w:pageBreakBefore w:val="0"/>
        <w:kinsoku/>
        <w:wordWrap/>
        <w:overflowPunct/>
        <w:topLinePunct w:val="0"/>
        <w:autoSpaceDE/>
        <w:autoSpaceDN/>
        <w:bidi w:val="0"/>
        <w:adjustRightInd w:val="0"/>
        <w:snapToGrid w:val="0"/>
        <w:spacing w:line="500" w:lineRule="exac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依照《中华人民共和国民法典》以及其他有关法律法规的规定，结合本项目的具体情况，甲乙双方在遵循自愿、平等、公平、诚信的原则基础上，经双方协商一致，签订本合同。</w:t>
      </w:r>
    </w:p>
    <w:p w14:paraId="4E84B13D">
      <w:pPr>
        <w:pageBreakBefore w:val="0"/>
        <w:kinsoku/>
        <w:wordWrap/>
        <w:overflowPunct/>
        <w:topLinePunct w:val="0"/>
        <w:autoSpaceDE/>
        <w:autoSpaceDN/>
        <w:bidi w:val="0"/>
        <w:adjustRightInd w:val="0"/>
        <w:snapToGrid w:val="0"/>
        <w:spacing w:line="500" w:lineRule="exact"/>
        <w:ind w:firstLine="420" w:firstLineChars="200"/>
        <w:rPr>
          <w:rFonts w:hint="eastAsia" w:ascii="仿宋_GB2312" w:hAnsi="仿宋_GB2312" w:eastAsia="仿宋_GB2312" w:cs="仿宋_GB2312"/>
          <w:kern w:val="2"/>
        </w:rPr>
      </w:pPr>
      <w:r>
        <w:rPr>
          <w:rFonts w:hint="eastAsia" w:ascii="仿宋_GB2312" w:hAnsi="仿宋_GB2312" w:eastAsia="仿宋_GB2312" w:cs="仿宋_GB2312"/>
          <w:kern w:val="2"/>
        </w:rPr>
        <w:t>一、委托事项</w:t>
      </w:r>
    </w:p>
    <w:p w14:paraId="098D2430">
      <w:pPr>
        <w:pageBreakBefore w:val="0"/>
        <w:kinsoku/>
        <w:wordWrap/>
        <w:overflowPunct/>
        <w:topLinePunct w:val="0"/>
        <w:autoSpaceDE/>
        <w:autoSpaceDN/>
        <w:bidi w:val="0"/>
        <w:adjustRightInd w:val="0"/>
        <w:snapToGrid w:val="0"/>
        <w:spacing w:line="500" w:lineRule="exact"/>
        <w:ind w:firstLine="480" w:firstLineChars="200"/>
        <w:rPr>
          <w:rFonts w:hint="eastAsia" w:ascii="仿宋_GB2312" w:hAnsi="仿宋_GB2312" w:eastAsia="仿宋_GB2312" w:cs="仿宋_GB2312"/>
          <w:sz w:val="24"/>
          <w:lang w:eastAsia="zh-CN"/>
        </w:rPr>
      </w:pPr>
      <w:r>
        <w:rPr>
          <w:rFonts w:hint="eastAsia" w:ascii="仿宋_GB2312" w:hAnsi="仿宋_GB2312" w:eastAsia="仿宋_GB2312" w:cs="仿宋_GB2312"/>
          <w:sz w:val="24"/>
        </w:rPr>
        <w:t>项目名称：</w:t>
      </w:r>
      <w:r>
        <w:rPr>
          <w:rFonts w:hint="eastAsia" w:ascii="仿宋_GB2312" w:hAnsi="仿宋_GB2312" w:eastAsia="仿宋_GB2312" w:cs="仿宋_GB2312"/>
          <w:sz w:val="24"/>
          <w:lang w:eastAsia="zh-CN"/>
        </w:rPr>
        <w:t>高新区农村黑臭水体巩固提升项目</w:t>
      </w:r>
    </w:p>
    <w:p w14:paraId="58FBC481">
      <w:pPr>
        <w:keepNext w:val="0"/>
        <w:keepLines w:val="0"/>
        <w:pageBreakBefore w:val="0"/>
        <w:widowControl/>
        <w:suppressLineNumbers w:val="0"/>
        <w:kinsoku/>
        <w:wordWrap/>
        <w:overflowPunct/>
        <w:topLinePunct w:val="0"/>
        <w:autoSpaceDE/>
        <w:autoSpaceDN/>
        <w:bidi w:val="0"/>
        <w:spacing w:line="500" w:lineRule="exact"/>
        <w:ind w:firstLine="480" w:firstLineChars="200"/>
        <w:jc w:val="left"/>
        <w:rPr>
          <w:rFonts w:hint="eastAsia" w:ascii="仿宋_GB2312" w:hAnsi="仿宋_GB2312" w:eastAsia="仿宋_GB2312" w:cs="仿宋_GB2312"/>
          <w:sz w:val="24"/>
        </w:rPr>
      </w:pPr>
      <w:r>
        <w:rPr>
          <w:rFonts w:hint="eastAsia" w:ascii="仿宋_GB2312" w:hAnsi="仿宋_GB2312" w:eastAsia="仿宋_GB2312" w:cs="仿宋_GB2312"/>
          <w:sz w:val="24"/>
        </w:rPr>
        <w:t>本项目主要涉及细柳街道大羊村和灵沼街道阿底村生活污水涝池污水治理环境提升服务</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对细柳街道大羊村涝池和灵沼街道阿底村生活污水进行处理</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 xml:space="preserve">           </w:t>
      </w:r>
    </w:p>
    <w:p w14:paraId="3DCD93B2">
      <w:pPr>
        <w:pageBreakBefore w:val="0"/>
        <w:kinsoku/>
        <w:wordWrap/>
        <w:overflowPunct/>
        <w:topLinePunct w:val="0"/>
        <w:autoSpaceDE/>
        <w:autoSpaceDN/>
        <w:bidi w:val="0"/>
        <w:adjustRightInd w:val="0"/>
        <w:snapToGrid w:val="0"/>
        <w:spacing w:line="500" w:lineRule="exact"/>
        <w:ind w:firstLine="482" w:firstLineChars="200"/>
        <w:rPr>
          <w:rFonts w:hint="eastAsia" w:ascii="仿宋_GB2312" w:hAnsi="仿宋_GB2312" w:eastAsia="仿宋_GB2312" w:cs="仿宋_GB2312"/>
          <w:b/>
          <w:sz w:val="24"/>
        </w:rPr>
      </w:pPr>
      <w:r>
        <w:rPr>
          <w:rFonts w:hint="eastAsia" w:ascii="仿宋_GB2312" w:hAnsi="仿宋_GB2312" w:eastAsia="仿宋_GB2312" w:cs="仿宋_GB2312"/>
          <w:b/>
          <w:sz w:val="24"/>
        </w:rPr>
        <w:t>二、合同</w:t>
      </w:r>
      <w:r>
        <w:rPr>
          <w:rFonts w:hint="eastAsia" w:ascii="仿宋_GB2312" w:hAnsi="仿宋_GB2312" w:eastAsia="仿宋_GB2312" w:cs="仿宋_GB2312"/>
          <w:b/>
          <w:sz w:val="24"/>
          <w:lang w:val="en-US" w:eastAsia="zh-CN"/>
        </w:rPr>
        <w:t>服务</w:t>
      </w:r>
      <w:r>
        <w:rPr>
          <w:rFonts w:hint="eastAsia" w:ascii="仿宋_GB2312" w:hAnsi="仿宋_GB2312" w:eastAsia="仿宋_GB2312" w:cs="仿宋_GB2312"/>
          <w:b/>
          <w:sz w:val="24"/>
        </w:rPr>
        <w:t>期限及履约地点</w:t>
      </w:r>
    </w:p>
    <w:p w14:paraId="1AFF9D75">
      <w:pPr>
        <w:pStyle w:val="9"/>
        <w:rPr>
          <w:rFonts w:hint="eastAsia" w:ascii="仿宋" w:hAnsi="仿宋" w:eastAsia="仿宋" w:cs="仿宋"/>
        </w:rPr>
      </w:pPr>
      <w:r>
        <w:rPr>
          <w:rFonts w:hint="eastAsia" w:ascii="仿宋_GB2312" w:hAnsi="仿宋_GB2312" w:eastAsia="仿宋_GB2312" w:cs="仿宋_GB2312"/>
          <w:sz w:val="24"/>
        </w:rPr>
        <w:t>（一）</w:t>
      </w:r>
      <w:r>
        <w:rPr>
          <w:rFonts w:hint="eastAsia" w:ascii="仿宋_GB2312" w:hAnsi="仿宋_GB2312" w:eastAsia="仿宋_GB2312" w:cs="仿宋_GB2312"/>
          <w:sz w:val="24"/>
          <w:lang w:val="en-US" w:eastAsia="zh-CN"/>
        </w:rPr>
        <w:t>服务</w:t>
      </w:r>
      <w:r>
        <w:rPr>
          <w:rFonts w:hint="eastAsia" w:ascii="仿宋_GB2312" w:hAnsi="仿宋_GB2312" w:eastAsia="仿宋_GB2312" w:cs="仿宋_GB2312"/>
          <w:sz w:val="24"/>
        </w:rPr>
        <w:t>期：</w:t>
      </w:r>
      <w:r>
        <w:rPr>
          <w:rFonts w:hint="eastAsia" w:ascii="仿宋_GB2312" w:hAnsi="仿宋_GB2312" w:eastAsia="仿宋_GB2312" w:cs="仿宋_GB2312"/>
          <w:kern w:val="2"/>
          <w:sz w:val="24"/>
          <w:szCs w:val="24"/>
          <w:lang w:val="en-US" w:eastAsia="zh-CN" w:bidi="ar-SA"/>
        </w:rPr>
        <w:t>初次验收合格之日起一年</w:t>
      </w:r>
    </w:p>
    <w:p w14:paraId="2ECBF1F4">
      <w:pPr>
        <w:keepNext w:val="0"/>
        <w:keepLines w:val="0"/>
        <w:pageBreakBefore w:val="0"/>
        <w:widowControl/>
        <w:suppressLineNumbers w:val="0"/>
        <w:kinsoku/>
        <w:wordWrap/>
        <w:overflowPunct/>
        <w:topLinePunct w:val="0"/>
        <w:autoSpaceDE/>
        <w:autoSpaceDN/>
        <w:bidi w:val="0"/>
        <w:spacing w:line="50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（二）履约地点：</w:t>
      </w:r>
    </w:p>
    <w:p w14:paraId="2341F9A6">
      <w:pPr>
        <w:keepNext w:val="0"/>
        <w:keepLines w:val="0"/>
        <w:pageBreakBefore w:val="0"/>
        <w:widowControl/>
        <w:suppressLineNumbers w:val="0"/>
        <w:kinsoku/>
        <w:wordWrap/>
        <w:overflowPunct/>
        <w:topLinePunct w:val="0"/>
        <w:autoSpaceDE/>
        <w:autoSpaceDN/>
        <w:bidi w:val="0"/>
        <w:spacing w:line="500" w:lineRule="exact"/>
        <w:ind w:firstLine="480" w:firstLineChars="200"/>
        <w:jc w:val="left"/>
        <w:rPr>
          <w:rFonts w:hint="eastAsia" w:ascii="仿宋_GB2312" w:hAnsi="仿宋_GB2312" w:eastAsia="仿宋_GB2312" w:cs="仿宋_GB2312"/>
          <w:sz w:val="24"/>
        </w:rPr>
      </w:pPr>
      <w:r>
        <w:rPr>
          <w:rFonts w:hint="eastAsia" w:ascii="仿宋_GB2312" w:hAnsi="仿宋_GB2312" w:eastAsia="仿宋_GB2312" w:cs="仿宋_GB2312"/>
          <w:sz w:val="24"/>
        </w:rPr>
        <w:t>西安高新区</w:t>
      </w:r>
      <w:r>
        <w:rPr>
          <w:rFonts w:hint="eastAsia" w:ascii="仿宋_GB2312" w:hAnsi="仿宋_GB2312" w:eastAsia="仿宋_GB2312" w:cs="仿宋_GB2312"/>
          <w:sz w:val="24"/>
          <w:lang w:val="en-US" w:eastAsia="zh-CN"/>
        </w:rPr>
        <w:t>细柳街道大羊村和灵沼街道阿底村。</w:t>
      </w:r>
    </w:p>
    <w:p w14:paraId="3A8A51C5">
      <w:pPr>
        <w:pageBreakBefore w:val="0"/>
        <w:kinsoku/>
        <w:wordWrap/>
        <w:overflowPunct/>
        <w:topLinePunct w:val="0"/>
        <w:autoSpaceDE/>
        <w:autoSpaceDN/>
        <w:bidi w:val="0"/>
        <w:adjustRightInd w:val="0"/>
        <w:snapToGrid w:val="0"/>
        <w:spacing w:line="500" w:lineRule="exact"/>
        <w:ind w:firstLine="482" w:firstLineChars="200"/>
        <w:rPr>
          <w:rFonts w:hint="eastAsia" w:ascii="仿宋_GB2312" w:hAnsi="仿宋_GB2312" w:eastAsia="仿宋_GB2312" w:cs="仿宋_GB2312"/>
          <w:b/>
          <w:sz w:val="24"/>
        </w:rPr>
      </w:pPr>
      <w:r>
        <w:rPr>
          <w:rFonts w:hint="eastAsia" w:ascii="仿宋_GB2312" w:hAnsi="仿宋_GB2312" w:eastAsia="仿宋_GB2312" w:cs="仿宋_GB2312"/>
          <w:b/>
          <w:sz w:val="24"/>
        </w:rPr>
        <w:t>三、甲方主要责任义务</w:t>
      </w:r>
    </w:p>
    <w:p w14:paraId="646AF168">
      <w:pPr>
        <w:pageBreakBefore w:val="0"/>
        <w:kinsoku/>
        <w:wordWrap/>
        <w:overflowPunct/>
        <w:topLinePunct w:val="0"/>
        <w:autoSpaceDE/>
        <w:autoSpaceDN/>
        <w:bidi w:val="0"/>
        <w:adjustRightInd w:val="0"/>
        <w:snapToGrid w:val="0"/>
        <w:spacing w:line="500" w:lineRule="exac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甲方提供的被处理水域为生活污水，不含有化学污染物和工业废水流入。</w:t>
      </w:r>
    </w:p>
    <w:p w14:paraId="0198489C">
      <w:pPr>
        <w:pageBreakBefore w:val="0"/>
        <w:kinsoku/>
        <w:wordWrap/>
        <w:overflowPunct/>
        <w:topLinePunct w:val="0"/>
        <w:autoSpaceDE/>
        <w:autoSpaceDN/>
        <w:bidi w:val="0"/>
        <w:adjustRightInd w:val="0"/>
        <w:snapToGrid w:val="0"/>
        <w:spacing w:line="500" w:lineRule="exact"/>
        <w:ind w:firstLine="482" w:firstLineChars="200"/>
        <w:rPr>
          <w:rFonts w:hint="eastAsia" w:ascii="仿宋_GB2312" w:hAnsi="仿宋_GB2312" w:eastAsia="仿宋_GB2312" w:cs="仿宋_GB2312"/>
          <w:b/>
          <w:sz w:val="24"/>
        </w:rPr>
      </w:pPr>
      <w:r>
        <w:rPr>
          <w:rFonts w:hint="eastAsia" w:ascii="仿宋_GB2312" w:hAnsi="仿宋_GB2312" w:eastAsia="仿宋_GB2312" w:cs="仿宋_GB2312"/>
          <w:b/>
          <w:sz w:val="24"/>
        </w:rPr>
        <w:t>四、乙方主要责任义务</w:t>
      </w:r>
    </w:p>
    <w:p w14:paraId="6581FE50">
      <w:pPr>
        <w:pageBreakBefore w:val="0"/>
        <w:kinsoku/>
        <w:wordWrap/>
        <w:overflowPunct/>
        <w:topLinePunct w:val="0"/>
        <w:autoSpaceDE/>
        <w:autoSpaceDN/>
        <w:bidi w:val="0"/>
        <w:adjustRightInd w:val="0"/>
        <w:snapToGrid w:val="0"/>
        <w:spacing w:line="500" w:lineRule="exac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（一）按照合同要求，采用生态修复方式治理涝池生活污水，并达到合同第七条约定的水质要求。</w:t>
      </w:r>
    </w:p>
    <w:p w14:paraId="40DA1656">
      <w:pPr>
        <w:pageBreakBefore w:val="0"/>
        <w:kinsoku/>
        <w:wordWrap/>
        <w:overflowPunct/>
        <w:topLinePunct w:val="0"/>
        <w:autoSpaceDE/>
        <w:autoSpaceDN/>
        <w:bidi w:val="0"/>
        <w:adjustRightInd w:val="0"/>
        <w:snapToGrid w:val="0"/>
        <w:spacing w:line="500" w:lineRule="exac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（二）日常维护过程中，乙方随时监测水域水体污染情况，对水体及时进行治理维护，需要时增加产品使用量以保证水体的洁净和观赏性。</w:t>
      </w:r>
    </w:p>
    <w:p w14:paraId="3440733E">
      <w:pPr>
        <w:pageBreakBefore w:val="0"/>
        <w:kinsoku/>
        <w:wordWrap/>
        <w:overflowPunct/>
        <w:topLinePunct w:val="0"/>
        <w:autoSpaceDE/>
        <w:autoSpaceDN/>
        <w:bidi w:val="0"/>
        <w:adjustRightInd w:val="0"/>
        <w:snapToGrid w:val="0"/>
        <w:spacing w:line="500" w:lineRule="exact"/>
        <w:ind w:firstLine="480" w:firstLineChars="200"/>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rPr>
        <w:t>（三）在治理维护期内，乙方有权监督任何单位或个人禁止向水中投撒有害物体，若遇突发自然灾害破坏造成水质污染或因化学污染所造成的水质污染，不属于乙方的责任</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lang w:val="en-US" w:eastAsia="zh-CN"/>
        </w:rPr>
        <w:t>但乙方应采取有效措施防治污染扩散，并对因未采取有效措施导致的污染扩散，承担免费修复责任。</w:t>
      </w:r>
    </w:p>
    <w:p w14:paraId="2636F0DB">
      <w:pPr>
        <w:pStyle w:val="2"/>
        <w:rPr>
          <w:rFonts w:hint="eastAsia" w:eastAsia="仿宋_GB2312"/>
          <w:lang w:val="en-US" w:eastAsia="zh-CN"/>
        </w:rPr>
      </w:pPr>
      <w:r>
        <w:rPr>
          <w:rFonts w:hint="eastAsia" w:ascii="仿宋_GB2312" w:hAnsi="仿宋_GB2312" w:eastAsia="仿宋_GB2312" w:cs="仿宋_GB2312"/>
          <w:sz w:val="24"/>
          <w:lang w:eastAsia="zh-CN"/>
        </w:rPr>
        <w:t>（四）服务期满，</w:t>
      </w:r>
      <w:r>
        <w:rPr>
          <w:rFonts w:hint="eastAsia" w:ascii="仿宋_GB2312" w:hAnsi="仿宋_GB2312" w:eastAsia="仿宋_GB2312" w:cs="仿宋_GB2312"/>
          <w:sz w:val="24"/>
          <w:lang w:val="en-US" w:eastAsia="zh-CN"/>
        </w:rPr>
        <w:t>乙方应</w:t>
      </w:r>
      <w:r>
        <w:rPr>
          <w:rFonts w:hint="eastAsia" w:ascii="仿宋_GB2312" w:hAnsi="仿宋_GB2312" w:eastAsia="仿宋_GB2312" w:cs="仿宋_GB2312"/>
          <w:sz w:val="24"/>
        </w:rPr>
        <w:t>向</w:t>
      </w:r>
      <w:r>
        <w:rPr>
          <w:rFonts w:hint="eastAsia" w:ascii="仿宋_GB2312" w:hAnsi="仿宋_GB2312" w:eastAsia="仿宋_GB2312" w:cs="仿宋_GB2312"/>
          <w:sz w:val="24"/>
          <w:lang w:val="en-US" w:eastAsia="zh-CN"/>
        </w:rPr>
        <w:t>甲方</w:t>
      </w:r>
      <w:r>
        <w:rPr>
          <w:rFonts w:hint="eastAsia" w:ascii="仿宋_GB2312" w:hAnsi="仿宋_GB2312" w:eastAsia="仿宋_GB2312" w:cs="仿宋_GB2312"/>
          <w:sz w:val="24"/>
        </w:rPr>
        <w:t>提交实施过程中的所有资料</w:t>
      </w:r>
      <w:r>
        <w:rPr>
          <w:rFonts w:hint="eastAsia" w:ascii="仿宋_GB2312" w:hAnsi="仿宋_GB2312" w:eastAsia="仿宋_GB2312" w:cs="仿宋_GB2312"/>
          <w:sz w:val="24"/>
          <w:lang w:eastAsia="zh-CN"/>
        </w:rPr>
        <w:t>。</w:t>
      </w:r>
    </w:p>
    <w:p w14:paraId="77746418">
      <w:pPr>
        <w:pageBreakBefore w:val="0"/>
        <w:kinsoku/>
        <w:wordWrap/>
        <w:overflowPunct/>
        <w:topLinePunct w:val="0"/>
        <w:autoSpaceDE/>
        <w:autoSpaceDN/>
        <w:bidi w:val="0"/>
        <w:adjustRightInd w:val="0"/>
        <w:snapToGrid w:val="0"/>
        <w:spacing w:line="500" w:lineRule="exact"/>
        <w:ind w:firstLine="480" w:firstLineChars="200"/>
        <w:rPr>
          <w:rFonts w:hint="eastAsia" w:ascii="仿宋_GB2312" w:hAnsi="仿宋_GB2312" w:eastAsia="仿宋_GB2312" w:cs="仿宋_GB2312"/>
          <w:bCs/>
          <w:sz w:val="24"/>
        </w:rPr>
      </w:pPr>
      <w:r>
        <w:rPr>
          <w:rFonts w:hint="eastAsia" w:ascii="仿宋_GB2312" w:hAnsi="仿宋_GB2312" w:eastAsia="仿宋_GB2312" w:cs="仿宋_GB2312"/>
          <w:b w:val="0"/>
          <w:bCs/>
          <w:sz w:val="24"/>
        </w:rPr>
        <w:t>（</w:t>
      </w:r>
      <w:r>
        <w:rPr>
          <w:rFonts w:hint="eastAsia" w:ascii="仿宋_GB2312" w:hAnsi="仿宋_GB2312" w:eastAsia="仿宋_GB2312" w:cs="仿宋_GB2312"/>
          <w:b w:val="0"/>
          <w:bCs/>
          <w:sz w:val="24"/>
          <w:lang w:eastAsia="zh-CN"/>
        </w:rPr>
        <w:t>五</w:t>
      </w:r>
      <w:r>
        <w:rPr>
          <w:rFonts w:hint="eastAsia" w:ascii="仿宋_GB2312" w:hAnsi="仿宋_GB2312" w:eastAsia="仿宋_GB2312" w:cs="仿宋_GB2312"/>
          <w:b w:val="0"/>
          <w:bCs/>
          <w:sz w:val="24"/>
        </w:rPr>
        <w:t>）未经甲方同意，乙方不得将本项目转包、分包给第三方</w:t>
      </w:r>
      <w:r>
        <w:rPr>
          <w:rFonts w:hint="eastAsia" w:ascii="仿宋_GB2312" w:hAnsi="仿宋_GB2312" w:eastAsia="仿宋_GB2312" w:cs="仿宋_GB2312"/>
          <w:bCs/>
          <w:sz w:val="24"/>
        </w:rPr>
        <w:t>，不得将本合同任何权利义务转让给第三方；乙方违反本约定的，应按合同总价款的</w:t>
      </w:r>
      <w:r>
        <w:rPr>
          <w:rFonts w:hint="eastAsia" w:ascii="仿宋_GB2312" w:hAnsi="仿宋_GB2312" w:eastAsia="仿宋_GB2312" w:cs="仿宋_GB2312"/>
          <w:bCs/>
          <w:sz w:val="24"/>
          <w:u w:val="none"/>
          <w:lang w:val="en-US" w:eastAsia="zh-CN"/>
        </w:rPr>
        <w:t>30</w:t>
      </w:r>
      <w:r>
        <w:rPr>
          <w:rFonts w:hint="eastAsia" w:ascii="仿宋_GB2312" w:hAnsi="仿宋_GB2312" w:eastAsia="仿宋_GB2312" w:cs="仿宋_GB2312"/>
          <w:bCs/>
          <w:sz w:val="24"/>
          <w:u w:val="none"/>
        </w:rPr>
        <w:t>%</w:t>
      </w:r>
      <w:r>
        <w:rPr>
          <w:rFonts w:hint="eastAsia" w:ascii="仿宋_GB2312" w:hAnsi="仿宋_GB2312" w:eastAsia="仿宋_GB2312" w:cs="仿宋_GB2312"/>
          <w:bCs/>
          <w:sz w:val="24"/>
        </w:rPr>
        <w:t>向甲方支付违约金并退还甲方已付费用，同时甲方有权解除合同。</w:t>
      </w:r>
    </w:p>
    <w:p w14:paraId="24DB671C">
      <w:pPr>
        <w:pStyle w:val="6"/>
        <w:pageBreakBefore w:val="0"/>
        <w:kinsoku/>
        <w:wordWrap/>
        <w:overflowPunct/>
        <w:topLinePunct w:val="0"/>
        <w:autoSpaceDE/>
        <w:autoSpaceDN/>
        <w:bidi w:val="0"/>
        <w:adjustRightInd w:val="0"/>
        <w:snapToGrid w:val="0"/>
        <w:spacing w:line="500" w:lineRule="exac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w:t>
      </w:r>
      <w:r>
        <w:rPr>
          <w:rFonts w:hint="eastAsia" w:ascii="仿宋_GB2312" w:hAnsi="仿宋_GB2312" w:eastAsia="仿宋_GB2312" w:cs="仿宋_GB2312"/>
          <w:sz w:val="24"/>
          <w:lang w:eastAsia="zh-CN"/>
        </w:rPr>
        <w:t>六</w:t>
      </w:r>
      <w:r>
        <w:rPr>
          <w:rFonts w:hint="eastAsia" w:ascii="仿宋_GB2312" w:hAnsi="仿宋_GB2312" w:eastAsia="仿宋_GB2312" w:cs="仿宋_GB2312"/>
          <w:sz w:val="24"/>
        </w:rPr>
        <w:t>）乙方应严格履行保密义务，不得泄露履行本合同过程中获悉的甲方未公信息，不得将前述信息用于本合同外项目；乙方违反本约定的，应按合同总价款的</w:t>
      </w:r>
      <w:r>
        <w:rPr>
          <w:rFonts w:hint="eastAsia" w:ascii="仿宋_GB2312" w:hAnsi="仿宋_GB2312" w:eastAsia="仿宋_GB2312" w:cs="仿宋_GB2312"/>
          <w:sz w:val="24"/>
          <w:u w:val="none"/>
          <w:lang w:val="en-US" w:eastAsia="zh-CN"/>
        </w:rPr>
        <w:t>30</w:t>
      </w:r>
      <w:r>
        <w:rPr>
          <w:rFonts w:hint="eastAsia" w:ascii="仿宋_GB2312" w:hAnsi="仿宋_GB2312" w:eastAsia="仿宋_GB2312" w:cs="仿宋_GB2312"/>
          <w:sz w:val="24"/>
          <w:u w:val="none"/>
        </w:rPr>
        <w:t>%</w:t>
      </w:r>
      <w:r>
        <w:rPr>
          <w:rFonts w:hint="eastAsia" w:ascii="仿宋_GB2312" w:hAnsi="仿宋_GB2312" w:eastAsia="仿宋_GB2312" w:cs="仿宋_GB2312"/>
          <w:sz w:val="24"/>
        </w:rPr>
        <w:t>向甲方支付违约金，给甲方造成损失的，还应当赔偿甲方全部损失。</w:t>
      </w:r>
    </w:p>
    <w:p w14:paraId="727D0179">
      <w:pPr>
        <w:pStyle w:val="6"/>
        <w:pageBreakBefore w:val="0"/>
        <w:kinsoku/>
        <w:wordWrap/>
        <w:overflowPunct/>
        <w:topLinePunct w:val="0"/>
        <w:autoSpaceDE/>
        <w:autoSpaceDN/>
        <w:bidi w:val="0"/>
        <w:adjustRightInd w:val="0"/>
        <w:snapToGrid w:val="0"/>
        <w:spacing w:line="500" w:lineRule="exact"/>
        <w:ind w:firstLine="482" w:firstLineChars="200"/>
        <w:rPr>
          <w:rFonts w:hint="eastAsia" w:ascii="仿宋_GB2312" w:hAnsi="仿宋_GB2312" w:eastAsia="仿宋_GB2312" w:cs="仿宋_GB2312"/>
          <w:b/>
          <w:sz w:val="24"/>
        </w:rPr>
      </w:pPr>
      <w:r>
        <w:rPr>
          <w:rFonts w:hint="eastAsia" w:ascii="仿宋_GB2312" w:hAnsi="仿宋_GB2312" w:eastAsia="仿宋_GB2312" w:cs="仿宋_GB2312"/>
          <w:b/>
          <w:sz w:val="24"/>
        </w:rPr>
        <w:t>五、合同结算</w:t>
      </w:r>
    </w:p>
    <w:p w14:paraId="11AB317D">
      <w:pPr>
        <w:pageBreakBefore w:val="0"/>
        <w:kinsoku/>
        <w:wordWrap/>
        <w:overflowPunct/>
        <w:topLinePunct w:val="0"/>
        <w:autoSpaceDE/>
        <w:autoSpaceDN/>
        <w:bidi w:val="0"/>
        <w:adjustRightInd w:val="0"/>
        <w:snapToGrid w:val="0"/>
        <w:spacing w:line="500" w:lineRule="exac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（一）支付内容</w:t>
      </w:r>
    </w:p>
    <w:p w14:paraId="314C3E5C">
      <w:pPr>
        <w:pageBreakBefore w:val="0"/>
        <w:kinsoku/>
        <w:wordWrap/>
        <w:overflowPunct/>
        <w:topLinePunct w:val="0"/>
        <w:autoSpaceDE/>
        <w:autoSpaceDN/>
        <w:bidi w:val="0"/>
        <w:adjustRightInd w:val="0"/>
        <w:snapToGrid w:val="0"/>
        <w:spacing w:line="500" w:lineRule="exac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本项目成交总价为</w:t>
      </w:r>
      <w:r>
        <w:rPr>
          <w:rFonts w:hint="eastAsia" w:ascii="仿宋_GB2312" w:hAnsi="仿宋_GB2312" w:eastAsia="仿宋_GB2312" w:cs="仿宋_GB2312"/>
          <w:sz w:val="24"/>
        </w:rPr>
        <w:t>人民币大写：</w:t>
      </w:r>
      <w:r>
        <w:rPr>
          <w:rFonts w:hint="eastAsia" w:ascii="仿宋_GB2312" w:hAnsi="仿宋_GB2312" w:eastAsia="仿宋_GB2312" w:cs="仿宋_GB2312"/>
          <w:sz w:val="24"/>
          <w:u w:val="single"/>
          <w:lang w:val="en-US" w:eastAsia="zh-CN"/>
        </w:rPr>
        <w:t xml:space="preserve">               </w:t>
      </w:r>
      <w:r>
        <w:rPr>
          <w:rFonts w:hint="eastAsia" w:ascii="仿宋_GB2312" w:hAnsi="仿宋_GB2312" w:eastAsia="仿宋_GB2312" w:cs="仿宋_GB2312"/>
          <w:sz w:val="24"/>
        </w:rPr>
        <w:t>，小写：￥</w:t>
      </w:r>
      <w:r>
        <w:rPr>
          <w:rFonts w:hint="eastAsia" w:ascii="仿宋_GB2312" w:hAnsi="仿宋_GB2312" w:eastAsia="仿宋_GB2312" w:cs="仿宋_GB2312"/>
          <w:sz w:val="24"/>
          <w:u w:val="single"/>
          <w:lang w:val="en-US" w:eastAsia="zh-CN"/>
        </w:rPr>
        <w:t xml:space="preserve">            </w:t>
      </w:r>
      <w:r>
        <w:rPr>
          <w:rFonts w:hint="eastAsia" w:ascii="仿宋_GB2312" w:hAnsi="仿宋_GB2312" w:eastAsia="仿宋_GB2312" w:cs="仿宋_GB2312"/>
          <w:sz w:val="24"/>
        </w:rPr>
        <w:t xml:space="preserve">。    </w:t>
      </w:r>
    </w:p>
    <w:p w14:paraId="55060FCF">
      <w:pPr>
        <w:pageBreakBefore w:val="0"/>
        <w:kinsoku/>
        <w:wordWrap/>
        <w:overflowPunct/>
        <w:topLinePunct w:val="0"/>
        <w:autoSpaceDE/>
        <w:autoSpaceDN/>
        <w:bidi w:val="0"/>
        <w:adjustRightInd w:val="0"/>
        <w:snapToGrid w:val="0"/>
        <w:spacing w:line="500" w:lineRule="exac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合同为固定总价，不受市场价变化的影响。上述合同费用已包含乙方为履行本合同全部义务所需的人工费、材料费、交通费、食宿费、税费等所有费用，甲方不再向乙方支付其他任何费用。采取银行转账方式支付。付款前，乙方必须按照甲方要求提供合规的增值税普通发票。</w:t>
      </w:r>
    </w:p>
    <w:p w14:paraId="3E54FD5F">
      <w:pPr>
        <w:pStyle w:val="2"/>
        <w:pageBreakBefore w:val="0"/>
        <w:kinsoku/>
        <w:wordWrap/>
        <w:overflowPunct/>
        <w:topLinePunct w:val="0"/>
        <w:autoSpaceDE/>
        <w:autoSpaceDN/>
        <w:bidi w:val="0"/>
        <w:spacing w:line="500" w:lineRule="exact"/>
        <w:ind w:firstLine="240" w:firstLineChars="100"/>
        <w:rPr>
          <w:rFonts w:hint="default" w:ascii="仿宋_GB2312" w:hAnsi="仿宋_GB2312" w:eastAsia="仿宋_GB2312" w:cs="仿宋_GB2312"/>
          <w:sz w:val="24"/>
          <w:lang w:val="en-US" w:eastAsia="zh-CN"/>
        </w:rPr>
      </w:pPr>
      <w:r>
        <w:rPr>
          <w:rFonts w:hint="eastAsia" w:ascii="仿宋_GB2312" w:hAnsi="仿宋_GB2312" w:eastAsia="仿宋_GB2312" w:cs="仿宋_GB2312"/>
          <w:sz w:val="24"/>
        </w:rPr>
        <w:t>单位名称：</w:t>
      </w:r>
      <w:r>
        <w:rPr>
          <w:rFonts w:hint="eastAsia" w:ascii="仿宋_GB2312" w:hAnsi="仿宋_GB2312" w:eastAsia="仿宋_GB2312" w:cs="仿宋_GB2312"/>
          <w:sz w:val="24"/>
          <w:u w:val="single"/>
          <w:lang w:val="en-US" w:eastAsia="zh-CN"/>
        </w:rPr>
        <w:t xml:space="preserve">                             </w:t>
      </w:r>
    </w:p>
    <w:p w14:paraId="4AC73730">
      <w:pPr>
        <w:pageBreakBefore w:val="0"/>
        <w:kinsoku/>
        <w:wordWrap/>
        <w:overflowPunct/>
        <w:topLinePunct w:val="0"/>
        <w:autoSpaceDE/>
        <w:autoSpaceDN/>
        <w:bidi w:val="0"/>
        <w:adjustRightInd w:val="0"/>
        <w:snapToGrid w:val="0"/>
        <w:spacing w:line="500" w:lineRule="exact"/>
        <w:ind w:firstLine="240" w:firstLineChars="100"/>
        <w:rPr>
          <w:rFonts w:hint="default" w:ascii="仿宋_GB2312" w:hAnsi="仿宋_GB2312" w:eastAsia="仿宋_GB2312" w:cs="仿宋_GB2312"/>
          <w:sz w:val="24"/>
          <w:lang w:val="en-US" w:eastAsia="zh-CN"/>
        </w:rPr>
      </w:pPr>
      <w:r>
        <w:rPr>
          <w:rFonts w:hint="eastAsia" w:ascii="仿宋_GB2312" w:hAnsi="仿宋_GB2312" w:eastAsia="仿宋_GB2312" w:cs="仿宋_GB2312"/>
          <w:sz w:val="24"/>
        </w:rPr>
        <w:t>开 户 行：</w:t>
      </w:r>
      <w:r>
        <w:rPr>
          <w:rFonts w:hint="eastAsia" w:ascii="仿宋_GB2312" w:hAnsi="仿宋_GB2312" w:eastAsia="仿宋_GB2312" w:cs="仿宋_GB2312"/>
          <w:sz w:val="24"/>
          <w:u w:val="single"/>
          <w:lang w:val="en-US" w:eastAsia="zh-CN"/>
        </w:rPr>
        <w:t xml:space="preserve">                             </w:t>
      </w:r>
    </w:p>
    <w:p w14:paraId="3BB7F3C0">
      <w:pPr>
        <w:pageBreakBefore w:val="0"/>
        <w:kinsoku/>
        <w:wordWrap/>
        <w:overflowPunct/>
        <w:topLinePunct w:val="0"/>
        <w:autoSpaceDE/>
        <w:autoSpaceDN/>
        <w:bidi w:val="0"/>
        <w:adjustRightInd w:val="0"/>
        <w:snapToGrid w:val="0"/>
        <w:spacing w:line="500" w:lineRule="exact"/>
        <w:ind w:firstLine="240" w:firstLineChars="100"/>
        <w:rPr>
          <w:rFonts w:hint="default" w:ascii="仿宋_GB2312" w:hAnsi="仿宋_GB2312" w:eastAsia="仿宋_GB2312" w:cs="仿宋_GB2312"/>
          <w:sz w:val="24"/>
          <w:highlight w:val="yellow"/>
          <w:lang w:val="en-US" w:eastAsia="zh-CN"/>
        </w:rPr>
      </w:pPr>
      <w:r>
        <w:rPr>
          <w:rFonts w:hint="eastAsia" w:ascii="仿宋_GB2312" w:hAnsi="仿宋_GB2312" w:eastAsia="仿宋_GB2312" w:cs="仿宋_GB2312"/>
          <w:sz w:val="24"/>
        </w:rPr>
        <w:t>账    号：</w:t>
      </w:r>
      <w:r>
        <w:rPr>
          <w:rFonts w:hint="eastAsia" w:ascii="仿宋_GB2312" w:hAnsi="仿宋_GB2312" w:eastAsia="仿宋_GB2312" w:cs="仿宋_GB2312"/>
          <w:sz w:val="24"/>
          <w:u w:val="single"/>
          <w:lang w:val="en-US" w:eastAsia="zh-CN"/>
        </w:rPr>
        <w:t xml:space="preserve">                             </w:t>
      </w:r>
    </w:p>
    <w:p w14:paraId="12D9C6A1">
      <w:pPr>
        <w:pageBreakBefore w:val="0"/>
        <w:kinsoku/>
        <w:wordWrap/>
        <w:overflowPunct/>
        <w:topLinePunct w:val="0"/>
        <w:autoSpaceDE/>
        <w:autoSpaceDN/>
        <w:bidi w:val="0"/>
        <w:adjustRightInd w:val="0"/>
        <w:snapToGrid w:val="0"/>
        <w:spacing w:line="500" w:lineRule="exac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（二）支付方式：</w:t>
      </w:r>
    </w:p>
    <w:p w14:paraId="6EFEB0FD">
      <w:pPr>
        <w:pageBreakBefore w:val="0"/>
        <w:kinsoku/>
        <w:wordWrap/>
        <w:overflowPunct/>
        <w:topLinePunct w:val="0"/>
        <w:autoSpaceDE/>
        <w:autoSpaceDN/>
        <w:bidi w:val="0"/>
        <w:adjustRightInd w:val="0"/>
        <w:snapToGrid w:val="0"/>
        <w:spacing w:line="50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rPr>
        <w:t>合同签订后，达到付款条件起90日内</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支付合同总金额的40.00%。，</w:t>
      </w:r>
      <w:r>
        <w:rPr>
          <w:rFonts w:hint="eastAsia" w:ascii="仿宋_GB2312" w:hAnsi="仿宋_GB2312" w:eastAsia="仿宋_GB2312" w:cs="仿宋_GB2312"/>
          <w:sz w:val="24"/>
          <w:highlight w:val="none"/>
        </w:rPr>
        <w:t>即大写：</w:t>
      </w:r>
      <w:r>
        <w:rPr>
          <w:rFonts w:hint="eastAsia" w:ascii="仿宋_GB2312" w:hAnsi="仿宋_GB2312" w:eastAsia="仿宋_GB2312" w:cs="仿宋_GB2312"/>
          <w:sz w:val="24"/>
          <w:highlight w:val="none"/>
          <w:u w:val="single"/>
          <w:lang w:val="en-US" w:eastAsia="zh-CN"/>
        </w:rPr>
        <w:t xml:space="preserve">     </w:t>
      </w:r>
      <w:r>
        <w:rPr>
          <w:rFonts w:hint="eastAsia" w:ascii="仿宋_GB2312" w:hAnsi="仿宋_GB2312" w:eastAsia="仿宋_GB2312" w:cs="仿宋_GB2312"/>
          <w:sz w:val="24"/>
          <w:highlight w:val="none"/>
        </w:rPr>
        <w:t>（￥</w:t>
      </w:r>
      <w:r>
        <w:rPr>
          <w:rFonts w:hint="eastAsia" w:ascii="仿宋_GB2312" w:hAnsi="仿宋_GB2312" w:eastAsia="仿宋_GB2312" w:cs="仿宋_GB2312"/>
          <w:sz w:val="24"/>
          <w:highlight w:val="none"/>
          <w:u w:val="single"/>
          <w:lang w:val="en-US" w:eastAsia="zh-CN"/>
        </w:rPr>
        <w:t xml:space="preserve">      </w:t>
      </w:r>
      <w:r>
        <w:rPr>
          <w:rFonts w:hint="eastAsia" w:ascii="仿宋_GB2312" w:hAnsi="仿宋_GB2312" w:eastAsia="仿宋_GB2312" w:cs="仿宋_GB2312"/>
          <w:sz w:val="24"/>
          <w:highlight w:val="none"/>
        </w:rPr>
        <w:t>）。</w:t>
      </w:r>
    </w:p>
    <w:p w14:paraId="07A355F2">
      <w:pPr>
        <w:pageBreakBefore w:val="0"/>
        <w:kinsoku/>
        <w:wordWrap/>
        <w:overflowPunct/>
        <w:topLinePunct w:val="0"/>
        <w:autoSpaceDE/>
        <w:autoSpaceDN/>
        <w:bidi w:val="0"/>
        <w:adjustRightInd w:val="0"/>
        <w:snapToGrid w:val="0"/>
        <w:spacing w:line="50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rPr>
        <w:t>服务期满180日且考核合格后</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达到付款条件起90日内，支付合同总金额的 30.00%。，</w:t>
      </w:r>
      <w:r>
        <w:rPr>
          <w:rFonts w:hint="eastAsia" w:ascii="仿宋_GB2312" w:hAnsi="仿宋_GB2312" w:eastAsia="仿宋_GB2312" w:cs="仿宋_GB2312"/>
          <w:sz w:val="24"/>
          <w:highlight w:val="none"/>
        </w:rPr>
        <w:t>即大写：</w:t>
      </w:r>
      <w:r>
        <w:rPr>
          <w:rFonts w:hint="eastAsia" w:ascii="仿宋_GB2312" w:hAnsi="仿宋_GB2312" w:eastAsia="仿宋_GB2312" w:cs="仿宋_GB2312"/>
          <w:sz w:val="24"/>
          <w:highlight w:val="none"/>
          <w:u w:val="single"/>
          <w:lang w:val="en-US" w:eastAsia="zh-CN"/>
        </w:rPr>
        <w:t xml:space="preserve">         </w:t>
      </w:r>
      <w:r>
        <w:rPr>
          <w:rFonts w:hint="eastAsia" w:ascii="仿宋_GB2312" w:hAnsi="仿宋_GB2312" w:eastAsia="仿宋_GB2312" w:cs="仿宋_GB2312"/>
          <w:sz w:val="24"/>
          <w:highlight w:val="none"/>
        </w:rPr>
        <w:t>（￥</w:t>
      </w:r>
      <w:r>
        <w:rPr>
          <w:rFonts w:hint="eastAsia" w:ascii="仿宋_GB2312" w:hAnsi="仿宋_GB2312" w:eastAsia="仿宋_GB2312" w:cs="仿宋_GB2312"/>
          <w:sz w:val="24"/>
          <w:highlight w:val="none"/>
          <w:u w:val="single"/>
          <w:lang w:val="en-US" w:eastAsia="zh-CN"/>
        </w:rPr>
        <w:t xml:space="preserve">      </w:t>
      </w:r>
      <w:r>
        <w:rPr>
          <w:rFonts w:hint="eastAsia" w:ascii="仿宋_GB2312" w:hAnsi="仿宋_GB2312" w:eastAsia="仿宋_GB2312" w:cs="仿宋_GB2312"/>
          <w:sz w:val="24"/>
          <w:highlight w:val="none"/>
        </w:rPr>
        <w:t>）。</w:t>
      </w:r>
    </w:p>
    <w:p w14:paraId="5EFF0D8A">
      <w:pPr>
        <w:pageBreakBefore w:val="0"/>
        <w:kinsoku/>
        <w:wordWrap/>
        <w:overflowPunct/>
        <w:topLinePunct w:val="0"/>
        <w:autoSpaceDE/>
        <w:autoSpaceDN/>
        <w:bidi w:val="0"/>
        <w:adjustRightInd w:val="0"/>
        <w:snapToGrid w:val="0"/>
        <w:spacing w:line="500" w:lineRule="exac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项目履行完毕且通过考核验收后，达到付款条件起90日内，支付合同总金额的 30.00%，</w:t>
      </w:r>
      <w:r>
        <w:rPr>
          <w:rFonts w:hint="eastAsia" w:ascii="仿宋_GB2312" w:hAnsi="仿宋_GB2312" w:eastAsia="仿宋_GB2312" w:cs="仿宋_GB2312"/>
          <w:sz w:val="24"/>
          <w:highlight w:val="none"/>
        </w:rPr>
        <w:t>即大写：</w:t>
      </w:r>
      <w:r>
        <w:rPr>
          <w:rFonts w:hint="eastAsia" w:ascii="仿宋_GB2312" w:hAnsi="仿宋_GB2312" w:eastAsia="仿宋_GB2312" w:cs="仿宋_GB2312"/>
          <w:sz w:val="24"/>
          <w:highlight w:val="none"/>
          <w:u w:val="single"/>
          <w:lang w:val="en-US" w:eastAsia="zh-CN"/>
        </w:rPr>
        <w:t xml:space="preserve">            </w:t>
      </w:r>
      <w:r>
        <w:rPr>
          <w:rFonts w:hint="eastAsia" w:ascii="仿宋_GB2312" w:hAnsi="仿宋_GB2312" w:eastAsia="仿宋_GB2312" w:cs="仿宋_GB2312"/>
          <w:sz w:val="24"/>
          <w:highlight w:val="none"/>
        </w:rPr>
        <w:t>（￥</w:t>
      </w:r>
      <w:r>
        <w:rPr>
          <w:rFonts w:hint="eastAsia" w:ascii="仿宋_GB2312" w:hAnsi="仿宋_GB2312" w:eastAsia="仿宋_GB2312" w:cs="仿宋_GB2312"/>
          <w:sz w:val="24"/>
          <w:highlight w:val="none"/>
          <w:u w:val="single"/>
          <w:lang w:val="en-US" w:eastAsia="zh-CN"/>
        </w:rPr>
        <w:t xml:space="preserve">        </w:t>
      </w:r>
      <w:r>
        <w:rPr>
          <w:rFonts w:hint="eastAsia" w:ascii="仿宋_GB2312" w:hAnsi="仿宋_GB2312" w:eastAsia="仿宋_GB2312" w:cs="仿宋_GB2312"/>
          <w:sz w:val="24"/>
          <w:highlight w:val="none"/>
        </w:rPr>
        <w:t>）。</w:t>
      </w:r>
    </w:p>
    <w:p w14:paraId="3887A3FC">
      <w:pPr>
        <w:pageBreakBefore w:val="0"/>
        <w:kinsoku/>
        <w:wordWrap/>
        <w:overflowPunct/>
        <w:topLinePunct w:val="0"/>
        <w:autoSpaceDE/>
        <w:autoSpaceDN/>
        <w:bidi w:val="0"/>
        <w:adjustRightInd w:val="0"/>
        <w:snapToGrid w:val="0"/>
        <w:spacing w:line="500" w:lineRule="exac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付款前，乙方应向甲方提供符合要求的发票。</w:t>
      </w:r>
    </w:p>
    <w:p w14:paraId="5DCB6F7C">
      <w:pPr>
        <w:pageBreakBefore w:val="0"/>
        <w:kinsoku/>
        <w:wordWrap/>
        <w:overflowPunct/>
        <w:topLinePunct w:val="0"/>
        <w:autoSpaceDE/>
        <w:autoSpaceDN/>
        <w:bidi w:val="0"/>
        <w:adjustRightInd w:val="0"/>
        <w:snapToGrid w:val="0"/>
        <w:spacing w:line="500" w:lineRule="exact"/>
        <w:ind w:firstLine="482" w:firstLineChars="200"/>
        <w:rPr>
          <w:rFonts w:hint="eastAsia" w:ascii="仿宋_GB2312" w:hAnsi="仿宋_GB2312" w:eastAsia="仿宋_GB2312" w:cs="仿宋_GB2312"/>
          <w:b/>
          <w:sz w:val="24"/>
        </w:rPr>
      </w:pPr>
      <w:r>
        <w:rPr>
          <w:rFonts w:hint="eastAsia" w:ascii="仿宋_GB2312" w:hAnsi="仿宋_GB2312" w:eastAsia="仿宋_GB2312" w:cs="仿宋_GB2312"/>
          <w:b/>
          <w:sz w:val="24"/>
        </w:rPr>
        <w:t>六、治理工艺方法</w:t>
      </w:r>
    </w:p>
    <w:p w14:paraId="4F611FD4">
      <w:pPr>
        <w:pageBreakBefore w:val="0"/>
        <w:kinsoku/>
        <w:wordWrap/>
        <w:overflowPunct/>
        <w:topLinePunct w:val="0"/>
        <w:autoSpaceDE/>
        <w:autoSpaceDN/>
        <w:bidi w:val="0"/>
        <w:adjustRightInd w:val="0"/>
        <w:snapToGrid w:val="0"/>
        <w:spacing w:line="50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乙方采用</w:t>
      </w:r>
      <w:r>
        <w:rPr>
          <w:rFonts w:hint="eastAsia" w:ascii="仿宋_GB2312" w:hAnsi="仿宋_GB2312" w:eastAsia="仿宋_GB2312" w:cs="仿宋_GB2312"/>
          <w:sz w:val="24"/>
          <w:highlight w:val="none"/>
          <w:u w:val="single"/>
          <w:lang w:val="en-US" w:eastAsia="zh-CN"/>
        </w:rPr>
        <w:t xml:space="preserve">             </w:t>
      </w:r>
      <w:r>
        <w:rPr>
          <w:rFonts w:hint="eastAsia" w:ascii="仿宋_GB2312" w:hAnsi="仿宋_GB2312" w:eastAsia="仿宋_GB2312" w:cs="仿宋_GB2312"/>
          <w:sz w:val="24"/>
          <w:highlight w:val="none"/>
          <w:lang w:val="en-US" w:eastAsia="zh-CN"/>
        </w:rPr>
        <w:t>的生态化治理方式进行</w:t>
      </w:r>
      <w:r>
        <w:rPr>
          <w:rFonts w:hint="eastAsia" w:ascii="仿宋_GB2312" w:hAnsi="仿宋_GB2312" w:eastAsia="仿宋_GB2312" w:cs="仿宋_GB2312"/>
          <w:sz w:val="24"/>
          <w:highlight w:val="none"/>
        </w:rPr>
        <w:t>。</w:t>
      </w:r>
    </w:p>
    <w:p w14:paraId="185BE288">
      <w:pPr>
        <w:pageBreakBefore w:val="0"/>
        <w:kinsoku/>
        <w:wordWrap/>
        <w:overflowPunct/>
        <w:topLinePunct w:val="0"/>
        <w:autoSpaceDE/>
        <w:autoSpaceDN/>
        <w:bidi w:val="0"/>
        <w:adjustRightInd w:val="0"/>
        <w:snapToGrid w:val="0"/>
        <w:spacing w:line="500" w:lineRule="exact"/>
        <w:ind w:firstLine="482" w:firstLineChars="200"/>
        <w:rPr>
          <w:rFonts w:hint="eastAsia" w:ascii="仿宋_GB2312" w:hAnsi="仿宋_GB2312" w:eastAsia="仿宋_GB2312" w:cs="仿宋_GB2312"/>
          <w:b/>
          <w:sz w:val="24"/>
        </w:rPr>
      </w:pPr>
      <w:r>
        <w:rPr>
          <w:rFonts w:hint="eastAsia" w:ascii="仿宋_GB2312" w:hAnsi="仿宋_GB2312" w:eastAsia="仿宋_GB2312" w:cs="仿宋_GB2312"/>
          <w:b/>
          <w:sz w:val="24"/>
        </w:rPr>
        <w:t>七、水质要求</w:t>
      </w:r>
    </w:p>
    <w:p w14:paraId="0530117B">
      <w:pPr>
        <w:pageBreakBefore w:val="0"/>
        <w:kinsoku/>
        <w:wordWrap/>
        <w:overflowPunct/>
        <w:topLinePunct w:val="0"/>
        <w:autoSpaceDE/>
        <w:autoSpaceDN/>
        <w:bidi w:val="0"/>
        <w:adjustRightInd w:val="0"/>
        <w:snapToGrid w:val="0"/>
        <w:spacing w:line="500" w:lineRule="exac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水体无异味、颜色无异常，水质标准应符合透明度≥25cm、溶解氧≥2mg/L、氨氮≤15mg/L。</w:t>
      </w:r>
    </w:p>
    <w:p w14:paraId="3C914973">
      <w:pPr>
        <w:pageBreakBefore w:val="0"/>
        <w:kinsoku/>
        <w:wordWrap/>
        <w:overflowPunct/>
        <w:topLinePunct w:val="0"/>
        <w:autoSpaceDE/>
        <w:autoSpaceDN/>
        <w:bidi w:val="0"/>
        <w:adjustRightInd w:val="0"/>
        <w:snapToGrid w:val="0"/>
        <w:spacing w:line="500" w:lineRule="exact"/>
        <w:ind w:firstLine="482" w:firstLineChars="200"/>
        <w:rPr>
          <w:rFonts w:hint="eastAsia" w:ascii="仿宋_GB2312" w:hAnsi="仿宋_GB2312" w:eastAsia="仿宋_GB2312" w:cs="仿宋_GB2312"/>
          <w:b/>
          <w:sz w:val="24"/>
        </w:rPr>
      </w:pPr>
      <w:r>
        <w:rPr>
          <w:rFonts w:hint="eastAsia" w:ascii="仿宋_GB2312" w:hAnsi="仿宋_GB2312" w:eastAsia="仿宋_GB2312" w:cs="仿宋_GB2312"/>
          <w:b/>
          <w:sz w:val="24"/>
        </w:rPr>
        <w:t>八、验收及考核办法</w:t>
      </w:r>
    </w:p>
    <w:p w14:paraId="336E9EF5">
      <w:pPr>
        <w:pageBreakBefore w:val="0"/>
        <w:kinsoku/>
        <w:wordWrap/>
        <w:overflowPunct/>
        <w:topLinePunct w:val="0"/>
        <w:autoSpaceDE/>
        <w:autoSpaceDN/>
        <w:bidi w:val="0"/>
        <w:adjustRightInd w:val="0"/>
        <w:snapToGrid w:val="0"/>
        <w:spacing w:line="500" w:lineRule="exac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1、初次验收：乙方进行施工，施工周期不得超过</w:t>
      </w:r>
      <w:r>
        <w:rPr>
          <w:rFonts w:hint="eastAsia" w:ascii="仿宋_GB2312" w:hAnsi="仿宋_GB2312" w:eastAsia="仿宋_GB2312" w:cs="仿宋_GB2312"/>
          <w:sz w:val="24"/>
          <w:lang w:val="en-US" w:eastAsia="zh-CN"/>
        </w:rPr>
        <w:t>15日</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水质达到采购要求后，向甲方提出验收申请，甲方接到乙方验收申请后组织初次验收（必要时可聘请相应专家或委托相应部门验收）</w:t>
      </w:r>
      <w:r>
        <w:rPr>
          <w:rFonts w:hint="eastAsia" w:ascii="仿宋_GB2312" w:hAnsi="仿宋_GB2312" w:eastAsia="仿宋_GB2312" w:cs="仿宋_GB2312"/>
          <w:sz w:val="24"/>
          <w:highlight w:val="none"/>
        </w:rPr>
        <w:t>，验收合格后，</w:t>
      </w:r>
      <w:r>
        <w:rPr>
          <w:rFonts w:hint="eastAsia" w:ascii="仿宋_GB2312" w:hAnsi="仿宋_GB2312" w:eastAsia="仿宋_GB2312" w:cs="仿宋_GB2312"/>
          <w:strike w:val="0"/>
          <w:dstrike w:val="0"/>
          <w:sz w:val="24"/>
          <w:highlight w:val="none"/>
          <w:lang w:val="en-US" w:eastAsia="zh-CN"/>
        </w:rPr>
        <w:t>出具初次验收合格证明</w:t>
      </w:r>
      <w:r>
        <w:rPr>
          <w:rFonts w:hint="eastAsia" w:ascii="仿宋_GB2312" w:hAnsi="仿宋_GB2312" w:eastAsia="仿宋_GB2312" w:cs="仿宋_GB2312"/>
          <w:strike w:val="0"/>
          <w:dstrike w:val="0"/>
          <w:sz w:val="24"/>
          <w:highlight w:val="none"/>
        </w:rPr>
        <w:t>，</w:t>
      </w:r>
      <w:r>
        <w:rPr>
          <w:rFonts w:hint="eastAsia" w:ascii="仿宋_GB2312" w:hAnsi="仿宋_GB2312" w:eastAsia="仿宋_GB2312" w:cs="仿宋_GB2312"/>
          <w:sz w:val="24"/>
          <w:highlight w:val="none"/>
        </w:rPr>
        <w:t>开始</w:t>
      </w:r>
      <w:r>
        <w:rPr>
          <w:rFonts w:hint="eastAsia" w:ascii="仿宋_GB2312" w:hAnsi="仿宋_GB2312" w:eastAsia="仿宋_GB2312" w:cs="仿宋_GB2312"/>
          <w:sz w:val="24"/>
        </w:rPr>
        <w:t>起算服务期。</w:t>
      </w:r>
    </w:p>
    <w:p w14:paraId="78A7F003">
      <w:pPr>
        <w:pageBreakBefore w:val="0"/>
        <w:kinsoku/>
        <w:wordWrap/>
        <w:overflowPunct/>
        <w:topLinePunct w:val="0"/>
        <w:autoSpaceDE/>
        <w:autoSpaceDN/>
        <w:bidi w:val="0"/>
        <w:adjustRightInd w:val="0"/>
        <w:snapToGrid w:val="0"/>
        <w:spacing w:line="500" w:lineRule="exact"/>
        <w:ind w:firstLine="480" w:firstLineChars="200"/>
        <w:rPr>
          <w:rFonts w:hint="eastAsia" w:ascii="仿宋_GB2312" w:hAnsi="仿宋_GB2312" w:eastAsia="仿宋_GB2312" w:cs="仿宋_GB2312"/>
          <w:sz w:val="24"/>
          <w:highlight w:val="none"/>
          <w:lang w:eastAsia="zh-CN"/>
        </w:rPr>
      </w:pPr>
      <w:r>
        <w:rPr>
          <w:rFonts w:hint="eastAsia" w:ascii="仿宋_GB2312" w:hAnsi="仿宋_GB2312" w:eastAsia="仿宋_GB2312" w:cs="仿宋_GB2312"/>
          <w:sz w:val="24"/>
          <w:highlight w:val="none"/>
        </w:rPr>
        <w:t>2、</w:t>
      </w:r>
      <w:r>
        <w:rPr>
          <w:rFonts w:hint="eastAsia" w:ascii="仿宋_GB2312" w:hAnsi="仿宋" w:eastAsia="仿宋_GB2312"/>
          <w:sz w:val="24"/>
          <w:highlight w:val="none"/>
        </w:rPr>
        <w:t>考核：初次验收合格后，服务期内甲方至少每季度对治理情况开展一次不定期检查，每半年至少对涝池进行一次考核并对水质开展一次监测，可采取且不限于现场检查、问卷调查等方式进行判定，水质监测标准应达到合同第七条约定的水质要求。服务期达到180日和365日，乙方向甲方提出申请，甲方接到乙方申请后组织考核（必要时可聘请相应专家或委托相应部门考核），考核合格后，出具考核合格证明，考核结果作为付款依据。</w:t>
      </w:r>
    </w:p>
    <w:p w14:paraId="2FCE97BB">
      <w:pPr>
        <w:pageBreakBefore w:val="0"/>
        <w:kinsoku/>
        <w:wordWrap/>
        <w:overflowPunct/>
        <w:topLinePunct w:val="0"/>
        <w:autoSpaceDE/>
        <w:autoSpaceDN/>
        <w:bidi w:val="0"/>
        <w:adjustRightInd w:val="0"/>
        <w:snapToGrid w:val="0"/>
        <w:spacing w:line="500" w:lineRule="exact"/>
        <w:ind w:firstLine="480" w:firstLineChars="200"/>
        <w:rPr>
          <w:rFonts w:hint="eastAsia" w:ascii="仿宋_GB2312" w:hAnsi="仿宋_GB2312" w:eastAsia="仿宋_GB2312" w:cs="仿宋_GB2312"/>
        </w:rPr>
      </w:pPr>
      <w:r>
        <w:rPr>
          <w:rFonts w:hint="eastAsia" w:ascii="仿宋_GB2312" w:hAnsi="仿宋_GB2312" w:eastAsia="仿宋_GB2312" w:cs="仿宋_GB2312"/>
          <w:sz w:val="24"/>
        </w:rPr>
        <w:t>3</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综合验收：项目履行完毕</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服务期满且完成本合同服务内容，</w:t>
      </w:r>
      <w:r>
        <w:rPr>
          <w:rFonts w:hint="eastAsia" w:ascii="仿宋_GB2312" w:hAnsi="仿宋_GB2312" w:eastAsia="仿宋_GB2312" w:cs="仿宋_GB2312"/>
          <w:sz w:val="24"/>
          <w:lang w:val="en-US" w:eastAsia="zh-CN"/>
        </w:rPr>
        <w:t>乙方</w:t>
      </w:r>
      <w:r>
        <w:rPr>
          <w:rFonts w:hint="eastAsia" w:ascii="仿宋_GB2312" w:hAnsi="仿宋_GB2312" w:eastAsia="仿宋_GB2312" w:cs="仿宋_GB2312"/>
          <w:sz w:val="24"/>
        </w:rPr>
        <w:t>向</w:t>
      </w:r>
      <w:r>
        <w:rPr>
          <w:rFonts w:hint="eastAsia" w:ascii="仿宋_GB2312" w:hAnsi="仿宋_GB2312" w:eastAsia="仿宋_GB2312" w:cs="仿宋_GB2312"/>
          <w:sz w:val="24"/>
          <w:lang w:val="en-US" w:eastAsia="zh-CN"/>
        </w:rPr>
        <w:t>甲方</w:t>
      </w:r>
      <w:r>
        <w:rPr>
          <w:rFonts w:hint="eastAsia" w:ascii="仿宋_GB2312" w:hAnsi="仿宋_GB2312" w:eastAsia="仿宋_GB2312" w:cs="仿宋_GB2312"/>
          <w:sz w:val="24"/>
        </w:rPr>
        <w:t>提出</w:t>
      </w:r>
      <w:r>
        <w:rPr>
          <w:rFonts w:hint="eastAsia" w:ascii="仿宋_GB2312" w:hAnsi="仿宋_GB2312" w:eastAsia="仿宋_GB2312" w:cs="仿宋_GB2312"/>
          <w:sz w:val="24"/>
          <w:lang w:eastAsia="zh-CN"/>
        </w:rPr>
        <w:t>验收</w:t>
      </w:r>
      <w:r>
        <w:rPr>
          <w:rFonts w:hint="eastAsia" w:ascii="仿宋_GB2312" w:hAnsi="仿宋_GB2312" w:eastAsia="仿宋_GB2312" w:cs="仿宋_GB2312"/>
          <w:sz w:val="24"/>
        </w:rPr>
        <w:t>申请，</w:t>
      </w:r>
      <w:r>
        <w:rPr>
          <w:rFonts w:hint="eastAsia" w:ascii="仿宋_GB2312" w:hAnsi="仿宋_GB2312" w:eastAsia="仿宋_GB2312" w:cs="仿宋_GB2312"/>
          <w:sz w:val="24"/>
          <w:lang w:val="en-US" w:eastAsia="zh-CN"/>
        </w:rPr>
        <w:t>甲方</w:t>
      </w:r>
      <w:r>
        <w:rPr>
          <w:rFonts w:hint="eastAsia" w:ascii="仿宋_GB2312" w:hAnsi="仿宋_GB2312" w:eastAsia="仿宋_GB2312" w:cs="仿宋_GB2312"/>
          <w:sz w:val="24"/>
        </w:rPr>
        <w:t>接到</w:t>
      </w:r>
      <w:r>
        <w:rPr>
          <w:rFonts w:hint="eastAsia" w:ascii="仿宋_GB2312" w:hAnsi="仿宋_GB2312" w:eastAsia="仿宋_GB2312" w:cs="仿宋_GB2312"/>
          <w:sz w:val="24"/>
          <w:lang w:val="en-US" w:eastAsia="zh-CN"/>
        </w:rPr>
        <w:t>乙方</w:t>
      </w:r>
      <w:r>
        <w:rPr>
          <w:rFonts w:hint="eastAsia" w:ascii="仿宋_GB2312" w:hAnsi="仿宋_GB2312" w:eastAsia="仿宋_GB2312" w:cs="仿宋_GB2312"/>
          <w:sz w:val="24"/>
        </w:rPr>
        <w:t>验收申请后组织综合验收（必要时可聘请相应专家或委托相应部门验收），验收合格后，出具</w:t>
      </w:r>
      <w:r>
        <w:rPr>
          <w:rFonts w:hint="eastAsia" w:ascii="仿宋_GB2312" w:hAnsi="仿宋_GB2312" w:eastAsia="仿宋_GB2312" w:cs="仿宋_GB2312"/>
          <w:sz w:val="24"/>
          <w:lang w:eastAsia="zh-CN"/>
        </w:rPr>
        <w:t>综合</w:t>
      </w:r>
      <w:r>
        <w:rPr>
          <w:rFonts w:hint="eastAsia" w:ascii="仿宋_GB2312" w:hAnsi="仿宋_GB2312" w:eastAsia="仿宋_GB2312" w:cs="仿宋_GB2312"/>
          <w:sz w:val="24"/>
        </w:rPr>
        <w:t>验收合格证明，验收结果作为付款依据。</w:t>
      </w:r>
    </w:p>
    <w:p w14:paraId="4A322FAD">
      <w:pPr>
        <w:pageBreakBefore w:val="0"/>
        <w:kinsoku/>
        <w:wordWrap/>
        <w:overflowPunct/>
        <w:topLinePunct w:val="0"/>
        <w:autoSpaceDE/>
        <w:autoSpaceDN/>
        <w:bidi w:val="0"/>
        <w:adjustRightInd w:val="0"/>
        <w:snapToGrid w:val="0"/>
        <w:spacing w:line="500" w:lineRule="exact"/>
        <w:ind w:firstLine="482" w:firstLineChars="200"/>
        <w:rPr>
          <w:rFonts w:hint="eastAsia" w:ascii="仿宋_GB2312" w:hAnsi="仿宋_GB2312" w:eastAsia="仿宋_GB2312" w:cs="仿宋_GB2312"/>
        </w:rPr>
      </w:pPr>
      <w:r>
        <w:rPr>
          <w:rFonts w:hint="eastAsia" w:ascii="仿宋_GB2312" w:hAnsi="仿宋_GB2312" w:eastAsia="仿宋_GB2312" w:cs="仿宋_GB2312"/>
          <w:b/>
          <w:sz w:val="24"/>
        </w:rPr>
        <w:t xml:space="preserve">九、考核问题处理 </w:t>
      </w:r>
      <w:bookmarkStart w:id="0" w:name="_GoBack"/>
      <w:bookmarkEnd w:id="0"/>
    </w:p>
    <w:p w14:paraId="2DB811D1">
      <w:pPr>
        <w:pageBreakBefore w:val="0"/>
        <w:kinsoku/>
        <w:wordWrap/>
        <w:overflowPunct/>
        <w:topLinePunct w:val="0"/>
        <w:autoSpaceDE/>
        <w:autoSpaceDN/>
        <w:bidi w:val="0"/>
        <w:adjustRightInd w:val="0"/>
        <w:snapToGrid w:val="0"/>
        <w:spacing w:line="500" w:lineRule="exac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服务期内若日常检查中出现水体异味、颜色异常，水质监测不合格等情况（乙方日常巡查中发现有外源污染请于当日内立即通知甲方并留有影像资料，由此造成的水质不达标可不纳入考核），甲方有权要求乙方立即进行整改，同时服务期顺延一个月。</w:t>
      </w:r>
    </w:p>
    <w:p w14:paraId="759F1548">
      <w:pPr>
        <w:pageBreakBefore w:val="0"/>
        <w:kinsoku/>
        <w:wordWrap/>
        <w:overflowPunct/>
        <w:topLinePunct w:val="0"/>
        <w:autoSpaceDE/>
        <w:autoSpaceDN/>
        <w:bidi w:val="0"/>
        <w:adjustRightInd w:val="0"/>
        <w:snapToGrid w:val="0"/>
        <w:spacing w:line="500" w:lineRule="exac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服务期内若出现群众举报、投诉、媒体曝光等问题（乙方日常巡查中发现有外源污染请于当日内立即通知甲方并留有影像资料，由此造成的水质不达标可不纳入考核），对甲方造成负面影响的，甲方有权要求乙方立即进行整改，同时服务期顺延一个月。</w:t>
      </w:r>
    </w:p>
    <w:p w14:paraId="5A23CBA4">
      <w:pPr>
        <w:pageBreakBefore w:val="0"/>
        <w:kinsoku/>
        <w:wordWrap/>
        <w:overflowPunct/>
        <w:topLinePunct w:val="0"/>
        <w:autoSpaceDE/>
        <w:autoSpaceDN/>
        <w:bidi w:val="0"/>
        <w:adjustRightInd w:val="0"/>
        <w:snapToGrid w:val="0"/>
        <w:spacing w:line="500" w:lineRule="exac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3、如果因治理原因出现对当地生态环境造成负面影响问题，甲方有权要求乙方立即采取补救措施，同时服务期顺延一个月。</w:t>
      </w:r>
    </w:p>
    <w:p w14:paraId="0C6E5983">
      <w:pPr>
        <w:pStyle w:val="2"/>
        <w:pageBreakBefore w:val="0"/>
        <w:kinsoku/>
        <w:wordWrap/>
        <w:overflowPunct/>
        <w:topLinePunct w:val="0"/>
        <w:autoSpaceDE/>
        <w:autoSpaceDN/>
        <w:bidi w:val="0"/>
        <w:spacing w:line="500" w:lineRule="exact"/>
        <w:ind w:firstLine="480"/>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以上第1项如累计超过三次，第2、3项如第二次出现同类情况的，甲方有权依据《中华人民共和国民法典》有关条款及合同约定终止合同，乙方应向甲方支付本合同总金额5%的违约金，并承担由此给甲方造成的全部损失，违约金不足以弥补损失的，还应赔偿全部损失，并且甲方有权从未支付的款项中予以扣除。</w:t>
      </w:r>
    </w:p>
    <w:p w14:paraId="69D08BF1">
      <w:pPr>
        <w:pageBreakBefore w:val="0"/>
        <w:kinsoku/>
        <w:wordWrap/>
        <w:overflowPunct/>
        <w:topLinePunct w:val="0"/>
        <w:autoSpaceDE/>
        <w:autoSpaceDN/>
        <w:bidi w:val="0"/>
        <w:adjustRightInd w:val="0"/>
        <w:snapToGrid w:val="0"/>
        <w:spacing w:line="500" w:lineRule="exact"/>
        <w:ind w:firstLine="482" w:firstLineChars="200"/>
        <w:rPr>
          <w:rFonts w:hint="eastAsia" w:ascii="仿宋_GB2312" w:hAnsi="仿宋_GB2312" w:eastAsia="仿宋_GB2312" w:cs="仿宋_GB2312"/>
          <w:b/>
          <w:sz w:val="24"/>
        </w:rPr>
      </w:pPr>
      <w:r>
        <w:rPr>
          <w:rFonts w:hint="eastAsia" w:ascii="仿宋_GB2312" w:hAnsi="仿宋_GB2312" w:eastAsia="仿宋_GB2312" w:cs="仿宋_GB2312"/>
          <w:b/>
          <w:sz w:val="24"/>
        </w:rPr>
        <w:t xml:space="preserve">十、约定不明情形下的处理 </w:t>
      </w:r>
    </w:p>
    <w:p w14:paraId="4B0DC3D6">
      <w:pPr>
        <w:pageBreakBefore w:val="0"/>
        <w:kinsoku/>
        <w:wordWrap/>
        <w:overflowPunct/>
        <w:topLinePunct w:val="0"/>
        <w:autoSpaceDE/>
        <w:autoSpaceDN/>
        <w:bidi w:val="0"/>
        <w:adjustRightInd w:val="0"/>
        <w:snapToGrid w:val="0"/>
        <w:spacing w:line="500" w:lineRule="exac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本合同旨在明确甲乙双方必须信守的基本原则。按照本合同的原则，发生约定不明情形的，双方在不违背本合同的基础上，根据实际经协商达成一致可另行订立协议实施执行。</w:t>
      </w:r>
    </w:p>
    <w:p w14:paraId="0614BA56">
      <w:pPr>
        <w:pageBreakBefore w:val="0"/>
        <w:kinsoku/>
        <w:wordWrap/>
        <w:overflowPunct/>
        <w:topLinePunct w:val="0"/>
        <w:autoSpaceDE/>
        <w:autoSpaceDN/>
        <w:bidi w:val="0"/>
        <w:adjustRightInd w:val="0"/>
        <w:snapToGrid w:val="0"/>
        <w:spacing w:line="500" w:lineRule="exact"/>
        <w:ind w:firstLine="482" w:firstLineChars="200"/>
        <w:rPr>
          <w:rFonts w:hint="eastAsia" w:ascii="仿宋_GB2312" w:hAnsi="仿宋_GB2312" w:eastAsia="仿宋_GB2312" w:cs="仿宋_GB2312"/>
          <w:b/>
          <w:sz w:val="24"/>
        </w:rPr>
      </w:pPr>
      <w:r>
        <w:rPr>
          <w:rFonts w:hint="eastAsia" w:ascii="仿宋_GB2312" w:hAnsi="仿宋_GB2312" w:eastAsia="仿宋_GB2312" w:cs="仿宋_GB2312"/>
          <w:b/>
          <w:sz w:val="24"/>
        </w:rPr>
        <w:t>十一、争议解决办法</w:t>
      </w:r>
    </w:p>
    <w:p w14:paraId="311FDF83">
      <w:pPr>
        <w:pageBreakBefore w:val="0"/>
        <w:kinsoku/>
        <w:wordWrap/>
        <w:overflowPunct/>
        <w:topLinePunct w:val="0"/>
        <w:autoSpaceDE/>
        <w:autoSpaceDN/>
        <w:bidi w:val="0"/>
        <w:adjustRightInd w:val="0"/>
        <w:snapToGrid w:val="0"/>
        <w:spacing w:line="500" w:lineRule="exac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凡因本合同引起的或与本合同有关的争议，双方应友好协商解决。协商不成时，向甲方所在地人民法院提起诉讼。</w:t>
      </w:r>
    </w:p>
    <w:p w14:paraId="1B9A7168">
      <w:pPr>
        <w:pageBreakBefore w:val="0"/>
        <w:kinsoku/>
        <w:wordWrap/>
        <w:overflowPunct/>
        <w:topLinePunct w:val="0"/>
        <w:autoSpaceDE/>
        <w:autoSpaceDN/>
        <w:bidi w:val="0"/>
        <w:adjustRightInd w:val="0"/>
        <w:snapToGrid w:val="0"/>
        <w:spacing w:line="500" w:lineRule="exact"/>
        <w:ind w:firstLine="482" w:firstLineChars="200"/>
        <w:rPr>
          <w:rFonts w:hint="eastAsia" w:ascii="仿宋_GB2312" w:hAnsi="仿宋_GB2312" w:eastAsia="仿宋_GB2312" w:cs="仿宋_GB2312"/>
          <w:b/>
          <w:sz w:val="24"/>
        </w:rPr>
      </w:pPr>
      <w:r>
        <w:rPr>
          <w:rFonts w:hint="eastAsia" w:ascii="仿宋_GB2312" w:hAnsi="仿宋_GB2312" w:eastAsia="仿宋_GB2312" w:cs="仿宋_GB2312"/>
          <w:b/>
          <w:sz w:val="24"/>
        </w:rPr>
        <w:t>十二、文书送达条款</w:t>
      </w:r>
    </w:p>
    <w:p w14:paraId="40E76E14">
      <w:pPr>
        <w:pageBreakBefore w:val="0"/>
        <w:kinsoku/>
        <w:wordWrap/>
        <w:overflowPunct/>
        <w:topLinePunct w:val="0"/>
        <w:autoSpaceDE/>
        <w:autoSpaceDN/>
        <w:bidi w:val="0"/>
        <w:adjustRightInd w:val="0"/>
        <w:snapToGrid w:val="0"/>
        <w:spacing w:line="500" w:lineRule="exac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本合同签章处的地址适用于双方往来联系、书面文件送达及争议解决时法律文书送达。一方变更送达地址信息的，应当在变更后3日内及时书面通知对方</w:t>
      </w:r>
      <w:r>
        <w:rPr>
          <w:rFonts w:hint="eastAsia" w:ascii="仿宋_GB2312" w:hAnsi="仿宋_GB2312" w:eastAsia="仿宋_GB2312" w:cs="仿宋_GB2312"/>
          <w:sz w:val="24"/>
          <w:lang w:eastAsia="zh-Hans"/>
        </w:rPr>
        <w:t>或司法机关</w:t>
      </w:r>
      <w:r>
        <w:rPr>
          <w:rFonts w:hint="eastAsia" w:ascii="仿宋_GB2312" w:hAnsi="仿宋_GB2312" w:eastAsia="仿宋_GB2312" w:cs="仿宋_GB2312"/>
          <w:sz w:val="24"/>
        </w:rPr>
        <w:t>，因联系方式和联系信息错误</w:t>
      </w:r>
      <w:r>
        <w:rPr>
          <w:rFonts w:hint="eastAsia" w:ascii="仿宋_GB2312" w:hAnsi="仿宋_GB2312" w:eastAsia="仿宋_GB2312" w:cs="仿宋_GB2312"/>
          <w:sz w:val="24"/>
          <w:lang w:eastAsia="zh-Hans"/>
        </w:rPr>
        <w:t>或变更后未按时通知、</w:t>
      </w:r>
      <w:r>
        <w:rPr>
          <w:rFonts w:hint="eastAsia" w:ascii="仿宋_GB2312" w:hAnsi="仿宋_GB2312" w:eastAsia="仿宋_GB2312" w:cs="仿宋_GB2312"/>
          <w:sz w:val="24"/>
        </w:rPr>
        <w:t>或指定的接收人拒绝签收等原因导致</w:t>
      </w:r>
      <w:r>
        <w:rPr>
          <w:rFonts w:hint="eastAsia" w:ascii="仿宋_GB2312" w:hAnsi="仿宋_GB2312" w:eastAsia="仿宋_GB2312" w:cs="仿宋_GB2312"/>
          <w:sz w:val="24"/>
          <w:lang w:eastAsia="zh-Hans"/>
        </w:rPr>
        <w:t>往来函件、法律</w:t>
      </w:r>
      <w:r>
        <w:rPr>
          <w:rFonts w:hint="eastAsia" w:ascii="仿宋_GB2312" w:hAnsi="仿宋_GB2312" w:eastAsia="仿宋_GB2312" w:cs="仿宋_GB2312"/>
          <w:sz w:val="24"/>
        </w:rPr>
        <w:t>文书未能被</w:t>
      </w:r>
      <w:r>
        <w:rPr>
          <w:rFonts w:hint="eastAsia" w:ascii="仿宋_GB2312" w:hAnsi="仿宋_GB2312" w:eastAsia="仿宋_GB2312" w:cs="仿宋_GB2312"/>
          <w:sz w:val="24"/>
          <w:lang w:eastAsia="zh-Hans"/>
        </w:rPr>
        <w:t>对方</w:t>
      </w:r>
      <w:r>
        <w:rPr>
          <w:rFonts w:hint="eastAsia" w:ascii="仿宋_GB2312" w:hAnsi="仿宋_GB2312" w:eastAsia="仿宋_GB2312" w:cs="仿宋_GB2312"/>
          <w:sz w:val="24"/>
        </w:rPr>
        <w:t>实际接收</w:t>
      </w:r>
      <w:r>
        <w:rPr>
          <w:rFonts w:hint="eastAsia" w:ascii="仿宋_GB2312" w:hAnsi="仿宋_GB2312" w:eastAsia="仿宋_GB2312" w:cs="仿宋_GB2312"/>
          <w:sz w:val="24"/>
          <w:lang w:eastAsia="zh-Hans"/>
        </w:rPr>
        <w:t>的，</w:t>
      </w:r>
      <w:r>
        <w:rPr>
          <w:rFonts w:hint="eastAsia" w:ascii="仿宋_GB2312" w:hAnsi="仿宋_GB2312" w:eastAsia="仿宋_GB2312" w:cs="仿宋_GB2312"/>
          <w:sz w:val="24"/>
        </w:rPr>
        <w:t>以文书退回之日或交邮后第7日视为送达</w:t>
      </w:r>
      <w:r>
        <w:rPr>
          <w:rFonts w:hint="eastAsia" w:ascii="仿宋_GB2312" w:hAnsi="仿宋_GB2312" w:eastAsia="仿宋_GB2312" w:cs="仿宋_GB2312"/>
          <w:sz w:val="24"/>
          <w:lang w:eastAsia="zh-Hans"/>
        </w:rPr>
        <w:t>。</w:t>
      </w:r>
    </w:p>
    <w:p w14:paraId="1ED2AC24">
      <w:pPr>
        <w:pageBreakBefore w:val="0"/>
        <w:kinsoku/>
        <w:wordWrap/>
        <w:overflowPunct/>
        <w:topLinePunct w:val="0"/>
        <w:autoSpaceDE/>
        <w:autoSpaceDN/>
        <w:bidi w:val="0"/>
        <w:adjustRightInd w:val="0"/>
        <w:snapToGrid w:val="0"/>
        <w:spacing w:line="500" w:lineRule="exact"/>
        <w:ind w:firstLine="482" w:firstLineChars="200"/>
        <w:rPr>
          <w:rFonts w:hint="eastAsia" w:ascii="仿宋_GB2312" w:hAnsi="仿宋_GB2312" w:eastAsia="仿宋_GB2312" w:cs="仿宋_GB2312"/>
          <w:b/>
          <w:sz w:val="24"/>
        </w:rPr>
      </w:pPr>
      <w:r>
        <w:rPr>
          <w:rFonts w:hint="eastAsia" w:ascii="仿宋_GB2312" w:hAnsi="仿宋_GB2312" w:eastAsia="仿宋_GB2312" w:cs="仿宋_GB2312"/>
          <w:b/>
          <w:sz w:val="24"/>
        </w:rPr>
        <w:t>十三、生效</w:t>
      </w:r>
    </w:p>
    <w:p w14:paraId="2E697490">
      <w:pPr>
        <w:pageBreakBefore w:val="0"/>
        <w:kinsoku/>
        <w:wordWrap/>
        <w:overflowPunct/>
        <w:topLinePunct w:val="0"/>
        <w:autoSpaceDE/>
        <w:autoSpaceDN/>
        <w:bidi w:val="0"/>
        <w:adjustRightInd w:val="0"/>
        <w:snapToGrid w:val="0"/>
        <w:spacing w:line="500" w:lineRule="exac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（一）合同未尽事宜、由甲、乙双方协商，作为合同补充，与原合同具有同等法律效力。</w:t>
      </w:r>
    </w:p>
    <w:p w14:paraId="1D89FEE6">
      <w:pPr>
        <w:pageBreakBefore w:val="0"/>
        <w:kinsoku/>
        <w:wordWrap/>
        <w:overflowPunct/>
        <w:topLinePunct w:val="0"/>
        <w:autoSpaceDE/>
        <w:autoSpaceDN/>
        <w:bidi w:val="0"/>
        <w:adjustRightInd w:val="0"/>
        <w:snapToGrid w:val="0"/>
        <w:spacing w:line="500" w:lineRule="exac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（二）合同正本一式</w:t>
      </w:r>
      <w:r>
        <w:rPr>
          <w:rFonts w:hint="eastAsia" w:ascii="仿宋_GB2312" w:hAnsi="仿宋_GB2312" w:eastAsia="仿宋_GB2312" w:cs="仿宋_GB2312"/>
          <w:sz w:val="24"/>
          <w:u w:val="single"/>
          <w:lang w:val="en-US" w:eastAsia="zh-CN"/>
        </w:rPr>
        <w:t xml:space="preserve">    </w:t>
      </w:r>
      <w:r>
        <w:rPr>
          <w:rFonts w:hint="eastAsia" w:ascii="仿宋_GB2312" w:hAnsi="仿宋_GB2312" w:eastAsia="仿宋_GB2312" w:cs="仿宋_GB2312"/>
          <w:sz w:val="24"/>
        </w:rPr>
        <w:t>份，甲方</w:t>
      </w:r>
      <w:r>
        <w:rPr>
          <w:rFonts w:hint="eastAsia" w:ascii="仿宋_GB2312" w:hAnsi="仿宋_GB2312" w:eastAsia="仿宋_GB2312" w:cs="仿宋_GB2312"/>
          <w:sz w:val="24"/>
          <w:u w:val="single"/>
          <w:lang w:val="en-US" w:eastAsia="zh-CN"/>
        </w:rPr>
        <w:t xml:space="preserve">    </w:t>
      </w:r>
      <w:r>
        <w:rPr>
          <w:rFonts w:hint="eastAsia" w:ascii="仿宋_GB2312" w:hAnsi="仿宋_GB2312" w:eastAsia="仿宋_GB2312" w:cs="仿宋_GB2312"/>
          <w:sz w:val="24"/>
        </w:rPr>
        <w:t>份、乙方执</w:t>
      </w:r>
      <w:r>
        <w:rPr>
          <w:rFonts w:hint="eastAsia" w:ascii="仿宋_GB2312" w:hAnsi="仿宋_GB2312" w:eastAsia="仿宋_GB2312" w:cs="仿宋_GB2312"/>
          <w:sz w:val="24"/>
          <w:u w:val="single"/>
          <w:lang w:val="en-US" w:eastAsia="zh-CN"/>
        </w:rPr>
        <w:t xml:space="preserve">    </w:t>
      </w:r>
      <w:r>
        <w:rPr>
          <w:rFonts w:hint="eastAsia" w:ascii="仿宋_GB2312" w:hAnsi="仿宋_GB2312" w:eastAsia="仿宋_GB2312" w:cs="仿宋_GB2312"/>
          <w:sz w:val="24"/>
        </w:rPr>
        <w:t>份。</w:t>
      </w:r>
    </w:p>
    <w:p w14:paraId="5238FAD2">
      <w:pPr>
        <w:pageBreakBefore w:val="0"/>
        <w:kinsoku/>
        <w:wordWrap/>
        <w:overflowPunct/>
        <w:topLinePunct w:val="0"/>
        <w:autoSpaceDE/>
        <w:autoSpaceDN/>
        <w:bidi w:val="0"/>
        <w:adjustRightInd w:val="0"/>
        <w:snapToGrid w:val="0"/>
        <w:spacing w:line="500" w:lineRule="exac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（三）合同经甲乙双方签字并盖章后生效。</w:t>
      </w:r>
    </w:p>
    <w:p w14:paraId="1E4DC1B5">
      <w:pPr>
        <w:pageBreakBefore w:val="0"/>
        <w:kinsoku/>
        <w:wordWrap/>
        <w:overflowPunct/>
        <w:topLinePunct w:val="0"/>
        <w:autoSpaceDE/>
        <w:autoSpaceDN/>
        <w:bidi w:val="0"/>
        <w:adjustRightInd w:val="0"/>
        <w:snapToGrid w:val="0"/>
        <w:spacing w:line="500" w:lineRule="exac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（四）合同签订地点为</w:t>
      </w:r>
      <w:r>
        <w:rPr>
          <w:rFonts w:hint="eastAsia" w:ascii="仿宋_GB2312" w:hAnsi="仿宋_GB2312" w:eastAsia="仿宋_GB2312" w:cs="仿宋_GB2312"/>
          <w:sz w:val="24"/>
          <w:u w:val="single"/>
          <w:lang w:val="en-US" w:eastAsia="zh-CN"/>
        </w:rPr>
        <w:t xml:space="preserve">             </w:t>
      </w:r>
      <w:r>
        <w:rPr>
          <w:rFonts w:hint="eastAsia" w:ascii="仿宋_GB2312" w:hAnsi="仿宋_GB2312" w:eastAsia="仿宋_GB2312" w:cs="仿宋_GB2312"/>
          <w:sz w:val="24"/>
        </w:rPr>
        <w:t>。</w:t>
      </w:r>
    </w:p>
    <w:p w14:paraId="3A32E4A3">
      <w:pPr>
        <w:pageBreakBefore w:val="0"/>
        <w:kinsoku/>
        <w:wordWrap/>
        <w:overflowPunct/>
        <w:topLinePunct w:val="0"/>
        <w:autoSpaceDE/>
        <w:autoSpaceDN/>
        <w:bidi w:val="0"/>
        <w:adjustRightInd w:val="0"/>
        <w:snapToGrid w:val="0"/>
        <w:spacing w:line="500" w:lineRule="exact"/>
        <w:ind w:firstLine="482" w:firstLineChars="200"/>
        <w:rPr>
          <w:rFonts w:hint="eastAsia" w:ascii="仿宋_GB2312" w:hAnsi="仿宋_GB2312" w:eastAsia="仿宋_GB2312" w:cs="仿宋_GB2312"/>
          <w:b/>
          <w:sz w:val="24"/>
        </w:rPr>
      </w:pPr>
      <w:r>
        <w:rPr>
          <w:rFonts w:hint="eastAsia" w:ascii="仿宋_GB2312" w:hAnsi="仿宋_GB2312" w:eastAsia="仿宋_GB2312" w:cs="仿宋_GB2312"/>
          <w:b/>
          <w:sz w:val="24"/>
        </w:rPr>
        <w:t>十四、其他</w:t>
      </w:r>
    </w:p>
    <w:p w14:paraId="01916E13">
      <w:pPr>
        <w:pageBreakBefore w:val="0"/>
        <w:kinsoku/>
        <w:wordWrap/>
        <w:overflowPunct/>
        <w:topLinePunct w:val="0"/>
        <w:autoSpaceDE/>
        <w:autoSpaceDN/>
        <w:bidi w:val="0"/>
        <w:adjustRightInd w:val="0"/>
        <w:snapToGrid w:val="0"/>
        <w:spacing w:line="500" w:lineRule="exac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下列文件为本合同组成部分：</w:t>
      </w:r>
    </w:p>
    <w:p w14:paraId="019CADAC">
      <w:pPr>
        <w:pageBreakBefore w:val="0"/>
        <w:kinsoku/>
        <w:wordWrap/>
        <w:overflowPunct/>
        <w:topLinePunct w:val="0"/>
        <w:autoSpaceDE/>
        <w:autoSpaceDN/>
        <w:bidi w:val="0"/>
        <w:adjustRightInd w:val="0"/>
        <w:snapToGrid w:val="0"/>
        <w:spacing w:line="500" w:lineRule="exac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（一）</w:t>
      </w:r>
      <w:r>
        <w:rPr>
          <w:rFonts w:hint="eastAsia" w:ascii="仿宋_GB2312" w:hAnsi="仿宋_GB2312" w:eastAsia="仿宋_GB2312" w:cs="仿宋_GB2312"/>
          <w:sz w:val="24"/>
          <w:lang w:val="en-US" w:eastAsia="zh-CN"/>
        </w:rPr>
        <w:t>竞争性磋商</w:t>
      </w:r>
      <w:r>
        <w:rPr>
          <w:rFonts w:hint="eastAsia" w:ascii="仿宋_GB2312" w:hAnsi="仿宋_GB2312" w:eastAsia="仿宋_GB2312" w:cs="仿宋_GB2312"/>
          <w:sz w:val="24"/>
        </w:rPr>
        <w:t>文件（含澄清或者修改文件）</w:t>
      </w:r>
    </w:p>
    <w:p w14:paraId="0A14F148">
      <w:pPr>
        <w:pageBreakBefore w:val="0"/>
        <w:kinsoku/>
        <w:wordWrap/>
        <w:overflowPunct/>
        <w:topLinePunct w:val="0"/>
        <w:autoSpaceDE/>
        <w:autoSpaceDN/>
        <w:bidi w:val="0"/>
        <w:adjustRightInd w:val="0"/>
        <w:snapToGrid w:val="0"/>
        <w:spacing w:line="500" w:lineRule="exac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（二）</w:t>
      </w:r>
      <w:r>
        <w:rPr>
          <w:rFonts w:hint="eastAsia" w:ascii="仿宋_GB2312" w:hAnsi="仿宋_GB2312" w:eastAsia="仿宋_GB2312" w:cs="仿宋_GB2312"/>
          <w:sz w:val="24"/>
          <w:lang w:val="en-US" w:eastAsia="zh-CN"/>
        </w:rPr>
        <w:t>响应</w:t>
      </w:r>
      <w:r>
        <w:rPr>
          <w:rFonts w:hint="eastAsia" w:ascii="仿宋_GB2312" w:hAnsi="仿宋_GB2312" w:eastAsia="仿宋_GB2312" w:cs="仿宋_GB2312"/>
          <w:sz w:val="24"/>
        </w:rPr>
        <w:t>文件（含澄清或者说明文件）</w:t>
      </w:r>
    </w:p>
    <w:p w14:paraId="0F3A5EC4">
      <w:pPr>
        <w:pageBreakBefore w:val="0"/>
        <w:kinsoku/>
        <w:wordWrap/>
        <w:overflowPunct/>
        <w:topLinePunct w:val="0"/>
        <w:autoSpaceDE/>
        <w:autoSpaceDN/>
        <w:bidi w:val="0"/>
        <w:adjustRightInd w:val="0"/>
        <w:snapToGrid w:val="0"/>
        <w:spacing w:line="500" w:lineRule="exac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（三）其他相关采购文件</w:t>
      </w:r>
    </w:p>
    <w:p w14:paraId="6551F504">
      <w:pPr>
        <w:pageBreakBefore w:val="0"/>
        <w:kinsoku/>
        <w:wordWrap/>
        <w:overflowPunct/>
        <w:topLinePunct w:val="0"/>
        <w:autoSpaceDE/>
        <w:autoSpaceDN/>
        <w:bidi w:val="0"/>
        <w:adjustRightInd w:val="0"/>
        <w:snapToGrid w:val="0"/>
        <w:spacing w:line="500" w:lineRule="exac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（四）成交通知书</w:t>
      </w:r>
    </w:p>
    <w:tbl>
      <w:tblPr>
        <w:tblStyle w:val="7"/>
        <w:tblW w:w="8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32"/>
        <w:gridCol w:w="4248"/>
      </w:tblGrid>
      <w:tr w14:paraId="6026F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9" w:hRule="atLeast"/>
          <w:jc w:val="center"/>
        </w:trPr>
        <w:tc>
          <w:tcPr>
            <w:tcW w:w="4132" w:type="dxa"/>
            <w:tcBorders>
              <w:top w:val="single" w:color="auto" w:sz="4" w:space="0"/>
              <w:left w:val="single" w:color="auto" w:sz="4" w:space="0"/>
              <w:bottom w:val="single" w:color="auto" w:sz="4" w:space="0"/>
              <w:right w:val="single" w:color="auto" w:sz="4" w:space="0"/>
            </w:tcBorders>
          </w:tcPr>
          <w:p w14:paraId="26D50C1F">
            <w:pPr>
              <w:adjustRightInd w:val="0"/>
              <w:snapToGrid w:val="0"/>
              <w:spacing w:line="360" w:lineRule="auto"/>
              <w:rPr>
                <w:rFonts w:hint="eastAsia" w:ascii="仿宋_GB2312" w:hAnsi="仿宋_GB2312" w:eastAsia="仿宋_GB2312" w:cs="仿宋_GB2312"/>
                <w:sz w:val="24"/>
              </w:rPr>
            </w:pPr>
            <w:r>
              <w:rPr>
                <w:rFonts w:hint="eastAsia" w:ascii="仿宋_GB2312" w:hAnsi="仿宋_GB2312" w:eastAsia="仿宋_GB2312" w:cs="仿宋_GB2312"/>
                <w:sz w:val="24"/>
              </w:rPr>
              <w:t>委托方：</w:t>
            </w:r>
          </w:p>
          <w:p w14:paraId="393ABE48">
            <w:pPr>
              <w:adjustRightInd w:val="0"/>
              <w:snapToGrid w:val="0"/>
              <w:spacing w:line="360" w:lineRule="auto"/>
              <w:rPr>
                <w:rFonts w:hint="eastAsia" w:ascii="仿宋_GB2312" w:hAnsi="仿宋_GB2312" w:eastAsia="仿宋_GB2312" w:cs="仿宋_GB2312"/>
                <w:sz w:val="24"/>
              </w:rPr>
            </w:pPr>
            <w:r>
              <w:rPr>
                <w:rFonts w:hint="eastAsia" w:ascii="仿宋_GB2312" w:hAnsi="仿宋_GB2312" w:eastAsia="仿宋_GB2312" w:cs="仿宋_GB2312"/>
                <w:sz w:val="24"/>
              </w:rPr>
              <w:t>法定代表人（签字）：</w:t>
            </w:r>
          </w:p>
          <w:p w14:paraId="1507A352">
            <w:pPr>
              <w:adjustRightInd w:val="0"/>
              <w:snapToGrid w:val="0"/>
              <w:spacing w:line="360" w:lineRule="auto"/>
              <w:rPr>
                <w:rFonts w:hint="eastAsia" w:ascii="仿宋_GB2312" w:hAnsi="仿宋_GB2312" w:eastAsia="仿宋_GB2312" w:cs="仿宋_GB2312"/>
                <w:sz w:val="24"/>
              </w:rPr>
            </w:pPr>
            <w:r>
              <w:rPr>
                <w:rFonts w:hint="eastAsia" w:ascii="仿宋_GB2312" w:hAnsi="仿宋_GB2312" w:eastAsia="仿宋_GB2312" w:cs="仿宋_GB2312"/>
                <w:sz w:val="24"/>
              </w:rPr>
              <w:t xml:space="preserve">授权代表（签字）：                              </w:t>
            </w:r>
          </w:p>
          <w:p w14:paraId="04D2C6F5">
            <w:pPr>
              <w:adjustRightInd w:val="0"/>
              <w:snapToGrid w:val="0"/>
              <w:spacing w:line="360" w:lineRule="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rPr>
              <w:t>地址：</w:t>
            </w:r>
          </w:p>
          <w:p w14:paraId="37AD21FF">
            <w:pPr>
              <w:adjustRightInd w:val="0"/>
              <w:snapToGrid w:val="0"/>
              <w:spacing w:line="360" w:lineRule="auto"/>
              <w:rPr>
                <w:rFonts w:hint="eastAsia" w:ascii="仿宋_GB2312" w:hAnsi="仿宋_GB2312" w:eastAsia="仿宋_GB2312" w:cs="仿宋_GB2312"/>
                <w:sz w:val="24"/>
              </w:rPr>
            </w:pPr>
            <w:r>
              <w:rPr>
                <w:rFonts w:hint="eastAsia" w:ascii="仿宋_GB2312" w:hAnsi="仿宋_GB2312" w:eastAsia="仿宋_GB2312" w:cs="仿宋_GB2312"/>
                <w:sz w:val="24"/>
              </w:rPr>
              <w:t>电话：</w:t>
            </w:r>
          </w:p>
          <w:p w14:paraId="67065104">
            <w:pPr>
              <w:adjustRightInd w:val="0"/>
              <w:snapToGrid w:val="0"/>
              <w:spacing w:line="360" w:lineRule="auto"/>
              <w:rPr>
                <w:rFonts w:hint="eastAsia" w:ascii="仿宋_GB2312" w:hAnsi="仿宋_GB2312" w:eastAsia="仿宋_GB2312" w:cs="仿宋_GB2312"/>
                <w:sz w:val="24"/>
              </w:rPr>
            </w:pPr>
            <w:r>
              <w:rPr>
                <w:rFonts w:hint="eastAsia" w:ascii="仿宋_GB2312" w:hAnsi="仿宋_GB2312" w:eastAsia="仿宋_GB2312" w:cs="仿宋_GB2312"/>
                <w:sz w:val="24"/>
              </w:rPr>
              <w:t xml:space="preserve">开户银行： </w:t>
            </w:r>
          </w:p>
          <w:p w14:paraId="59722535">
            <w:pPr>
              <w:adjustRightInd w:val="0"/>
              <w:snapToGrid w:val="0"/>
              <w:spacing w:line="360" w:lineRule="auto"/>
              <w:rPr>
                <w:rFonts w:hint="eastAsia" w:ascii="仿宋_GB2312" w:hAnsi="仿宋_GB2312" w:eastAsia="仿宋_GB2312" w:cs="仿宋_GB2312"/>
                <w:sz w:val="24"/>
              </w:rPr>
            </w:pPr>
            <w:r>
              <w:rPr>
                <w:rFonts w:hint="eastAsia" w:ascii="仿宋_GB2312" w:hAnsi="仿宋_GB2312" w:eastAsia="仿宋_GB2312" w:cs="仿宋_GB2312"/>
                <w:sz w:val="24"/>
              </w:rPr>
              <w:t>账号：</w:t>
            </w:r>
          </w:p>
          <w:p w14:paraId="7F815B02">
            <w:pPr>
              <w:adjustRightInd w:val="0"/>
              <w:snapToGrid w:val="0"/>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 xml:space="preserve"> </w:t>
            </w:r>
            <w:r>
              <w:rPr>
                <w:rFonts w:hint="eastAsia" w:ascii="仿宋_GB2312" w:hAnsi="仿宋_GB2312" w:eastAsia="仿宋_GB2312" w:cs="仿宋_GB2312"/>
                <w:sz w:val="24"/>
              </w:rPr>
              <w:t>年    月     日</w:t>
            </w:r>
          </w:p>
        </w:tc>
        <w:tc>
          <w:tcPr>
            <w:tcW w:w="4248" w:type="dxa"/>
            <w:tcBorders>
              <w:top w:val="single" w:color="auto" w:sz="4" w:space="0"/>
              <w:left w:val="nil"/>
              <w:bottom w:val="single" w:color="auto" w:sz="4" w:space="0"/>
              <w:right w:val="single" w:color="auto" w:sz="4" w:space="0"/>
            </w:tcBorders>
          </w:tcPr>
          <w:p w14:paraId="5A348D7A">
            <w:pPr>
              <w:adjustRightInd w:val="0"/>
              <w:snapToGrid w:val="0"/>
              <w:spacing w:line="360" w:lineRule="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rPr>
              <w:t>受托方：</w:t>
            </w:r>
          </w:p>
          <w:p w14:paraId="143E0C36">
            <w:pPr>
              <w:adjustRightInd w:val="0"/>
              <w:snapToGrid w:val="0"/>
              <w:spacing w:line="360" w:lineRule="auto"/>
              <w:rPr>
                <w:rFonts w:hint="eastAsia" w:ascii="仿宋_GB2312" w:hAnsi="仿宋_GB2312" w:eastAsia="仿宋_GB2312" w:cs="仿宋_GB2312"/>
                <w:sz w:val="24"/>
              </w:rPr>
            </w:pPr>
            <w:r>
              <w:rPr>
                <w:rFonts w:hint="eastAsia" w:ascii="仿宋_GB2312" w:hAnsi="仿宋_GB2312" w:eastAsia="仿宋_GB2312" w:cs="仿宋_GB2312"/>
                <w:sz w:val="24"/>
              </w:rPr>
              <w:t>法定代表人（签字）：</w:t>
            </w:r>
          </w:p>
          <w:p w14:paraId="42815CA2">
            <w:pPr>
              <w:adjustRightInd w:val="0"/>
              <w:snapToGrid w:val="0"/>
              <w:spacing w:line="360" w:lineRule="auto"/>
              <w:rPr>
                <w:rFonts w:hint="eastAsia" w:ascii="仿宋_GB2312" w:hAnsi="仿宋_GB2312" w:eastAsia="仿宋_GB2312" w:cs="仿宋_GB2312"/>
                <w:sz w:val="24"/>
              </w:rPr>
            </w:pPr>
            <w:r>
              <w:rPr>
                <w:rFonts w:hint="eastAsia" w:ascii="仿宋_GB2312" w:hAnsi="仿宋_GB2312" w:eastAsia="仿宋_GB2312" w:cs="仿宋_GB2312"/>
                <w:sz w:val="24"/>
              </w:rPr>
              <w:t xml:space="preserve">授权代表（签字）：                              </w:t>
            </w:r>
          </w:p>
          <w:p w14:paraId="1830FD9B">
            <w:pPr>
              <w:adjustRightInd w:val="0"/>
              <w:snapToGrid w:val="0"/>
              <w:spacing w:line="360" w:lineRule="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rPr>
              <w:t>地址：</w:t>
            </w:r>
          </w:p>
          <w:p w14:paraId="4D1A3819">
            <w:pPr>
              <w:adjustRightInd w:val="0"/>
              <w:snapToGrid w:val="0"/>
              <w:spacing w:line="360" w:lineRule="auto"/>
              <w:rPr>
                <w:rFonts w:hint="eastAsia" w:ascii="仿宋_GB2312" w:hAnsi="仿宋_GB2312" w:eastAsia="仿宋_GB2312" w:cs="仿宋_GB2312"/>
                <w:sz w:val="24"/>
              </w:rPr>
            </w:pPr>
            <w:r>
              <w:rPr>
                <w:rFonts w:hint="eastAsia" w:ascii="仿宋_GB2312" w:hAnsi="仿宋_GB2312" w:eastAsia="仿宋_GB2312" w:cs="仿宋_GB2312"/>
                <w:sz w:val="24"/>
              </w:rPr>
              <w:t>开户银行：</w:t>
            </w:r>
          </w:p>
          <w:p w14:paraId="74FB5F49">
            <w:pPr>
              <w:adjustRightInd w:val="0"/>
              <w:snapToGrid w:val="0"/>
              <w:spacing w:line="360" w:lineRule="auto"/>
              <w:rPr>
                <w:rFonts w:hint="eastAsia" w:ascii="仿宋_GB2312" w:hAnsi="仿宋_GB2312" w:eastAsia="仿宋_GB2312" w:cs="仿宋_GB2312"/>
                <w:sz w:val="24"/>
              </w:rPr>
            </w:pPr>
            <w:r>
              <w:rPr>
                <w:rFonts w:hint="eastAsia" w:ascii="仿宋_GB2312" w:hAnsi="仿宋_GB2312" w:eastAsia="仿宋_GB2312" w:cs="仿宋_GB2312"/>
                <w:sz w:val="24"/>
              </w:rPr>
              <w:t>账    号：</w:t>
            </w:r>
          </w:p>
          <w:p w14:paraId="50208F98">
            <w:pPr>
              <w:adjustRightInd w:val="0"/>
              <w:snapToGrid w:val="0"/>
              <w:spacing w:line="360" w:lineRule="auto"/>
              <w:rPr>
                <w:rFonts w:hint="eastAsia" w:ascii="仿宋_GB2312" w:hAnsi="仿宋_GB2312" w:eastAsia="仿宋_GB2312" w:cs="仿宋_GB2312"/>
                <w:sz w:val="24"/>
              </w:rPr>
            </w:pPr>
            <w:r>
              <w:rPr>
                <w:rFonts w:hint="eastAsia" w:ascii="仿宋_GB2312" w:hAnsi="仿宋_GB2312" w:eastAsia="仿宋_GB2312" w:cs="仿宋_GB2312"/>
                <w:sz w:val="24"/>
              </w:rPr>
              <w:t>电      话：</w:t>
            </w:r>
          </w:p>
          <w:p w14:paraId="414ABF39">
            <w:pPr>
              <w:adjustRightInd w:val="0"/>
              <w:snapToGrid w:val="0"/>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 xml:space="preserve"> </w:t>
            </w:r>
            <w:r>
              <w:rPr>
                <w:rFonts w:hint="eastAsia" w:ascii="仿宋_GB2312" w:hAnsi="仿宋_GB2312" w:eastAsia="仿宋_GB2312" w:cs="仿宋_GB2312"/>
                <w:sz w:val="24"/>
              </w:rPr>
              <w:t>年    月     日</w:t>
            </w:r>
          </w:p>
        </w:tc>
      </w:tr>
    </w:tbl>
    <w:p w14:paraId="25168B5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6ED5B70"/>
    <w:rsid w:val="63630166"/>
    <w:rsid w:val="68646D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spacing w:line="300" w:lineRule="auto"/>
      <w:ind w:firstLine="420" w:firstLineChars="200"/>
    </w:pPr>
    <w:rPr>
      <w:rFonts w:ascii="Times New Roman"/>
      <w:kern w:val="2"/>
      <w:sz w:val="21"/>
      <w:szCs w:val="24"/>
    </w:rPr>
  </w:style>
  <w:style w:type="paragraph" w:styleId="3">
    <w:name w:val="toc 4"/>
    <w:basedOn w:val="1"/>
    <w:next w:val="1"/>
    <w:qFormat/>
    <w:uiPriority w:val="0"/>
    <w:pPr>
      <w:ind w:left="1260" w:leftChars="600"/>
    </w:pPr>
  </w:style>
  <w:style w:type="paragraph" w:styleId="4">
    <w:name w:val="Body Text"/>
    <w:basedOn w:val="1"/>
    <w:next w:val="1"/>
    <w:qFormat/>
    <w:uiPriority w:val="0"/>
    <w:pPr>
      <w:spacing w:after="120" w:afterLines="0"/>
    </w:pPr>
    <w:rPr>
      <w:rFonts w:ascii="Times New Roman"/>
      <w:kern w:val="2"/>
      <w:sz w:val="21"/>
    </w:rPr>
  </w:style>
  <w:style w:type="paragraph" w:styleId="5">
    <w:name w:val="footer"/>
    <w:basedOn w:val="1"/>
    <w:qFormat/>
    <w:uiPriority w:val="99"/>
    <w:pPr>
      <w:tabs>
        <w:tab w:val="center" w:pos="4153"/>
        <w:tab w:val="right" w:pos="8306"/>
      </w:tabs>
      <w:snapToGrid w:val="0"/>
      <w:jc w:val="left"/>
    </w:pPr>
    <w:rPr>
      <w:rFonts w:ascii="Times New Roman"/>
      <w:kern w:val="2"/>
      <w:sz w:val="18"/>
      <w:szCs w:val="18"/>
    </w:rPr>
  </w:style>
  <w:style w:type="paragraph" w:styleId="6">
    <w:name w:val="Body Text First Indent"/>
    <w:basedOn w:val="4"/>
    <w:unhideWhenUsed/>
    <w:qFormat/>
    <w:uiPriority w:val="0"/>
    <w:pPr>
      <w:spacing w:line="240" w:lineRule="auto"/>
      <w:ind w:firstLine="420" w:firstLineChars="100"/>
    </w:pPr>
    <w:rPr>
      <w:rFonts w:ascii="Times New Roman" w:hAnsi="Times New Roman"/>
      <w:sz w:val="18"/>
      <w:szCs w:val="18"/>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2604</Words>
  <Characters>2650</Characters>
  <Lines>0</Lines>
  <Paragraphs>0</Paragraphs>
  <TotalTime>4</TotalTime>
  <ScaleCrop>false</ScaleCrop>
  <LinksUpToDate>false</LinksUpToDate>
  <CharactersWithSpaces>3056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2025-10-10T06:40:00Z</dcterms:created>
  <dc:creator>Administrator</dc:creator>
  <cp:lastModifiedBy>年少时代</cp:lastModifiedBy>
  <dcterms:modified xsi:type="dcterms:W3CDTF">2025-10-10T07:35:50Z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eyJoZGlkIjoiZDQwODMxNDhiYjcwMWJjMzQ5MzYyY2IwNzQ3ODhiZTAiLCJ1c2VySWQiOiI3MDczMjM0OTYifQ==</vt:lpwstr>
  </property>
  <property fmtid="{D5CDD505-2E9C-101B-9397-08002B2CF9AE}" pid="4" name="ICV">
    <vt:lpwstr>C10F72741FDA48FABECDFDB03595B263_12</vt:lpwstr>
  </property>
</Properties>
</file>