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版本号：JYZX-ZCCS-25090120251010001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高新区农村黑臭水体巩固提升项目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JYZX-ZCCS-250901</w:t>
      </w:r>
      <w:r>
        <w:br/>
      </w:r>
      <w:r>
        <w:br/>
      </w:r>
      <w:r>
        <w:br/>
      </w:r>
    </w:p>
    <w:p>
      <w:pPr>
        <w:pStyle w:val="null3"/>
        <w:jc w:val="center"/>
        <w:outlineLvl w:val="2"/>
      </w:pPr>
      <w:r>
        <w:rPr>
          <w:rFonts w:ascii="仿宋_GB2312" w:hAnsi="仿宋_GB2312" w:cs="仿宋_GB2312" w:eastAsia="仿宋_GB2312"/>
          <w:sz w:val="28"/>
          <w:b/>
        </w:rPr>
        <w:t>西安高新技术产业开发区生态环境局</w:t>
      </w:r>
    </w:p>
    <w:p>
      <w:pPr>
        <w:pStyle w:val="null3"/>
        <w:jc w:val="center"/>
        <w:outlineLvl w:val="2"/>
      </w:pPr>
      <w:r>
        <w:rPr>
          <w:rFonts w:ascii="仿宋_GB2312" w:hAnsi="仿宋_GB2312" w:cs="仿宋_GB2312" w:eastAsia="仿宋_GB2312"/>
          <w:sz w:val="28"/>
          <w:b/>
        </w:rPr>
        <w:t>陕西锦言咨询管理有限公司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陕西锦言咨询管理有限公司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西安高新技术产业开发区生态环境局</w:t>
      </w:r>
      <w:r>
        <w:rPr>
          <w:rFonts w:ascii="仿宋_GB2312" w:hAnsi="仿宋_GB2312" w:cs="仿宋_GB2312" w:eastAsia="仿宋_GB2312"/>
        </w:rPr>
        <w:t>委托，拟对</w:t>
      </w:r>
      <w:r>
        <w:rPr>
          <w:rFonts w:ascii="仿宋_GB2312" w:hAnsi="仿宋_GB2312" w:cs="仿宋_GB2312" w:eastAsia="仿宋_GB2312"/>
        </w:rPr>
        <w:t>高新区农村黑臭水体巩固提升项目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JYZX-ZCCS-250901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高新区农村黑臭水体巩固提升项目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高新区农村黑臭水体巩固提升项目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采购包1（高新区农村黑臭水体巩固提升项目）：属于专门面向中小企业采购。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1、营业执照等主体资格证明文件：具有独立承担民事责任能力的法人、其他组织或自然人，并出具合法有效的营业执照等证明文件，自然人须提供身份证明；</w:t>
      </w:r>
    </w:p>
    <w:p>
      <w:pPr>
        <w:pStyle w:val="null3"/>
      </w:pPr>
      <w:r>
        <w:rPr>
          <w:rFonts w:ascii="仿宋_GB2312" w:hAnsi="仿宋_GB2312" w:cs="仿宋_GB2312" w:eastAsia="仿宋_GB2312"/>
        </w:rPr>
        <w:t>2、法定代表人身份证明与法定代表人授权书：法定代表人直接参加磋商的，须提供法定代表人身份证明及其身份证电子件；法定代表人授权他人参加磋商的，须提供法定代表人授权委托书（附法定代表人、被授权人身份证电子件及被授权人近六个月任意一个月社保缴纳凭证）；</w:t>
      </w:r>
    </w:p>
    <w:p>
      <w:pPr>
        <w:pStyle w:val="null3"/>
      </w:pPr>
      <w:r>
        <w:rPr>
          <w:rFonts w:ascii="仿宋_GB2312" w:hAnsi="仿宋_GB2312" w:cs="仿宋_GB2312" w:eastAsia="仿宋_GB2312"/>
        </w:rPr>
        <w:t>3、供应商参与磋商的承诺函：供应商参与磋商的承诺函。</w:t>
      </w:r>
    </w:p>
    <w:p>
      <w:pPr>
        <w:pStyle w:val="null3"/>
      </w:pPr>
      <w:r>
        <w:rPr>
          <w:rFonts w:ascii="仿宋_GB2312" w:hAnsi="仿宋_GB2312" w:cs="仿宋_GB2312" w:eastAsia="仿宋_GB2312"/>
        </w:rPr>
        <w:t>4、基本资格条件承诺函：提供《基本资格条件承诺函》，供应商对承诺内容的真实性负责。经调查核实为虚假承诺的，视同为“提供虚假材料谋取中标、成交”的违法行为，依照《中华人民共和国政府采购法》等法律法规追究相应责任。 如不提供《基本资格条件承诺函》的供应商需提交以下资格证明文件： ①供应商提供2024年度的财务审计报告（审计单位须具有审计资质）或其开标前六个月内基本存款账户开户银行出具的资信证明； ②提供具有履行合同所必需的设备和专业能力的承诺； ③提供开标时间前6个月内任意时段的税收缴纳凭证，依法不需要缴纳税收的单位应提供相关证明材料； ④提供开标时间前6个月内任意时段的社会保障资金缴纳凭证，依法不需要缴纳社会保障资金的单位应提供相关证明材料； ⑤参加政府采购活动前3年内，在经营活动中没有重大违法记录的书面声明；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029-81153509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陕西锦言咨询管理有限公司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陕西省西安市高新区科技六路37号誉安大厦6层606室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17278385937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人民币6000元（大写：陆仟元整），按人民币6000元（大写：陆仟元整）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西安高新技术产业开发区生态环境局</w:t>
      </w:r>
      <w:r>
        <w:rPr>
          <w:rFonts w:ascii="仿宋_GB2312" w:hAnsi="仿宋_GB2312" w:cs="仿宋_GB2312" w:eastAsia="仿宋_GB2312"/>
        </w:rPr>
        <w:t>和</w:t>
      </w:r>
      <w:r>
        <w:rPr>
          <w:rFonts w:ascii="仿宋_GB2312" w:hAnsi="仿宋_GB2312" w:cs="仿宋_GB2312" w:eastAsia="仿宋_GB2312"/>
        </w:rPr>
        <w:t>陕西锦言咨询管理有限公司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陕西锦言咨询管理有限公司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陕西锦言咨询管理有限公司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陕西锦言咨询管理有限公司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陕西锦言咨询管理有限公司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陕西锦言咨询管理有限公司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联系人：李江</w:t>
      </w:r>
    </w:p>
    <w:p>
      <w:pPr>
        <w:pStyle w:val="null3"/>
      </w:pPr>
      <w:r>
        <w:rPr>
          <w:rFonts w:ascii="仿宋_GB2312" w:hAnsi="仿宋_GB2312" w:cs="仿宋_GB2312" w:eastAsia="仿宋_GB2312"/>
        </w:rPr>
        <w:t>联系电话：17278385937</w:t>
      </w:r>
    </w:p>
    <w:p>
      <w:pPr>
        <w:pStyle w:val="null3"/>
      </w:pPr>
      <w:r>
        <w:rPr>
          <w:rFonts w:ascii="仿宋_GB2312" w:hAnsi="仿宋_GB2312" w:cs="仿宋_GB2312" w:eastAsia="仿宋_GB2312"/>
        </w:rPr>
        <w:t>地址：陕西省西安市高新区科技六路37号誉安大厦6层606室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本项目主要涉及细柳街道大羊村和灵沼街道阿底村生活污水涝池污水治理环境提升服务。计划通过购买服务方式对细柳街道大羊村涝池和灵沼街道阿底村生活污水进行处理。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水污染治理服务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标的名称：水污染治理服务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本项目主要涉及细柳街道大羊村和灵沼街道阿底村生活污水涝池污水治理环境提升服务。计划通过购买服务方式对细柳街道大羊村涝池和灵沼街道阿底村生活污水进行处理。</w:t>
            </w:r>
          </w:p>
          <w:p>
            <w:pPr>
              <w:pStyle w:val="null3"/>
              <w:ind w:firstLine="480"/>
              <w:jc w:val="both"/>
            </w:pPr>
            <w:r>
              <w:rPr>
                <w:rFonts w:ascii="仿宋_GB2312" w:hAnsi="仿宋_GB2312" w:cs="仿宋_GB2312" w:eastAsia="仿宋_GB2312"/>
                <w:sz w:val="24"/>
                <w:b/>
              </w:rPr>
              <w:t>二、服务内容及要求</w:t>
            </w:r>
          </w:p>
          <w:p>
            <w:pPr>
              <w:pStyle w:val="null3"/>
              <w:jc w:val="both"/>
            </w:pPr>
            <w:r>
              <w:rPr>
                <w:rFonts w:ascii="仿宋_GB2312" w:hAnsi="仿宋_GB2312" w:cs="仿宋_GB2312" w:eastAsia="仿宋_GB2312"/>
                <w:sz w:val="24"/>
              </w:rPr>
              <w:t>要求采取生态化治理方式改善大羊村和阿底村生活污水涝池水质，实现水体无异味、颜色无异常，并按照《农村黑臭水体工作指南（试行）》要求，符合透明度≥25cm、溶解氧≥2mg/l、氨氮≤15mg/l。</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初次验收合格之日起一年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水体无异味、颜色无异常，水质标准应符合透明度≥25cm、溶解氧≥2mg/L、氨氮≤15mg/L。 1、初次验收：乙方进行施工，施工周期不得超过15日，水质达到采购要求后，向甲方提出验收申请，甲方接到乙方验收申请后组织初次验收（必要时可聘请相应专家或委托相应部门验收），验收合格后，出具使用合格证明，开始起算服务期。 2、考核：初次验收合格后，服务期内甲方至少每季度对治理情况开展一次不定期检查，每半年至少对涝池进行一次考核并对水质开展一次监测，可采取且不限于现场检查、问卷调查等方式进行判定，水质监测标准应达到合同第七条约定的水质要求。服务期达到180日和365日，乙方向甲方提出申请，甲方接到乙方申请后组织考核（必要时可聘请相应专家或委托相应部门考核），考核合格后，出具考核合格证明，考核结果作为付款依据。 3、综合验收：服务期满且完成本合同服务内容，乙方向甲方提出申请，甲方接到乙方验收申请后组织综合验收（必要时可聘请相应专家或委托相应部门验收），验收合格后，出具验收合格证明，验收结果作为付款依据，乙方向甲方提交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服务期满180日且考核合格后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项目履行完毕且通过考核验收后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内若日常检查中出现水体异味、颜色异常，水质监测不合格等情况（乙方日常巡查中发现有外源污染请于当日内立即通知甲方并留有影像资料，由此造成的水质不达标可不纳入考核），甲方有权要求乙方立即进行整改，同时服务期顺延一个月。 2、服务期内若出现群众举报、投诉、媒体曝光等问题（乙方日常巡查中发现有外源污染请于当日内立即通知甲方并留有影像资料，由此造成的水质不达标可不纳入考核），对甲方造成负面影响的，甲方有权要求乙方立即进行整改，同时服务期顺延一个月。 3、如果因治理原因出现对当地生态环境造成负面影响问题，甲方有权要求乙方立即采取补救措施，同时服务期顺延一个月。 以上第1项如累计超过三次，第2、3项如第二次出现同类情况的，甲方有权依据《中华人民共和国民法典》有关条款及合同约定终止合同，乙方应向甲方支付本合同总金额5%的违约金，并承担由此给甲方造成的全部损失，违约金不足以弥补损失的，还应赔偿全部损失，并且甲方有权从未支付的款项中予以扣除。 凡因本合同引起的或与本合同有关的争议，双方应友好协商解决。协商不成时，向甲方所在地人民法院提起诉讼。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须向采购代理机构提供纸质版响应文件2套（一正一副），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资格性证明文件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资格性证明文件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资格性证明文件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响应函 资格性证明文件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具有独立承担民事责任能力的法人、其他组织或自然人，并出具合法有效的营业执照等证明文件，自然人须提供身份证明；</w:t>
            </w:r>
          </w:p>
        </w:tc>
        <w:tc>
          <w:tcPr>
            <w:tcW w:type="dxa" w:w="1661"/>
          </w:tcPr>
          <w:p>
            <w:pPr>
              <w:pStyle w:val="null3"/>
            </w:pPr>
            <w:r>
              <w:rPr>
                <w:rFonts w:ascii="仿宋_GB2312" w:hAnsi="仿宋_GB2312" w:cs="仿宋_GB2312" w:eastAsia="仿宋_GB2312"/>
              </w:rPr>
              <w:t>响应文件封面 响应函 资格性证明文件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法定代表人身份证明与法定代表人授权书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法定代表人授权他人参加磋商的，须提供法定代表人授权委托书（附法定代表人、被授权人身份证电子件及被授权人近六个月任意一个月社保缴纳凭证）；</w:t>
            </w:r>
          </w:p>
        </w:tc>
        <w:tc>
          <w:tcPr>
            <w:tcW w:type="dxa" w:w="1661"/>
          </w:tcPr>
          <w:p>
            <w:pPr>
              <w:pStyle w:val="null3"/>
            </w:pPr>
            <w:r>
              <w:rPr>
                <w:rFonts w:ascii="仿宋_GB2312" w:hAnsi="仿宋_GB2312" w:cs="仿宋_GB2312" w:eastAsia="仿宋_GB2312"/>
              </w:rPr>
              <w:t>响应文件封面 响应函 资格性证明文件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供应商参与磋商的承诺函。</w:t>
            </w:r>
          </w:p>
        </w:tc>
        <w:tc>
          <w:tcPr>
            <w:tcW w:type="dxa" w:w="1661"/>
          </w:tcPr>
          <w:p>
            <w:pPr>
              <w:pStyle w:val="null3"/>
            </w:pPr>
            <w:r>
              <w:rPr>
                <w:rFonts w:ascii="仿宋_GB2312" w:hAnsi="仿宋_GB2312" w:cs="仿宋_GB2312" w:eastAsia="仿宋_GB2312"/>
              </w:rPr>
              <w:t>响应文件封面 响应函 资格性证明文件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提供《基本资格条件承诺函》，供应商对承诺内容的真实性负责。经调查核实为虚假承诺的，视同为“提供虚假材料谋取中标、成交”的违法行为，依照《中华人民共和国政府采购法》等法律法规追究相应责任。 如不提供《基本资格条件承诺函》的供应商需提交以下资格证明文件： ①供应商提供2024年度的财务审计报告（审计单位须具有审计资质）或其开标前六个月内基本存款账户开户银行出具的资信证明； ②提供具有履行合同所必需的设备和专业能力的承诺； ③提供开标时间前6个月内任意时段的税收缴纳凭证，依法不需要缴纳税收的单位应提供相关证明材料； ④提供开标时间前6个月内任意时段的社会保障资金缴纳凭证，依法不需要缴纳社会保障资金的单位应提供相关证明材料；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资格性证明文件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符合性证明文件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符合性证明文件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（2）开标一览表填写符合要求； （3）计量单位、报价货币均符合竞争性磋商文件要求； （4）未超出采购预算或竞争性磋商文件规定的最高限价。</w:t>
            </w:r>
          </w:p>
        </w:tc>
        <w:tc>
          <w:tcPr>
            <w:tcW w:type="dxa" w:w="1661"/>
          </w:tcPr>
          <w:p>
            <w:pPr>
              <w:pStyle w:val="null3"/>
            </w:pPr>
            <w:r>
              <w:rPr>
                <w:rFonts w:ascii="仿宋_GB2312" w:hAnsi="仿宋_GB2312" w:cs="仿宋_GB2312" w:eastAsia="仿宋_GB2312"/>
              </w:rPr>
              <w:t>响应文件封面 符合性证明文件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符合性证明文件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符合性证明文件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响应文件封面 磋商响应方案 符合性证明文件 标的清单 报价表 响应函 资格性证明文件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项目整体认识</w:t>
            </w:r>
          </w:p>
        </w:tc>
        <w:tc>
          <w:tcPr>
            <w:tcW w:type="dxa" w:w="2492"/>
          </w:tcPr>
          <w:p>
            <w:pPr>
              <w:pStyle w:val="null3"/>
            </w:pPr>
            <w:r>
              <w:rPr>
                <w:rFonts w:ascii="仿宋_GB2312" w:hAnsi="仿宋_GB2312" w:cs="仿宋_GB2312" w:eastAsia="仿宋_GB2312"/>
              </w:rPr>
              <w:t>供应商提供对项目背景以及项目工作目标的总体理解与认识： 对项目背景以及项目工作目标的认识准确，理解到位得5分； 对项目背景以及项目工作目标的认识较为准确，理解到位，得4分； 对项目背景以及项目工作目标的认识基本准确，理解基本到位，得3分； 对项目背景以及项目工作目标的认识宽泛，理解不到位，得2分； 对项目背景以及项目工作目标的认识不准确，得1分；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针对本项目要求，制定服务方案，包括但不限于①工作流程、②设备设施巡检方案、③出水水质检测方案、④档案管理方案、⑤环保管理方案等，本项共15分。 每个单项内容详细完整、思路科学合理、针对性强、满足服务要求，得3分； 每个单项内容基本完整、思路基本合理，有一定针对性、基本可以满足服务要求，得2分； 每个单项内容不完整、思路模糊，针对性差、不能满足服务要求，得1分； 未提供相关内容不得分。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针对本项目要求，供应商具有完善的管理制度，应提供①检测制度、②设备维保制度、③人事管理制度、④质检管理制度、⑤环境卫生管理制度等。本项共15分。 每个单项内容详细完整、思路科学合理、针对性强、满足服务要求，得3分； 每个单项内容基本完整、思路基本合理，有一定针对性、基本可以满足服务要求，得2分； 每个单项内容不完整、思路模糊，针对性差、不能满足服务要求，得1分； 未提供相关资料不得分。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供应商根据本项目的特点，制定合理可行服务质量保证措施，保证污水处理后的水质符合文件要求。 措施详细完整、可行性、针对性强，能高质量的确保项目服务质量，得6分； 措施比较完整，可行性及针对性较强以保证项目质量，得5分； 措施相对完整，有一定的可行性及针对性以保证项目质量，得4分； 措施简略、可行性存在不足，得3分； 措施存在漏洞、合理性、可行性差，得2分； 措施存在重大缺漏，几乎不存在可行性，得1分； 未提供相关资料不得分。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拟投入本项目的相关设备</w:t>
            </w:r>
          </w:p>
        </w:tc>
        <w:tc>
          <w:tcPr>
            <w:tcW w:type="dxa" w:w="2492"/>
          </w:tcPr>
          <w:p>
            <w:pPr>
              <w:pStyle w:val="null3"/>
            </w:pPr>
            <w:r>
              <w:rPr>
                <w:rFonts w:ascii="仿宋_GB2312" w:hAnsi="仿宋_GB2312" w:cs="仿宋_GB2312" w:eastAsia="仿宋_GB2312"/>
              </w:rPr>
              <w:t>根据供应商所配备的维保工具、仪器仪表、检测设备、耗材等内容进行评价。 所提供设备配置合理、满足本项目的服务要求，得6分； 所提供设备配置比较合理、比较能满足本项目的服务要求，得5分； 所提供设备配置相对合理、相对能满足本项目的服务要求，得4分； 所提供设备配置基本合理、基本满足本项目的服务要求，得3分； 所提供设备配置有欠缺、需再完善才能满足项目要求，得2分； 所提供设备配置合理性差、不能满足项目要求，得1分；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供应商须提供针对本项目的详细人员配备情况。 人员配置合理，岗位职责明确，完全满足项目需求的，得6分； 人员配置较合理，岗位职责较明确，可以满足项目需求的，得5分； 人员配置相对合理，岗位职责相对明确、相对可以满足项目需求的，得4分； 人员配置基本合理，岗位职责明确、基本满足项目需求的，得3分； 人员配置简单、岗位职责笼统、与实际项目需求有一定差距，得2分； 人员配置不尽合理、岗位职责不明确、与实际项目需求匹配度差的，得1分；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应急处置措施</w:t>
            </w:r>
          </w:p>
        </w:tc>
        <w:tc>
          <w:tcPr>
            <w:tcW w:type="dxa" w:w="2492"/>
          </w:tcPr>
          <w:p>
            <w:pPr>
              <w:pStyle w:val="null3"/>
            </w:pPr>
            <w:r>
              <w:rPr>
                <w:rFonts w:ascii="仿宋_GB2312" w:hAnsi="仿宋_GB2312" w:cs="仿宋_GB2312" w:eastAsia="仿宋_GB2312"/>
              </w:rPr>
              <w:t>根据在服务过程中可能发生的特殊情况制定具有可操作性的应急处置措施。 措施详细完整、可行性、针对性强，得6分； 措施较完整，可行性及针对性较强，得5分； 措施完整，有一定的可行性及针对性，得4分； 措施基本完整，有可行性及针对性，得3分； 措施简单，可行性差，得2分； 措施有缺漏，不具备可行性，得1分；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根据本项目具体情况提出重点、难点进行分析并提出控制措施。 分析内容准确，控制措施合理得6分； 分析内容比较准确，控制措施比较合理得5分； 分析内容相对准确，控制措施相对合理得4分； 分析内容基本准确，控制措施基本合理得3分； 分析内容和控制措施较简单得2分； 分析内容和控制措施简陋，无指导性得1分；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 建议内容科学合理、可操作性强得5分； 建议内容比较合理、具有可操作性得4分； 建议内容相对较合理、具有一定的可操作性得3分； 建议内容基本合理，有待完善、可操作性有待考究得2分； 建议内容不够合理，不完整、需要补充后方可使用得1分；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具有针对本项目的工作安排详尽、切实、可行，具有完善的服务承诺。 承诺详细、全面、合理性强、规范性强、可操作性强得5分； 承诺较为详细、全面、合理性较强、规范性较强、可操作性较强得4分； 承诺全面、具有一定的合理性、规范性及可操作性得3分； 承诺基本全面、合理性一般、基本具有可操作性得2分； 承诺笼统，不完善，可操作性有待考究得1分； 未提供相关资料不得分。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结合本项目实际情况，提供安全管理措施。 措施详细完整、可行性、针对性强，能确保项目安全的得6分； 措施相对完整，可行性和针对性相对较强以保证项目安全的得5分； 措施完整，有一定的可行性及针对性以保证项目安全的得4分； 措施基本完整、符合项目实际需求，但可行性、针对性一般的得3分； 措施简单，与项目实际需求存在偏离但有一定可行性的得2分； 措施简单、有较大的不合理性得1分；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提供供应商2022年1月至今类似业绩合同（以合同签订时间为准），每提供一份得3分，最高得9分，未提供不得分。 评审标准：以合同签订时间为准，供应商应在响应文件中提供业绩合同电子件或扫描件。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1.经初审合格的响应文件，其最终磋商报价为有效磋商报价。 2.满足磋商文件实质性要求且最终报价最低的供应商的价格为磋商基准价，其价格分为满分10分。 3.磋商报价得分=（磋商基准价/有效磋商报价）×10。 4.磋商报价不完整的，不得进入磋商基准价的计算，本项得0分。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详见附件：资格性证明文件</w:t>
      </w:r>
    </w:p>
    <w:p>
      <w:pPr>
        <w:pStyle w:val="null3"/>
        <w:ind w:firstLine="960"/>
      </w:pPr>
      <w:r>
        <w:rPr>
          <w:rFonts w:ascii="仿宋_GB2312" w:hAnsi="仿宋_GB2312" w:cs="仿宋_GB2312" w:eastAsia="仿宋_GB2312"/>
        </w:rPr>
        <w:t>详见附件：符合性证明文件</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