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版本号：LZBE2025-1708（XDZ2025-304-N-197）20251011002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2025-2026年定点医药机构稽核业务外包项目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LZBE2025-1708（XDZ2025-304-N-197）</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2025-2026年定点医药机构稽核业务外包项目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LZBE2025-1708（XDZ2025-304-N-197）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2025-2026年定点医药机构稽核业务外包项目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2025-2026年定点医药机构稽核业务外包项目1项，具体详见采购需求；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采购包1（定点医药机构稽核业务外包）：属于专门面向中小企业采购。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或提供《基本资格条件承诺函》；供应商需在项目电子化交易系统中按要求上传相应证明文件；</w:t>
      </w:r>
    </w:p>
    <w:p>
      <w:pPr>
        <w:pStyle w:val="null3"/>
      </w:pPr>
      <w:r>
        <w:rPr>
          <w:rFonts w:ascii="仿宋_GB2312" w:hAnsi="仿宋_GB2312" w:cs="仿宋_GB2312" w:eastAsia="仿宋_GB2312"/>
        </w:rPr>
        <w:t>3、财务状况：财务状况：供应商提供2024年度经审计的财务审计报告（事业法人可提供部门决算报告）；或提供供应商基本账户银行出具的资信证明；或提供政府采购专业担保机构出具的投标担保函；或提供《基本资格条件承诺函》；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81163323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吴岳、孙承国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按差额定率累进法计算，具体收费标准参照计价格[2002]1980号、发改价格[2011]534号、发改办价格〔2003〕857号中服务类执行。注：1、成交单位在领取成交通知书之前，须向代理机构支付招标代理服务费。2、、招标代理服务费以转账或现金形式缴纳至以下账户： 开户名称：龙寰项目管理咨询有限公司，开户银行：平安银行西安高新路支行，账 号：30201278017604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2025-2026年定点医药机构稽核业务外包项目1项，具体详见采购需求。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定点医药机构稽核业务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标的名称：定点医药机构稽核业务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一、项目名称：</w:t>
            </w:r>
            <w:r>
              <w:rPr>
                <w:rFonts w:ascii="仿宋_GB2312" w:hAnsi="仿宋_GB2312" w:cs="仿宋_GB2312" w:eastAsia="仿宋_GB2312"/>
                <w:sz w:val="20"/>
              </w:rPr>
              <w:t>2025-2026</w:t>
            </w:r>
            <w:r>
              <w:rPr>
                <w:rFonts w:ascii="仿宋_GB2312" w:hAnsi="仿宋_GB2312" w:cs="仿宋_GB2312" w:eastAsia="仿宋_GB2312"/>
                <w:sz w:val="20"/>
              </w:rPr>
              <w:t>年定点医药机构稽核业务外包项目。</w:t>
            </w:r>
          </w:p>
          <w:p>
            <w:pPr>
              <w:pStyle w:val="null3"/>
              <w:jc w:val="both"/>
            </w:pPr>
            <w:r>
              <w:rPr>
                <w:rFonts w:ascii="仿宋_GB2312" w:hAnsi="仿宋_GB2312" w:cs="仿宋_GB2312" w:eastAsia="仿宋_GB2312"/>
                <w:sz w:val="20"/>
              </w:rPr>
              <w:t>二、采购内容：选择一家第三方服务机构对西安高新区医疗保障基金协议管理机构进行医保基金稽核工作。做好各种渠道来源的重点线索核查、驻点巡查、外伤协查、费用审核、异地协查（医保、失业、工伤、养老的大额</w:t>
            </w:r>
            <w:r>
              <w:rPr>
                <w:rFonts w:ascii="仿宋_GB2312" w:hAnsi="仿宋_GB2312" w:cs="仿宋_GB2312" w:eastAsia="仿宋_GB2312"/>
                <w:sz w:val="20"/>
              </w:rPr>
              <w:t>/</w:t>
            </w:r>
            <w:r>
              <w:rPr>
                <w:rFonts w:ascii="仿宋_GB2312" w:hAnsi="仿宋_GB2312" w:cs="仿宋_GB2312" w:eastAsia="仿宋_GB2312"/>
                <w:sz w:val="20"/>
              </w:rPr>
              <w:t>疑点案件）、专家审核等相关工作。</w:t>
            </w:r>
          </w:p>
          <w:p>
            <w:pPr>
              <w:pStyle w:val="null3"/>
              <w:jc w:val="both"/>
            </w:pPr>
            <w:r>
              <w:rPr>
                <w:rFonts w:ascii="仿宋_GB2312" w:hAnsi="仿宋_GB2312" w:cs="仿宋_GB2312" w:eastAsia="仿宋_GB2312"/>
                <w:sz w:val="20"/>
              </w:rPr>
              <w:t>三、采购预算：本项目预算</w:t>
            </w:r>
            <w:r>
              <w:rPr>
                <w:rFonts w:ascii="仿宋_GB2312" w:hAnsi="仿宋_GB2312" w:cs="仿宋_GB2312" w:eastAsia="仿宋_GB2312"/>
                <w:sz w:val="20"/>
              </w:rPr>
              <w:t>35</w:t>
            </w:r>
            <w:r>
              <w:rPr>
                <w:rFonts w:ascii="仿宋_GB2312" w:hAnsi="仿宋_GB2312" w:cs="仿宋_GB2312" w:eastAsia="仿宋_GB2312"/>
                <w:sz w:val="20"/>
              </w:rPr>
              <w:t>万元整。</w:t>
            </w:r>
          </w:p>
          <w:p>
            <w:pPr>
              <w:pStyle w:val="null3"/>
              <w:jc w:val="both"/>
            </w:pPr>
            <w:r>
              <w:rPr>
                <w:rFonts w:ascii="仿宋_GB2312" w:hAnsi="仿宋_GB2312" w:cs="仿宋_GB2312" w:eastAsia="仿宋_GB2312"/>
                <w:sz w:val="20"/>
              </w:rPr>
              <w:t>四、项目周期：合同签订后一年。</w:t>
            </w:r>
          </w:p>
          <w:p>
            <w:pPr>
              <w:pStyle w:val="null3"/>
              <w:jc w:val="both"/>
            </w:pPr>
            <w:r>
              <w:rPr>
                <w:rFonts w:ascii="仿宋_GB2312" w:hAnsi="仿宋_GB2312" w:cs="仿宋_GB2312" w:eastAsia="仿宋_GB2312"/>
                <w:sz w:val="20"/>
              </w:rPr>
              <w:t>五、采购内容及要求</w:t>
            </w:r>
          </w:p>
          <w:p>
            <w:pPr>
              <w:pStyle w:val="null3"/>
              <w:ind w:firstLine="422"/>
              <w:jc w:val="both"/>
            </w:pPr>
            <w:r>
              <w:rPr>
                <w:rFonts w:ascii="仿宋_GB2312" w:hAnsi="仿宋_GB2312" w:cs="仿宋_GB2312" w:eastAsia="仿宋_GB2312"/>
                <w:sz w:val="20"/>
              </w:rPr>
              <w:t>西安高新区社会保险基金管理中心授权第三方服务机构对西安高新区定点医疗机构、定点零售药店进行日常稽核检查、专项检查、重点线索核查、驻点巡查等相关工作。</w:t>
            </w:r>
            <w:r>
              <w:rPr>
                <w:rFonts w:ascii="仿宋_GB2312" w:hAnsi="仿宋_GB2312" w:cs="仿宋_GB2312" w:eastAsia="仿宋_GB2312"/>
                <w:sz w:val="20"/>
              </w:rPr>
              <w:t xml:space="preserve">  </w:t>
            </w:r>
          </w:p>
          <w:p>
            <w:pPr>
              <w:pStyle w:val="null3"/>
              <w:ind w:firstLine="422"/>
              <w:jc w:val="both"/>
            </w:pPr>
            <w:r>
              <w:rPr>
                <w:rFonts w:ascii="仿宋_GB2312" w:hAnsi="仿宋_GB2312" w:cs="仿宋_GB2312" w:eastAsia="仿宋_GB2312"/>
                <w:sz w:val="20"/>
              </w:rPr>
              <w:t>重点聚焦医保支付范围的医疗服务行为和医疗费用，突出医保基金支付、结算、使用等环节的违法违规行为，按照授权范围依法依规进行检查、审核，保障医保基金安全。配合监管系统高效、精准的部署安排检查计划及检查策略等。打造“线下审核稽核</w:t>
            </w:r>
            <w:r>
              <w:rPr>
                <w:rFonts w:ascii="仿宋_GB2312" w:hAnsi="仿宋_GB2312" w:cs="仿宋_GB2312" w:eastAsia="仿宋_GB2312"/>
                <w:sz w:val="20"/>
              </w:rPr>
              <w:t>+</w:t>
            </w:r>
            <w:r>
              <w:rPr>
                <w:rFonts w:ascii="仿宋_GB2312" w:hAnsi="仿宋_GB2312" w:cs="仿宋_GB2312" w:eastAsia="仿宋_GB2312"/>
                <w:sz w:val="20"/>
              </w:rPr>
              <w:t>线上配套系统”服务模式，通过创新基金监管方式，构建多层次、全方位的监管体系，逐步形成可借鉴、可推广、可复制的医保基金监管先进经验，有效补充提升西安高新区整体医保基金监管能力。</w:t>
            </w:r>
          </w:p>
          <w:p>
            <w:pPr>
              <w:pStyle w:val="null3"/>
              <w:jc w:val="both"/>
            </w:pPr>
            <w:r>
              <w:rPr>
                <w:rFonts w:ascii="仿宋_GB2312" w:hAnsi="仿宋_GB2312" w:cs="仿宋_GB2312" w:eastAsia="仿宋_GB2312"/>
                <w:sz w:val="20"/>
              </w:rPr>
              <w:t>（一）稽核成效</w:t>
            </w:r>
          </w:p>
          <w:p>
            <w:pPr>
              <w:pStyle w:val="null3"/>
              <w:ind w:firstLine="422"/>
              <w:jc w:val="both"/>
            </w:pPr>
            <w:r>
              <w:rPr>
                <w:rFonts w:ascii="仿宋_GB2312" w:hAnsi="仿宋_GB2312" w:cs="仿宋_GB2312" w:eastAsia="仿宋_GB2312"/>
                <w:sz w:val="20"/>
              </w:rPr>
              <w:t>1</w:t>
            </w:r>
            <w:r>
              <w:rPr>
                <w:rFonts w:ascii="仿宋_GB2312" w:hAnsi="仿宋_GB2312" w:cs="仿宋_GB2312" w:eastAsia="仿宋_GB2312"/>
                <w:sz w:val="20"/>
              </w:rPr>
              <w:t>、经第三方服务机构巡查稽核，可以有效防止欺诈骗保、违规使用医保基金等情况的发生，规范协议机构的服务行为及参保人员的就医行为，维护参保人员权益。</w:t>
            </w:r>
          </w:p>
          <w:p>
            <w:pPr>
              <w:pStyle w:val="null3"/>
              <w:ind w:firstLine="422"/>
              <w:jc w:val="both"/>
            </w:pPr>
            <w:r>
              <w:rPr>
                <w:rFonts w:ascii="仿宋_GB2312" w:hAnsi="仿宋_GB2312" w:cs="仿宋_GB2312" w:eastAsia="仿宋_GB2312"/>
                <w:sz w:val="20"/>
              </w:rPr>
              <w:t>2</w:t>
            </w:r>
            <w:r>
              <w:rPr>
                <w:rFonts w:ascii="仿宋_GB2312" w:hAnsi="仿宋_GB2312" w:cs="仿宋_GB2312" w:eastAsia="仿宋_GB2312"/>
                <w:sz w:val="20"/>
              </w:rPr>
              <w:t>、梳理重控风险点，根据医保部门需求整理医保监管标准化手册，对可能涉及的违规行为发生机构和违规现象进行约束，对违规行为分类描述、对监管稽查中采用的方法和措施、核查的操作流程、对应可运用的防范措施等进行系统的归纳，建立当地医保监管标准化规程，为今后医保监管提供知识基础。</w:t>
            </w:r>
          </w:p>
          <w:p>
            <w:pPr>
              <w:pStyle w:val="null3"/>
              <w:ind w:firstLine="422"/>
              <w:jc w:val="both"/>
            </w:pPr>
            <w:r>
              <w:rPr>
                <w:rFonts w:ascii="仿宋_GB2312" w:hAnsi="仿宋_GB2312" w:cs="仿宋_GB2312" w:eastAsia="仿宋_GB2312"/>
                <w:sz w:val="20"/>
              </w:rPr>
              <w:t>3</w:t>
            </w:r>
            <w:r>
              <w:rPr>
                <w:rFonts w:ascii="仿宋_GB2312" w:hAnsi="仿宋_GB2312" w:cs="仿宋_GB2312" w:eastAsia="仿宋_GB2312"/>
                <w:sz w:val="20"/>
              </w:rPr>
              <w:t>、创新经办管理，通过第三方稽核，可以增强监管队伍，丰富了监管手段，强化了监管的专业性和独立性。</w:t>
            </w:r>
          </w:p>
          <w:p>
            <w:pPr>
              <w:pStyle w:val="null3"/>
              <w:ind w:firstLine="422"/>
              <w:jc w:val="both"/>
            </w:pPr>
            <w:r>
              <w:rPr>
                <w:rFonts w:ascii="仿宋_GB2312" w:hAnsi="仿宋_GB2312" w:cs="仿宋_GB2312" w:eastAsia="仿宋_GB2312"/>
                <w:sz w:val="20"/>
              </w:rPr>
              <w:t>（二）技术要求</w:t>
            </w:r>
          </w:p>
          <w:p>
            <w:pPr>
              <w:pStyle w:val="null3"/>
              <w:ind w:firstLine="422"/>
              <w:jc w:val="both"/>
            </w:pPr>
            <w:r>
              <w:rPr>
                <w:rFonts w:ascii="仿宋_GB2312" w:hAnsi="仿宋_GB2312" w:cs="仿宋_GB2312" w:eastAsia="仿宋_GB2312"/>
                <w:sz w:val="20"/>
              </w:rPr>
              <w:t>1</w:t>
            </w:r>
            <w:r>
              <w:rPr>
                <w:rFonts w:ascii="仿宋_GB2312" w:hAnsi="仿宋_GB2312" w:cs="仿宋_GB2312" w:eastAsia="仿宋_GB2312"/>
                <w:sz w:val="20"/>
              </w:rPr>
              <w:t>、服务要求：</w:t>
            </w:r>
          </w:p>
          <w:p>
            <w:pPr>
              <w:pStyle w:val="null3"/>
              <w:ind w:firstLine="422"/>
              <w:jc w:val="both"/>
            </w:pPr>
            <w:r>
              <w:rPr>
                <w:rFonts w:ascii="仿宋_GB2312" w:hAnsi="仿宋_GB2312" w:cs="仿宋_GB2312" w:eastAsia="仿宋_GB2312"/>
                <w:sz w:val="20"/>
              </w:rPr>
              <w:t>（1）</w:t>
            </w:r>
            <w:r>
              <w:rPr>
                <w:rFonts w:ascii="仿宋_GB2312" w:hAnsi="仿宋_GB2312" w:cs="仿宋_GB2312" w:eastAsia="仿宋_GB2312"/>
                <w:sz w:val="20"/>
              </w:rPr>
              <w:t>第三方服务机构保证外包人员不少于</w:t>
            </w:r>
            <w:r>
              <w:rPr>
                <w:rFonts w:ascii="仿宋_GB2312" w:hAnsi="仿宋_GB2312" w:cs="仿宋_GB2312" w:eastAsia="仿宋_GB2312"/>
                <w:sz w:val="20"/>
              </w:rPr>
              <w:t>5</w:t>
            </w:r>
            <w:r>
              <w:rPr>
                <w:rFonts w:ascii="仿宋_GB2312" w:hAnsi="仿宋_GB2312" w:cs="仿宋_GB2312" w:eastAsia="仿宋_GB2312"/>
                <w:sz w:val="20"/>
              </w:rPr>
              <w:t>名工作人员从事本项目服务工作，至少一名人员要具有机动车驾驶技能以便开展工作。其中，日常稽核人员不少于</w:t>
            </w:r>
            <w:r>
              <w:rPr>
                <w:rFonts w:ascii="仿宋_GB2312" w:hAnsi="仿宋_GB2312" w:cs="仿宋_GB2312" w:eastAsia="仿宋_GB2312"/>
                <w:sz w:val="20"/>
              </w:rPr>
              <w:t>4</w:t>
            </w:r>
            <w:r>
              <w:rPr>
                <w:rFonts w:ascii="仿宋_GB2312" w:hAnsi="仿宋_GB2312" w:cs="仿宋_GB2312" w:eastAsia="仿宋_GB2312"/>
                <w:sz w:val="20"/>
              </w:rPr>
              <w:t>名（驻场负责</w:t>
            </w:r>
            <w:r>
              <w:rPr>
                <w:rFonts w:ascii="仿宋_GB2312" w:hAnsi="仿宋_GB2312" w:cs="仿宋_GB2312" w:eastAsia="仿宋_GB2312"/>
                <w:sz w:val="20"/>
              </w:rPr>
              <w:t>1</w:t>
            </w:r>
            <w:r>
              <w:rPr>
                <w:rFonts w:ascii="仿宋_GB2312" w:hAnsi="仿宋_GB2312" w:cs="仿宋_GB2312" w:eastAsia="仿宋_GB2312"/>
                <w:sz w:val="20"/>
              </w:rPr>
              <w:t>名、稽核人员</w:t>
            </w:r>
            <w:r>
              <w:rPr>
                <w:rFonts w:ascii="仿宋_GB2312" w:hAnsi="仿宋_GB2312" w:cs="仿宋_GB2312" w:eastAsia="仿宋_GB2312"/>
                <w:sz w:val="20"/>
              </w:rPr>
              <w:t>2</w:t>
            </w:r>
            <w:r>
              <w:rPr>
                <w:rFonts w:ascii="仿宋_GB2312" w:hAnsi="仿宋_GB2312" w:cs="仿宋_GB2312" w:eastAsia="仿宋_GB2312"/>
                <w:sz w:val="20"/>
              </w:rPr>
              <w:t>名、财务人员</w:t>
            </w:r>
            <w:r>
              <w:rPr>
                <w:rFonts w:ascii="仿宋_GB2312" w:hAnsi="仿宋_GB2312" w:cs="仿宋_GB2312" w:eastAsia="仿宋_GB2312"/>
                <w:sz w:val="20"/>
              </w:rPr>
              <w:t>1</w:t>
            </w:r>
            <w:r>
              <w:rPr>
                <w:rFonts w:ascii="仿宋_GB2312" w:hAnsi="仿宋_GB2312" w:cs="仿宋_GB2312" w:eastAsia="仿宋_GB2312"/>
                <w:sz w:val="20"/>
              </w:rPr>
              <w:t>名），数据分析人员</w:t>
            </w:r>
            <w:r>
              <w:rPr>
                <w:rFonts w:ascii="仿宋_GB2312" w:hAnsi="仿宋_GB2312" w:cs="仿宋_GB2312" w:eastAsia="仿宋_GB2312"/>
                <w:sz w:val="20"/>
              </w:rPr>
              <w:t>1</w:t>
            </w:r>
            <w:r>
              <w:rPr>
                <w:rFonts w:ascii="仿宋_GB2312" w:hAnsi="仿宋_GB2312" w:cs="仿宋_GB2312" w:eastAsia="仿宋_GB2312"/>
                <w:sz w:val="20"/>
              </w:rPr>
              <w:t>名。第三方服务机构工作人员需经医保部门认可，医保部门在招聘阶段参与人员选聘活动，对不认可的人员，第三方服务机构需更换人员。服务人员应道德良好，保密意识强，近</w:t>
            </w:r>
            <w:r>
              <w:rPr>
                <w:rFonts w:ascii="仿宋_GB2312" w:hAnsi="仿宋_GB2312" w:cs="仿宋_GB2312" w:eastAsia="仿宋_GB2312"/>
                <w:sz w:val="20"/>
              </w:rPr>
              <w:t>3</w:t>
            </w:r>
            <w:r>
              <w:rPr>
                <w:rFonts w:ascii="仿宋_GB2312" w:hAnsi="仿宋_GB2312" w:cs="仿宋_GB2312" w:eastAsia="仿宋_GB2312"/>
                <w:sz w:val="20"/>
              </w:rPr>
              <w:t>年来在工作中未受到有关部门的处理处罚。并必须包含财务、计算机信息技术、药学、价格、临床等与基金监管工作有关的专业背景或从业经历。服务团队在西安高新区社会保险基金管理中心的安排与指导下开展医疗保障基金监管等相关工作。</w:t>
            </w:r>
          </w:p>
          <w:p>
            <w:pPr>
              <w:pStyle w:val="null3"/>
              <w:ind w:firstLine="422"/>
              <w:jc w:val="both"/>
            </w:pPr>
            <w:r>
              <w:rPr>
                <w:rFonts w:ascii="仿宋_GB2312" w:hAnsi="仿宋_GB2312" w:cs="仿宋_GB2312" w:eastAsia="仿宋_GB2312"/>
                <w:sz w:val="20"/>
              </w:rPr>
              <w:t>（2）</w:t>
            </w:r>
            <w:r>
              <w:rPr>
                <w:rFonts w:ascii="仿宋_GB2312" w:hAnsi="仿宋_GB2312" w:cs="仿宋_GB2312" w:eastAsia="仿宋_GB2312"/>
                <w:sz w:val="20"/>
              </w:rPr>
              <w:t>第三方服务机构自行提供满足稽核委外业务工作开展所需的办公设施，且至少配备一辆固定交通工具停放在指定区域由西安高新区社会保险基金管理中心管理，以备随时开展相关工作所需。</w:t>
            </w:r>
          </w:p>
          <w:p>
            <w:pPr>
              <w:pStyle w:val="null3"/>
              <w:ind w:firstLine="422"/>
              <w:jc w:val="both"/>
            </w:pPr>
            <w:r>
              <w:rPr>
                <w:rFonts w:ascii="仿宋_GB2312" w:hAnsi="仿宋_GB2312" w:cs="仿宋_GB2312" w:eastAsia="仿宋_GB2312"/>
                <w:sz w:val="20"/>
              </w:rPr>
              <w:t>（3）</w:t>
            </w:r>
            <w:r>
              <w:rPr>
                <w:rFonts w:ascii="仿宋_GB2312" w:hAnsi="仿宋_GB2312" w:cs="仿宋_GB2312" w:eastAsia="仿宋_GB2312"/>
                <w:sz w:val="20"/>
              </w:rPr>
              <w:t>第三方服务机构按照西安高新区社会保险基金管理中心要求开展定点医疗机构、定点零售药店开展日常稽核检查、专项检查、医保政策宣传等工作。受理区内新增定点医药机构的现场评估工作，对定点医药机构进行年度考核工作。做好各种渠道来源的重点线索核查、驻点巡查、外伤协查、费用审核、异地协查、专家审核等相关工作。</w:t>
            </w:r>
          </w:p>
          <w:p>
            <w:pPr>
              <w:pStyle w:val="null3"/>
              <w:ind w:firstLine="422"/>
              <w:jc w:val="both"/>
            </w:pPr>
            <w:r>
              <w:rPr>
                <w:rFonts w:ascii="仿宋_GB2312" w:hAnsi="仿宋_GB2312" w:cs="仿宋_GB2312" w:eastAsia="仿宋_GB2312"/>
                <w:sz w:val="20"/>
              </w:rPr>
              <w:t>（4）</w:t>
            </w:r>
            <w:r>
              <w:rPr>
                <w:rFonts w:ascii="仿宋_GB2312" w:hAnsi="仿宋_GB2312" w:cs="仿宋_GB2312" w:eastAsia="仿宋_GB2312"/>
                <w:sz w:val="20"/>
              </w:rPr>
              <w:t>第三方服务机构按照相关要求创新基金监管方式，构建多层次、全方位的监管体系，逐步形成可借鉴、可推广、可复制的医保基金监管先进经验，有效补充提升西安高新区整体医保基金监管能力。</w:t>
            </w:r>
          </w:p>
          <w:p>
            <w:pPr>
              <w:pStyle w:val="null3"/>
              <w:ind w:firstLine="422"/>
              <w:jc w:val="both"/>
            </w:pPr>
            <w:r>
              <w:rPr>
                <w:rFonts w:ascii="仿宋_GB2312" w:hAnsi="仿宋_GB2312" w:cs="仿宋_GB2312" w:eastAsia="仿宋_GB2312"/>
                <w:sz w:val="20"/>
              </w:rPr>
              <w:t>（5）</w:t>
            </w:r>
            <w:r>
              <w:rPr>
                <w:rFonts w:ascii="仿宋_GB2312" w:hAnsi="仿宋_GB2312" w:cs="仿宋_GB2312" w:eastAsia="仿宋_GB2312"/>
                <w:sz w:val="20"/>
              </w:rPr>
              <w:t>第三方服务机构要建立完善工作情况和突发问题报告制度，定期或不定期（按月度、季度、半年和年度）按照甲方要求进行工作进展情况汇报，根据检查医药机构名单、数量、查处违规内容，涉案金额，处理结果等情况，汇总各项检查工作情况和信息材料，及时总结归纳参与医疗保障基金稽核的各项工作，形成可操作、可复制、可推广的经验做法和书面成果，并书面向甲方报告，随时接受甲方监督和检查。</w:t>
            </w:r>
          </w:p>
          <w:p>
            <w:pPr>
              <w:pStyle w:val="null3"/>
              <w:ind w:firstLine="422"/>
              <w:jc w:val="both"/>
            </w:pPr>
            <w:r>
              <w:rPr>
                <w:rFonts w:ascii="仿宋_GB2312" w:hAnsi="仿宋_GB2312" w:cs="仿宋_GB2312" w:eastAsia="仿宋_GB2312"/>
                <w:sz w:val="20"/>
              </w:rPr>
              <w:t>（6）</w:t>
            </w:r>
            <w:r>
              <w:rPr>
                <w:rFonts w:ascii="仿宋_GB2312" w:hAnsi="仿宋_GB2312" w:cs="仿宋_GB2312" w:eastAsia="仿宋_GB2312"/>
                <w:sz w:val="20"/>
              </w:rPr>
              <w:t>第三方服务机构要建立完备的档案管理制度，整理保存好检查稽核资料，并按照要求保存或向甲方移交。</w:t>
            </w:r>
          </w:p>
          <w:p>
            <w:pPr>
              <w:pStyle w:val="null3"/>
              <w:ind w:firstLine="422"/>
              <w:jc w:val="both"/>
            </w:pPr>
            <w:r>
              <w:rPr>
                <w:rFonts w:ascii="仿宋_GB2312" w:hAnsi="仿宋_GB2312" w:cs="仿宋_GB2312" w:eastAsia="仿宋_GB2312"/>
                <w:sz w:val="20"/>
              </w:rPr>
              <w:t>（7）</w:t>
            </w:r>
            <w:r>
              <w:rPr>
                <w:rFonts w:ascii="仿宋_GB2312" w:hAnsi="仿宋_GB2312" w:cs="仿宋_GB2312" w:eastAsia="仿宋_GB2312"/>
                <w:sz w:val="20"/>
              </w:rPr>
              <w:t>第三方服务机构要充分发挥专业技术支持作用，建立健全数据筛查、财务审计、病历审核等合作机制，创新医保基金监管方式，实现基金监管关口前移、高效、准确。</w:t>
            </w:r>
          </w:p>
          <w:p>
            <w:pPr>
              <w:pStyle w:val="null3"/>
              <w:ind w:firstLine="422"/>
              <w:jc w:val="both"/>
            </w:pPr>
            <w:r>
              <w:rPr>
                <w:rFonts w:ascii="仿宋_GB2312" w:hAnsi="仿宋_GB2312" w:cs="仿宋_GB2312" w:eastAsia="仿宋_GB2312"/>
                <w:sz w:val="20"/>
              </w:rPr>
              <w:t>（8）</w:t>
            </w:r>
            <w:r>
              <w:rPr>
                <w:rFonts w:ascii="仿宋_GB2312" w:hAnsi="仿宋_GB2312" w:cs="仿宋_GB2312" w:eastAsia="仿宋_GB2312"/>
                <w:sz w:val="20"/>
              </w:rPr>
              <w:t>第三方服务机构及其工作人员必须按照甲方要求签订相关保密承诺书及保密协议，承诺对本项目文件以及由甲方提供的所有内部资料、文档、被检查单位商业秘密以及有关工作秘密和信息予以保密；未经甲方书面许可，不得以任何形式向第三方透露本项目的任何内容。</w:t>
            </w:r>
          </w:p>
          <w:p>
            <w:pPr>
              <w:pStyle w:val="null3"/>
              <w:ind w:firstLine="422"/>
              <w:jc w:val="both"/>
            </w:pPr>
            <w:r>
              <w:rPr>
                <w:rFonts w:ascii="仿宋_GB2312" w:hAnsi="仿宋_GB2312" w:cs="仿宋_GB2312" w:eastAsia="仿宋_GB2312"/>
                <w:sz w:val="20"/>
              </w:rPr>
              <w:t>（9）</w:t>
            </w:r>
            <w:r>
              <w:rPr>
                <w:rFonts w:ascii="仿宋_GB2312" w:hAnsi="仿宋_GB2312" w:cs="仿宋_GB2312" w:eastAsia="仿宋_GB2312"/>
                <w:sz w:val="20"/>
              </w:rPr>
              <w:t>西安高新区社会保险基金管理中心将根据第三方服务机构汇报的检查医药机构名单、数量、查处违规内容，涉案金额，处理结果等情况，对第三方服务机构的工作情况进行考评。考核与支付费用挂钩，考核不通过的，西安高新区社会保险基金管理中心有权缓付或拒付服务费用。</w:t>
            </w:r>
          </w:p>
          <w:p>
            <w:pPr>
              <w:pStyle w:val="null3"/>
              <w:ind w:firstLine="422"/>
              <w:jc w:val="both"/>
            </w:pPr>
            <w:r>
              <w:rPr>
                <w:rFonts w:ascii="仿宋_GB2312" w:hAnsi="仿宋_GB2312" w:cs="仿宋_GB2312" w:eastAsia="仿宋_GB2312"/>
                <w:sz w:val="20"/>
              </w:rPr>
              <w:t>（10）</w:t>
            </w:r>
            <w:r>
              <w:rPr>
                <w:rFonts w:ascii="仿宋_GB2312" w:hAnsi="仿宋_GB2312" w:cs="仿宋_GB2312" w:eastAsia="仿宋_GB2312"/>
                <w:sz w:val="20"/>
              </w:rPr>
              <w:t>为确保外包经办工作的连续性，第三方服务机构服务外包人员离职需提前一个月提出申请，外包公司应及时补充空缺人员；若因外包服务公司发生变更、项目背景发生变化将此项目交由主管单位统一管理时，外包服务公司应确保新承接单位可择优录取原项目工作人员。</w:t>
            </w:r>
          </w:p>
          <w:p>
            <w:pPr>
              <w:pStyle w:val="null3"/>
              <w:ind w:firstLine="422"/>
              <w:jc w:val="both"/>
            </w:pPr>
            <w:r>
              <w:rPr>
                <w:rFonts w:ascii="仿宋_GB2312" w:hAnsi="仿宋_GB2312" w:cs="仿宋_GB2312" w:eastAsia="仿宋_GB2312"/>
                <w:sz w:val="20"/>
              </w:rPr>
              <w:t>（11）</w:t>
            </w:r>
            <w:r>
              <w:rPr>
                <w:rFonts w:ascii="仿宋_GB2312" w:hAnsi="仿宋_GB2312" w:cs="仿宋_GB2312" w:eastAsia="仿宋_GB2312"/>
                <w:sz w:val="20"/>
              </w:rPr>
              <w:t>第三方服务机构按照要求完成交办的其他工作。</w:t>
            </w:r>
          </w:p>
          <w:p>
            <w:pPr>
              <w:pStyle w:val="null3"/>
              <w:ind w:firstLine="422"/>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服务标准规范</w:t>
            </w:r>
          </w:p>
          <w:p>
            <w:pPr>
              <w:pStyle w:val="null3"/>
              <w:ind w:firstLine="422"/>
              <w:jc w:val="both"/>
            </w:pPr>
            <w:r>
              <w:rPr>
                <w:rFonts w:ascii="仿宋_GB2312" w:hAnsi="仿宋_GB2312" w:cs="仿宋_GB2312" w:eastAsia="仿宋_GB2312"/>
                <w:sz w:val="20"/>
              </w:rPr>
              <w:t>（1）</w:t>
            </w:r>
            <w:r>
              <w:rPr>
                <w:rFonts w:ascii="仿宋_GB2312" w:hAnsi="仿宋_GB2312" w:cs="仿宋_GB2312" w:eastAsia="仿宋_GB2312"/>
                <w:sz w:val="20"/>
              </w:rPr>
              <w:t>制度规范</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遵守相关的工作守则和规章制度，依法依规行事。</w:t>
            </w:r>
          </w:p>
          <w:p>
            <w:pPr>
              <w:pStyle w:val="null3"/>
              <w:ind w:firstLine="422"/>
              <w:jc w:val="both"/>
            </w:pPr>
            <w:r>
              <w:rPr>
                <w:rFonts w:ascii="仿宋_GB2312" w:hAnsi="仿宋_GB2312" w:cs="仿宋_GB2312" w:eastAsia="仿宋_GB2312"/>
                <w:sz w:val="20"/>
              </w:rPr>
              <w:t>1.2</w:t>
            </w:r>
            <w:r>
              <w:rPr>
                <w:rFonts w:ascii="仿宋_GB2312" w:hAnsi="仿宋_GB2312" w:cs="仿宋_GB2312" w:eastAsia="仿宋_GB2312"/>
                <w:sz w:val="20"/>
              </w:rPr>
              <w:t>制定《第三方服务机构内部控制制度》，对所有工作人员的行为进行进一步约束，保证工作的严谨和规范。</w:t>
            </w:r>
          </w:p>
          <w:p>
            <w:pPr>
              <w:pStyle w:val="null3"/>
              <w:ind w:firstLine="422"/>
              <w:jc w:val="both"/>
            </w:pPr>
            <w:r>
              <w:rPr>
                <w:rFonts w:ascii="仿宋_GB2312" w:hAnsi="仿宋_GB2312" w:cs="仿宋_GB2312" w:eastAsia="仿宋_GB2312"/>
                <w:sz w:val="20"/>
              </w:rPr>
              <w:t>1.3</w:t>
            </w:r>
            <w:r>
              <w:rPr>
                <w:rFonts w:ascii="仿宋_GB2312" w:hAnsi="仿宋_GB2312" w:cs="仿宋_GB2312" w:eastAsia="仿宋_GB2312"/>
                <w:sz w:val="20"/>
              </w:rPr>
              <w:t>所有工作人员均签署《数据安全责任书》《保密书》，并严格按照协议规定开展工作。</w:t>
            </w:r>
          </w:p>
          <w:p>
            <w:pPr>
              <w:pStyle w:val="null3"/>
              <w:ind w:firstLine="422"/>
              <w:jc w:val="both"/>
            </w:pPr>
            <w:r>
              <w:rPr>
                <w:rFonts w:ascii="仿宋_GB2312" w:hAnsi="仿宋_GB2312" w:cs="仿宋_GB2312" w:eastAsia="仿宋_GB2312"/>
                <w:sz w:val="20"/>
              </w:rPr>
              <w:t>1.4</w:t>
            </w:r>
            <w:r>
              <w:rPr>
                <w:rFonts w:ascii="仿宋_GB2312" w:hAnsi="仿宋_GB2312" w:cs="仿宋_GB2312" w:eastAsia="仿宋_GB2312"/>
                <w:sz w:val="20"/>
              </w:rPr>
              <w:t>建立会议管理制度，针对日常工作，组织定期和不定期的工作会议，对涉及临床有争议的问题单据组织专家评审，及对重大工作事项组织联席会议等会议制度。</w:t>
            </w:r>
          </w:p>
          <w:p>
            <w:pPr>
              <w:pStyle w:val="null3"/>
              <w:ind w:firstLine="422"/>
              <w:jc w:val="both"/>
            </w:pPr>
            <w:r>
              <w:rPr>
                <w:rFonts w:ascii="仿宋_GB2312" w:hAnsi="仿宋_GB2312" w:cs="仿宋_GB2312" w:eastAsia="仿宋_GB2312"/>
                <w:sz w:val="20"/>
              </w:rPr>
              <w:t xml:space="preserve">1.5 </w:t>
            </w:r>
            <w:r>
              <w:rPr>
                <w:rFonts w:ascii="仿宋_GB2312" w:hAnsi="仿宋_GB2312" w:cs="仿宋_GB2312" w:eastAsia="仿宋_GB2312"/>
                <w:sz w:val="20"/>
              </w:rPr>
              <w:t>加强员工廉政教育，筑牢廉政自律防线，一旦发现问题移交相关部门予以处理。</w:t>
            </w:r>
          </w:p>
          <w:p>
            <w:pPr>
              <w:pStyle w:val="null3"/>
              <w:ind w:firstLine="422"/>
              <w:jc w:val="both"/>
            </w:pPr>
            <w:r>
              <w:rPr>
                <w:rFonts w:ascii="仿宋_GB2312" w:hAnsi="仿宋_GB2312" w:cs="仿宋_GB2312" w:eastAsia="仿宋_GB2312"/>
                <w:sz w:val="20"/>
              </w:rPr>
              <w:t>（2）</w:t>
            </w:r>
            <w:r>
              <w:rPr>
                <w:rFonts w:ascii="仿宋_GB2312" w:hAnsi="仿宋_GB2312" w:cs="仿宋_GB2312" w:eastAsia="仿宋_GB2312"/>
                <w:sz w:val="20"/>
              </w:rPr>
              <w:t>信息安全规范</w:t>
            </w:r>
          </w:p>
          <w:p>
            <w:pPr>
              <w:pStyle w:val="null3"/>
              <w:ind w:firstLine="422"/>
              <w:jc w:val="both"/>
            </w:pPr>
            <w:r>
              <w:rPr>
                <w:rFonts w:ascii="仿宋_GB2312" w:hAnsi="仿宋_GB2312" w:cs="仿宋_GB2312" w:eastAsia="仿宋_GB2312"/>
                <w:sz w:val="20"/>
              </w:rPr>
              <w:t>根据《社会保险法》及相关规定，制定信息安全保密制度，并与工作人员就医保稽核及经办业务工作内容等制度签署保密协议。应规范数据管理和应用，保证工作人员能够遵守保密规定。工作中掌握的医保费用信息只能用于稽核项目服务及其他相关工作，未经医保局批准不得向任何第三方披露费用信息，严禁对外提供、复制、公布、出售或者变相交易医疗保险数据；经常性开展安全检查，采取物理隔离等办法，切断数据泄漏渠道，消除数据安全隐患。</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服务指标规范</w:t>
            </w:r>
          </w:p>
          <w:p>
            <w:pPr>
              <w:pStyle w:val="null3"/>
            </w:pPr>
            <w:r>
              <w:rPr>
                <w:rFonts w:ascii="仿宋_GB2312" w:hAnsi="仿宋_GB2312" w:cs="仿宋_GB2312" w:eastAsia="仿宋_GB2312"/>
                <w:sz w:val="21"/>
              </w:rPr>
              <w:t>通过信息化系统对医药机构的医疗费用和医疗服务行为发生趋势进行分析提升工作效率；定期分析、对比就诊率、发病率、平均住院费用等医疗质量和医保管理指标；定期分析药品费用、用药结构等情况，监测重点药品使用情况和诊疗行为；定期分析诊疗行为、诊疗效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合同履行半年后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服务期届满后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2.为顺利推进政府采购电子化交易平台应用工作，供应商需要在线提交所有通过电子化交易平台实施的政府采购项目的投标文件，同时，线下提交纸质投标文件正本一份、副本一份、电子版一份（U盘壹份，电子版文件需为上传至系统后签字盖章的PDF版文件），具体要求详见公告。 3.需要落实的政府采购政策：1）《国务院办公厅关于建立政府强制采购节能产品制度的通知》（国办发〔2007〕51号）； 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09）《关于扩大政府采购支持绿色建材促进建筑品质提升政策实施范围的通知》（财库〔2022〕35号） 3、若因系统设置原因，3.3.5条款的支付约定与本项目拟签订合同中的付款方式不一致时，以拟签订合同文本中的付款方式为准。 拟签订合同中的付款方式为：（一）付款方式：合同签订后 ，达到付款条件起 30 个工作日内，支付合同总金额的 40.00%；合同履行半年后 ，达到付款条件起30 个工作日内，支付合同总金额的 20.00%；服务期届满后 ，达到付款条件起 30 个工作日内，支付合同总金额的 40.00%。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三、资格审查.docx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三、资格审查.docx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三、资格审查.docx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供应商提供2024年度经审计的财务审计报告（事业法人可提供部门决算报告）；或提供供应商基本账户银行出具的资信证明；或提供政府采购专业担保机构出具的投标担保函；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三、资格审查.docx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三、资格审查.docx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通过符合性审查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项目周期（服务期限）</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一、磋商响应第一次报价表.docx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一、磋商响应第一次报价表.docx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报价唯一，且未超过采购限价。</w:t>
            </w:r>
          </w:p>
        </w:tc>
        <w:tc>
          <w:tcPr>
            <w:tcW w:type="dxa" w:w="1661"/>
          </w:tcPr>
          <w:p>
            <w:pPr>
              <w:pStyle w:val="null3"/>
            </w:pPr>
            <w:r>
              <w:rPr>
                <w:rFonts w:ascii="仿宋_GB2312" w:hAnsi="仿宋_GB2312" w:cs="仿宋_GB2312" w:eastAsia="仿宋_GB2312"/>
              </w:rPr>
              <w:t>一、磋商响应第一次报价表.docx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一、磋商响应第一次报价表.docx 中小企业声明函 残疾人福利性单位声明函 二、法定代表人身份证明.docx 三、资格审查.docx 标的清单 四、服务方案部分.docx 报价表 响应函 五、承诺书.docx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单位负责人）参加的，须提供法定代表人（单位负责人）身份证明（附法定代表人（单位负责人）身份证复印件）；法定代表人（单位负责人）授权他人参加的，须提供法定代表人（单位负责人）委托授权书（附法定代表人（单位负责人）、被授权人身份证复印件、被授权人社保缴纳证明）；</w:t>
            </w:r>
          </w:p>
        </w:tc>
        <w:tc>
          <w:tcPr>
            <w:tcW w:type="dxa" w:w="3322"/>
          </w:tcPr>
          <w:p>
            <w:pPr>
              <w:pStyle w:val="null3"/>
            </w:pPr>
            <w:r>
              <w:rPr>
                <w:rFonts w:ascii="仿宋_GB2312" w:hAnsi="仿宋_GB2312" w:cs="仿宋_GB2312" w:eastAsia="仿宋_GB2312"/>
              </w:rPr>
              <w:t>见招标文件格式“二、法定代表人（单位负责人/自然人）身份证明、法定代表人授权委托书”要求。</w:t>
            </w:r>
          </w:p>
        </w:tc>
        <w:tc>
          <w:tcPr>
            <w:tcW w:type="dxa" w:w="1661"/>
          </w:tcPr>
          <w:p>
            <w:pPr>
              <w:pStyle w:val="null3"/>
            </w:pPr>
            <w:r>
              <w:rPr>
                <w:rFonts w:ascii="仿宋_GB2312" w:hAnsi="仿宋_GB2312" w:cs="仿宋_GB2312" w:eastAsia="仿宋_GB2312"/>
              </w:rPr>
              <w:t>二、法定代表人身份证明.docx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一、磋商响应第一次报价表.docx 中小企业声明函 残疾人福利性单位声明函 二、法定代表人身份证明.docx 三、资格审查.docx 标的清单 四、服务方案部分.docx 报价表 响应函 五、承诺书.docx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对用户的采购需求进行全面分析，根据项目熟识程度及项目的理解情况进行综合比较。 对项目需求、医疗保险的费用审核和监督现状的理解完全满足本项目要求，计10分； 对项目需求、医疗保险的费用审核和监督现状的理解较满足本项目要求，计8分； 对项目需求、医疗保险的费用审核和监督现状的理解基本满足本项目要求，计6分； 供应商不清楚本项目需求、对医疗保险的费用审核和监督现状的不熟识，计2分；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人要求的稽核业务范围、内容、目标，对供应商针对本项目提供的服务方案进行综合比较。服务方案（包含但不限于以下内容：工作流程、工作计划、工作时效、质量保证、人员配备方案、法律法规的掌握程度、成果文件规范、准确性等） 服务方案内容全面、合理、可实施性强，与项目贴合性高，计15分； 服务方案内容较全面、合理、可实施性较强，基本贴合本项目，计12分； 服务方案内容的全面性、合理性及可行性一般，计9分； 服务方案内容较为简单，计 6分； 服务方案内容混乱，欠合理可行，计 2分； 未提供此项不得分；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人员管理措施及档案资料管理措施</w:t>
            </w:r>
          </w:p>
        </w:tc>
        <w:tc>
          <w:tcPr>
            <w:tcW w:type="dxa" w:w="2492"/>
          </w:tcPr>
          <w:p>
            <w:pPr>
              <w:pStyle w:val="null3"/>
            </w:pPr>
            <w:r>
              <w:rPr>
                <w:rFonts w:ascii="仿宋_GB2312" w:hAnsi="仿宋_GB2312" w:cs="仿宋_GB2312" w:eastAsia="仿宋_GB2312"/>
              </w:rPr>
              <w:t>根据供应商提供的人员管理措施及档案资料管理措施，进行综合比较。 （包含但不限于：资料审核制度；人员管理措施；档案资料的交接、审核、保管、移交、归档等） 人员管理措施及档案资料管理完善、适用性强，与项目贴合性高，计10分。 人员管理措施及档案资料管理较完善、适用性较强，计8分； 人员管理措施及档案资料管理基本完善、适用性一般，计6分； 人员管理措施及档案资料管理混乱、欠合理可行，计2分；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针对本项目中可能出现的突发事件供应商提供应急方案及解决措施，根据应急处理能力和资源调配能力等进行综合比较。 应急方案内容全面、合理，可行，计10分； 应急方案内容较全面、较合理可行，计8分； 应急方案内容的全面性，合理性及可行性一般，计6分； 应急方案内容的混乱，欠合理可行，计2分；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人员配置-项目团队人员</w:t>
            </w:r>
          </w:p>
        </w:tc>
        <w:tc>
          <w:tcPr>
            <w:tcW w:type="dxa" w:w="2492"/>
          </w:tcPr>
          <w:p>
            <w:pPr>
              <w:pStyle w:val="null3"/>
            </w:pPr>
            <w:r>
              <w:rPr>
                <w:rFonts w:ascii="仿宋_GB2312" w:hAnsi="仿宋_GB2312" w:cs="仿宋_GB2312" w:eastAsia="仿宋_GB2312"/>
              </w:rPr>
              <w:t>项目组团队人员配备需满足采购人要求，在此基础上，根据供应商项目组团队人员配备情况、职业资格、经验、从业年限等方面进行综合比较。（可后附相关人员的毕业证、驾驶证、经验证明材料等） 项目人员经验丰富，专业性强，分工明确，完全可以满足采购需求，相关人员证书齐全，计10分； 项目人员经验较为丰富、专业性较强，分工较为明确，较能满足采购需求，相关人员证书较为齐全，计8分； 项目人员配备专业性一般、分工基本明确，基本满足采购需求，相关人员证书较少，计6分； 项目人员配备欠缺经验，缺乏专业性，无相关人员证书，计2分；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对供应商综合应用信息化技术手段、大数据服务能力、医疗保险费用线上线下风控实力，进行综合比较。 信息化技术手段、大数据服务内容全面、医疗保险费用线上线下风控措施合理可行，计10分； 信息化技术手段、大数据服务内容较全面、医疗保险费用线上线下风控措施较合理可行，计8分； 信息化技术手段、大数据服务内容较全面、医疗保险费用线上线下风控措施基本可行，计6分； 信息化技术手段、大数据服务内简单、医疗保险费用线上线下风控措施欠合理，计2分；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根据采购需求，对供应商提供的售后服务承诺进行综合比较。（服务承诺包含但不限于：服务内容承诺、服务质量承诺、时效承诺、人员保障承诺等） 服务承诺完整、全面、合理可行，计10分； 服务承诺较完整、较全面、较合理可行，计8分； 服务承诺内容简单、基本全面，计6分； 服务承诺内容混乱、欠合理，计2分；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廉洁承诺及保密措施</w:t>
            </w:r>
          </w:p>
        </w:tc>
        <w:tc>
          <w:tcPr>
            <w:tcW w:type="dxa" w:w="2492"/>
          </w:tcPr>
          <w:p>
            <w:pPr>
              <w:pStyle w:val="null3"/>
            </w:pPr>
            <w:r>
              <w:rPr>
                <w:rFonts w:ascii="仿宋_GB2312" w:hAnsi="仿宋_GB2312" w:cs="仿宋_GB2312" w:eastAsia="仿宋_GB2312"/>
              </w:rPr>
              <w:t>供应商须提供详尽、可行的廉洁承诺；且本项目实施过程中涉及保密内容的，提供保密措施，根据响应情况综合比较。 廉洁承诺内容全面，保密措施合理可行，计5分； 廉洁承诺内容较全面，保密措施较合理可行，计3分； 廉洁承诺内容混乱，保密措施欠合理，计1分； 未提供此项不得分；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四、服务方案部分.docx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具有自2022年1月1日以来类似项目经验，并提供相关证明材料（证明材料包含但不限于：合同复印件或稽查报告），每个计 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四、服务方案部分.docx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采用低价优先法计算，即满足磋商文件要求且最终磋商报价最低的报价为评标基准价，其价格分为满分。磋商报价得分＝（评标基准价/磋商报价）×10 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一、磋商响应第一次报价表.docx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详见附件：一、磋商响应第一次报价表.docx</w:t>
      </w:r>
    </w:p>
    <w:p>
      <w:pPr>
        <w:pStyle w:val="null3"/>
        <w:ind w:firstLine="960"/>
      </w:pPr>
      <w:r>
        <w:rPr>
          <w:rFonts w:ascii="仿宋_GB2312" w:hAnsi="仿宋_GB2312" w:cs="仿宋_GB2312" w:eastAsia="仿宋_GB2312"/>
        </w:rPr>
        <w:t>详见附件：二、法定代表人身份证明.docx</w:t>
      </w:r>
    </w:p>
    <w:p>
      <w:pPr>
        <w:pStyle w:val="null3"/>
        <w:ind w:firstLine="960"/>
      </w:pPr>
      <w:r>
        <w:rPr>
          <w:rFonts w:ascii="仿宋_GB2312" w:hAnsi="仿宋_GB2312" w:cs="仿宋_GB2312" w:eastAsia="仿宋_GB2312"/>
        </w:rPr>
        <w:t>详见附件：三、资格审查.docx</w:t>
      </w:r>
    </w:p>
    <w:p>
      <w:pPr>
        <w:pStyle w:val="null3"/>
        <w:ind w:firstLine="960"/>
      </w:pPr>
      <w:r>
        <w:rPr>
          <w:rFonts w:ascii="仿宋_GB2312" w:hAnsi="仿宋_GB2312" w:cs="仿宋_GB2312" w:eastAsia="仿宋_GB2312"/>
        </w:rPr>
        <w:t>详见附件：四、服务方案部分.docx</w:t>
      </w:r>
    </w:p>
    <w:p>
      <w:pPr>
        <w:pStyle w:val="null3"/>
        <w:ind w:firstLine="960"/>
      </w:pPr>
      <w:r>
        <w:rPr>
          <w:rFonts w:ascii="仿宋_GB2312" w:hAnsi="仿宋_GB2312" w:cs="仿宋_GB2312" w:eastAsia="仿宋_GB2312"/>
        </w:rPr>
        <w:t>详见附件：五、承诺书.docx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