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版本号：ZCZX2025-CS-20120251013001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西安高新区管委会电子政务网络安全服务项目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ZCZX2025-CS-201</w:t>
      </w:r>
      <w:r>
        <w:br/>
      </w:r>
      <w:r>
        <w:br/>
      </w:r>
      <w:r>
        <w:br/>
      </w:r>
    </w:p>
    <w:p>
      <w:pPr>
        <w:pStyle w:val="null3"/>
        <w:jc w:val="center"/>
        <w:outlineLvl w:val="2"/>
      </w:pPr>
      <w:r>
        <w:rPr>
          <w:rFonts w:ascii="仿宋_GB2312" w:hAnsi="仿宋_GB2312" w:cs="仿宋_GB2312" w:eastAsia="仿宋_GB2312"/>
          <w:sz w:val="28"/>
          <w:b/>
        </w:rPr>
        <w:t>西安高新技术产业开发区工业和信息化局</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西安高新技术产业开发区工业和信息化局</w:t>
      </w:r>
      <w:r>
        <w:rPr>
          <w:rFonts w:ascii="仿宋_GB2312" w:hAnsi="仿宋_GB2312" w:cs="仿宋_GB2312" w:eastAsia="仿宋_GB2312"/>
        </w:rPr>
        <w:t>委托，拟对</w:t>
      </w:r>
      <w:r>
        <w:rPr>
          <w:rFonts w:ascii="仿宋_GB2312" w:hAnsi="仿宋_GB2312" w:cs="仿宋_GB2312" w:eastAsia="仿宋_GB2312"/>
        </w:rPr>
        <w:t>西安高新区管委会电子政务网络安全服务项目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西安高新区管委会电子政务网络安全服务项目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提供西安高新区管委会电子政务网络安全服务，包含但不限于网络安全检查服务、攻防演练服务、应急演练服务、安全培训服务、安全设备服务、等保测评服务等。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采购包1（西安高新区管委会电子政务网络安全服务项目）：属于专门面向中小企业采购。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西安高新技术产业开发区工业和信息化局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029-88333822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西安高新技术产业开发区工业和信息化局</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西安高新技术产业开发区工业和信息化局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西安高新技术产业开发区工业和信息化局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提供西安高新区管委会电子政务网络安全服务，包含但不限于网络安全检查服务、攻防演练服务、应急演练服务、安全培训服务、安全设备服务、等保测评服务等。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535,000.00</w:t>
      </w:r>
    </w:p>
    <w:p>
      <w:pPr>
        <w:pStyle w:val="null3"/>
      </w:pPr>
      <w:r>
        <w:rPr>
          <w:rFonts w:ascii="仿宋_GB2312" w:hAnsi="仿宋_GB2312" w:cs="仿宋_GB2312" w:eastAsia="仿宋_GB2312"/>
        </w:rPr>
        <w:t>采购包最高限价（元）: 535,000.00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西安高新区管委会电子政务网络安全服务项目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标的名称：西安高新区管委会电子政务网络安全服务项目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一、服务内容</w:t>
            </w:r>
          </w:p>
          <w:tbl>
            <w:tblPr>
              <w:tblInd w:type="dxa" w:w="90"/>
              <w:tblBorders>
                <w:top w:val="single"/>
                <w:left w:val="single"/>
                <w:bottom w:val="single"/>
                <w:right w:val="single"/>
                <w:insideH w:val="single"/>
                <w:insideV w:val="single"/>
              </w:tblBorders>
            </w:tblPr>
            <w:tblGrid>
              <w:gridCol w:w="159"/>
              <w:gridCol w:w="276"/>
              <w:gridCol w:w="2117"/>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服务名称</w:t>
                  </w:r>
                </w:p>
              </w:tc>
              <w:tc>
                <w:tcPr>
                  <w:tcW w:type="dxa" w:w="2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382"/>
                    <w:jc w:val="left"/>
                  </w:pPr>
                  <w:r>
                    <w:rPr>
                      <w:rFonts w:ascii="仿宋_GB2312" w:hAnsi="仿宋_GB2312" w:cs="仿宋_GB2312" w:eastAsia="仿宋_GB2312"/>
                      <w:sz w:val="20"/>
                    </w:rPr>
                    <w:t>服务内容及要求</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网络安全检查服务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从资产评估、威胁评估、脆弱性评估以及风险分析多个层面，自查开展情况、安全管理制度的制定和落实情况、物理安全、网络安全、主机安全、应用安全、数据安全情况、技术防护措施建设和运维情况等，进行网络安全合规性检查、漏洞扫描、配置基线核查等服务。安全检查服务≥4次/年。</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攻防演练服务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在真实的网络环境中进行攻击、防御，发现并解决存在的安全问题，为提升网络与信息安全保障能力积累经验，按年所需，保证每次演练时间≥5天，演练人数≥7人，其中攻击队不少于5人，保障队不少于2人。攻防演练服务≥1次/年。</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应急演练服务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根据安全事件应急演练相关标准，协助采购人编写安全事件的演练方案、剧本及相关输出物，并在演练实施过程中提供技术支持，帮助采购人验证预案的有效性，锻炼技术人员的安全事件处置能力，应急演练≥1次/年。</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渗透测试服务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利用安全扫描工具和富有经验的安全工程师，人工对网络中重要的业务系统进行非破坏性质的模拟黑客攻击，目的是侵入系统并获取相关信息并将入侵的过程和细节产生报告给采购人。按年所需，渗透系统包括但不限于新上线系统、重要核心业务系统等，参与渗透测试人员中需具备注册信息安全专业人员渗透测试工程师证书(CISP—pte)。</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安全培训服务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对管委会各部门人员进行网络安全法解读、个人信息保护、等级保护2.0制度、数据安全法案以及安全意识培训。安全培训≥2次/年。对技术人员进行CTF技能、密码学、逆向对抗、AWD技能、SQL注入、缓冲区溢出漏洞、跨站脚本攻击技等安全技能培训。按年所需，安全讲师具备注册信息安全专业人员证书(CISP)。</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安全优化加固服务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从策略、管理机构和人员、系统安全运维、系统安全建设等方面进行细化安全整体提升。</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安全运维服务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通过每天的日志分析、预警处理、事件处理、风险预判填写相应的日报、周报、月报、季报等过程文档。另外包含外联单位安全管理。驻场专业安全网络工程师1名（具备注册信息安全专业人员渗透测试工程师证书(CISP—pte)），巡检报告全年≥12次。</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重大保障服务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在国家重大活动期间及时发现并处置网络安全隐患,充分做好网络应急响应准备和安全保障工作,避免出现黑客攻击入侵、篡改事件、感染勒索病毒等安全事件。按年所需，包括但不限于国庆节、两会及国家重大节日等，重保期间实施24小时现场重保值守，每次重保人员≥3人。</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等级保护测评</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等级保护测评系统3级，2套/年。</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应急响应</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在安全事件发生后2小时内启动响应流程，控制攻击扩散，定位攻击入口、攻击路径及失陷资产，明确责任主体。减少业务中断时间，避免数据泄露或系统瘫痪。满足《网络安法》《数据安全法》对事件处置的法定要求，按年所需，应急响应人员具备信息网络安全相关专业证书。</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风险评估服务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依据《GBT20984-2022 信息安全技术 信息安全风险评估方法》中对风险评估的相关要求，进行整体业务系统安全风险评估1次，评估内容包括但不限于资产识别与赋值、威胁识别与分析、脆弱性识别与评估、风险分析与评价、风险应对策略制定和编制风险评估报告，按年所需，实施人员≥3人。</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安全有效性验证服务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通过部署入侵与攻击模拟系统(BAS)，结合人工形式开展安全有效性验证1次，对现有防护设备进行持续化安全防护有效性验证，并出具安全有效性验证评估报告。</w:t>
                  </w:r>
                  <w:r>
                    <w:br/>
                  </w:r>
                  <w:r>
                    <w:rPr>
                      <w:rFonts w:ascii="仿宋_GB2312" w:hAnsi="仿宋_GB2312" w:cs="仿宋_GB2312" w:eastAsia="仿宋_GB2312"/>
                      <w:sz w:val="20"/>
                    </w:rPr>
                    <w:t xml:space="preserve"> 服务提供设备功能要求：</w:t>
                  </w:r>
                  <w:r>
                    <w:br/>
                  </w:r>
                  <w:r>
                    <w:rPr>
                      <w:rFonts w:ascii="仿宋_GB2312" w:hAnsi="仿宋_GB2312" w:cs="仿宋_GB2312" w:eastAsia="仿宋_GB2312"/>
                      <w:sz w:val="20"/>
                    </w:rPr>
                    <w:t xml:space="preserve"> 1.支持展示ATT&amp;CK全量战术与技术，及所有威胁中ATT&amp;CK技术的使用次数；</w:t>
                  </w:r>
                  <w:r>
                    <w:br/>
                  </w:r>
                  <w:r>
                    <w:rPr>
                      <w:rFonts w:ascii="仿宋_GB2312" w:hAnsi="仿宋_GB2312" w:cs="仿宋_GB2312" w:eastAsia="仿宋_GB2312"/>
                      <w:sz w:val="20"/>
                    </w:rPr>
                    <w:t xml:space="preserve"> 2.支持设置单个验证、场景验证攻击任务超时时间，超时后自动结束任务；</w:t>
                  </w:r>
                  <w:r>
                    <w:br/>
                  </w:r>
                  <w:r>
                    <w:rPr>
                      <w:rFonts w:ascii="仿宋_GB2312" w:hAnsi="仿宋_GB2312" w:cs="仿宋_GB2312" w:eastAsia="仿宋_GB2312"/>
                      <w:sz w:val="20"/>
                    </w:rPr>
                    <w:t xml:space="preserve"> 3.支持设置HTTP模拟单向WAF模式攻击任务的WAF地址、拦截状态码；</w:t>
                  </w:r>
                  <w:r>
                    <w:br/>
                  </w:r>
                  <w:r>
                    <w:rPr>
                      <w:rFonts w:ascii="仿宋_GB2312" w:hAnsi="仿宋_GB2312" w:cs="仿宋_GB2312" w:eastAsia="仿宋_GB2312"/>
                      <w:sz w:val="20"/>
                    </w:rPr>
                    <w:t xml:space="preserve"> 4.支持设置一组信任的不被攻击的DNS域名列表；</w:t>
                  </w:r>
                  <w:r>
                    <w:br/>
                  </w:r>
                  <w:r>
                    <w:rPr>
                      <w:rFonts w:ascii="仿宋_GB2312" w:hAnsi="仿宋_GB2312" w:cs="仿宋_GB2312" w:eastAsia="仿宋_GB2312"/>
                      <w:sz w:val="20"/>
                    </w:rPr>
                    <w:t xml:space="preserve"> 5.支持通过配置宿主机、虚拟机、防火墙规则来设置命令执行的沙箱环境，同时支持虚拟机打快照，记录配置沙箱环境的操作日志。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web</w:t>
                  </w:r>
                  <w:r>
                    <w:rPr>
                      <w:rFonts w:ascii="仿宋_GB2312" w:hAnsi="仿宋_GB2312" w:cs="仿宋_GB2312" w:eastAsia="仿宋_GB2312"/>
                      <w:sz w:val="20"/>
                    </w:rPr>
                    <w:t>应用防护服务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识别及阻断各类传统防火墙无法识别的WEB应用攻击，基于规则和攻击行为的防护策略，实现SQL注入、跨站脚本等应用层攻击的安全防护，可对Web应用系统服务器进行全方位的防护以及网页后门木马拦截。</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原有安全设备的维保服务</w:t>
                  </w:r>
                </w:p>
              </w:tc>
              <w:tc>
                <w:tcPr>
                  <w:tcW w:type="dxa" w:w="2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针对原有的网络安全设备进行维修保养、升级，确保原有网络安全设备配置合理、运行在最佳状态。系统原有设备如下：</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华为防火墙USG6650E 2台特征库维保，期限一年。</w:t>
                  </w:r>
                  <w:r>
                    <w:br/>
                  </w:r>
                  <w:r>
                    <w:rPr>
                      <w:rFonts w:ascii="仿宋_GB2312" w:hAnsi="仿宋_GB2312" w:cs="仿宋_GB2312" w:eastAsia="仿宋_GB2312"/>
                      <w:sz w:val="20"/>
                    </w:rPr>
                    <w:t xml:space="preserve"> 2.华为防火墙USG6625E 2台特征库维保，期限一年。</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拟配备团队成员需具备信息网络安全相关专业证书。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次网络安全服务项目以购买服务的方式，建立网络安全防护和运维体系，供应商所提供服务内容应满足电子政务网络安全的各项要求，确保采购人电子政务网络安全运行，如因服务不到位而发生网络安全事故，供应商应立即组织处理并承担相应责任。 2.本项目服务所需设备的规格、数量由供应商根据实际情况自行确定，但不应低于招标要求，由于供应商考虑不周造成的费用由供应商自行承担，设备资产属于供应商。 3.如服务期良好，可在服务内容和服务标准等不变的情况下续签一年服务。在实施过程中因预算调整或者需求变更等情况无法继续的，由采购人重新组织采购。</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西安高新技术产业开发区管理委员会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每季度完成预定的服务内容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每季度完成预定的服务内容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每季度完成预定的服务内容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每季度完成预定的服务内容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针对本项目提出的总体网络安全服务方案： 1.网络安全检查服务方案； 2.攻防演练服务方案； 3.应急演练服务方案。 4.渗透测试服务方案； 5.安全培训服务方案； 6.安全优化加固服务方案； 7.安全运维服务方案； 8.重大保障服务方案； 9.等级保护测评方案； 10.应急响应服务方案； 11.风险评估服务方案； 12.安全有效性验证服务方案； 13.web应用防护服务方案； 14.原有安全设备维保服务方案； 15.信息安全保密方案。 二、评审标准 1.完整性:方案必须全面，对评审内容中的各项要求有详细描述； 2.可实施性:切合本项目实际情况，提出步骤清晰、合理的方案； 3.针对性:方案能够紧扣项目实际情况，内容科学合理。 三、赋分标准(满分45分) 以上每项每完全满足一个评审标准得1分，单项满分3分。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1.组织保障方案； 2.硬件设备保障方案 ； 3.时间进度保障方案。 二、评审标准 1.完整性:方案必须全面，对评审内容中的各项要求有详细描述； 2.可实施性:切合本项目实际情况，提出步骤清晰、合理的方案； 3.针对性:方案能够紧扣项目实际情况，内容科学合理。 三、赋分标准(满分18分) 以上每项每完全满足一个评审标准得2分，单项满分6分。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一、评审内容 1.项目负责人具备中华人民共和国人力资源和社会保障部颁发的信息系统项目管理师（高级），计3分。 2.拟配备团队成员中具有注册信息安全专业人员渗透测试工程师证书（CISP-PTE）；每提供一个证书计1分，满分5分。 3.拟配备团队成员中具有注册信息安全工程师证书（CISE）；每提供一个证书计1分，满分6分。 注：以上人员不重复计算，需提供相关证明材料（身份证、资质证书、社保或劳动合同）。</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供应商具备信息安全服务资质认证证书， ISO27001信息安全管理体系认证证书，ITSS信息技术服务认证证书,具备一项得1分，满分3分。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供应商提供2022年01月（以合同签订时间为准）至今类似项目业绩（业绩以合同为依据），每提供一个业绩证明计2分，满分10分。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