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版本号：SCZC2025-CS-2583-00120251013001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开展消费品以旧换新审核及最终审计服务项目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SCZC2025-CS-2583-001</w:t>
      </w:r>
      <w:r>
        <w:br/>
      </w:r>
      <w:r>
        <w:br/>
      </w:r>
      <w:r>
        <w:br/>
      </w:r>
    </w:p>
    <w:p>
      <w:pPr>
        <w:pStyle w:val="null3"/>
        <w:jc w:val="center"/>
        <w:outlineLvl w:val="2"/>
      </w:pPr>
      <w:r>
        <w:rPr>
          <w:rFonts w:ascii="仿宋_GB2312" w:hAnsi="仿宋_GB2312" w:cs="仿宋_GB2312" w:eastAsia="仿宋_GB2312"/>
          <w:sz w:val="28"/>
          <w:b/>
        </w:rPr>
        <w:t>西安高新技术产业开发区商务局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西安高新技术产业开发区商务局</w:t>
      </w:r>
      <w:r>
        <w:rPr>
          <w:rFonts w:ascii="仿宋_GB2312" w:hAnsi="仿宋_GB2312" w:cs="仿宋_GB2312" w:eastAsia="仿宋_GB2312"/>
        </w:rPr>
        <w:t>委托，拟对</w:t>
      </w:r>
      <w:r>
        <w:rPr>
          <w:rFonts w:ascii="仿宋_GB2312" w:hAnsi="仿宋_GB2312" w:cs="仿宋_GB2312" w:eastAsia="仿宋_GB2312"/>
        </w:rPr>
        <w:t>开展消费品以旧换新审核及最终审计服务项目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SCZC2025-CS-2583-001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开展消费品以旧换新审核及最终审计服务项目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2025年西安市加力扩围消费品以旧换新政策措施及实施方案》在汽车、家电、数码、电动自行车、家装厨卫（含电商平台）5个领域分别发放消费折扣券补贴，本项目旨在确保高新区以上5个领域的消费折扣券补贴及时、准确、有效核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采购包1（开展消费品以旧换新审核及最终审计服务项目）：属于专门面向中小企业采购。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未被“信用中国”网站（www.creditchina.gov.cn）列入失信被执行人和重大税收违法失信主体，未被中国政府采购网（www.ccgp.gov.cn）列入政府采购严重违法失信行为记录名单中被财政部门禁止参加政府采购活动的供应商（处罚决定规定的时间和地域范围内）</w:t>
      </w:r>
    </w:p>
    <w:p>
      <w:pPr>
        <w:pStyle w:val="null3"/>
      </w:pPr>
      <w:r>
        <w:rPr>
          <w:rFonts w:ascii="仿宋_GB2312" w:hAnsi="仿宋_GB2312" w:cs="仿宋_GB2312" w:eastAsia="仿宋_GB2312"/>
        </w:rPr>
        <w:t>2、供应商特定资格条件：2.1按照采购公告规定的方式获取了磋商文件；2.2、法定代表人直接参加磋商的，须出具法人身份证，并与营业执照上信息一致。法定代表人授权代表参加磋商的，须出具法定代表人授权书、授权代表身份证及被授权人本单位证明（养老保险缴纳证明）</w:t>
      </w:r>
    </w:p>
    <w:p>
      <w:pPr>
        <w:pStyle w:val="null3"/>
      </w:pPr>
      <w:r>
        <w:rPr>
          <w:rFonts w:ascii="仿宋_GB2312" w:hAnsi="仿宋_GB2312" w:cs="仿宋_GB2312" w:eastAsia="仿宋_GB2312"/>
        </w:rPr>
        <w:t>3、资质证书：供应商须提供财政部门颁发的处于有效期内的会计师事务所执业证书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西安高新技术产业开发区商务局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西安市长安区兴隆街道成章路丝路创智谷5号楼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029-88335188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白新岩、李峻豪、王莉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西安高新技术产业开发区商务局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西安高新技术产业开发区商务局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西安高新技术产业开发区商务局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详见合同文本、合同附件、竞争性磋商文件、成交供应商的响应文件。国内相应的标准、规范。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地址：陕西省西安市高新区锦业路1号都市之门C座9层综合办公室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2025年西安市加力扩围消费品以旧换新政策措施及实施方案》在汽车、家电、数码、电动自行车、家装厨卫（含电商平台）5个领域分别发放消费折扣券补贴，本项目旨在确保高新区以上5个领域的消费折扣券补贴及时、准确、有效核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开展消费品以旧换新审核及最终审计服务项目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标的名称：开展消费品以旧换新审核及最终审计服务项目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为贯彻落实中央经济工作会议精神，根据国家发改委、财政部《关于2025年加力扩围实施大规模设备更新和消费品以旧换新政策的通知》（发改环资〔2025〕13号）。根据《2025年西安市加力扩围消费品以旧换新政策措施及实施方案》（市商发〔2025〕2号），在汽车、家电、数码、电动自行车、家装厨卫（含电商平台）5个领域分别发放消费折扣券补贴，本项目旨在确保高新区以上5个领域的消费折扣券补贴及时、准确、有效核销。采购人提出要求后，供应商应根据项目特点制定详细可行的审核方案，组织力量保质保量做好审核实施工作，确保补贴资金合理、合规使用。</w:t>
            </w:r>
          </w:p>
          <w:p>
            <w:pPr>
              <w:pStyle w:val="null3"/>
            </w:pPr>
            <w:r>
              <w:rPr>
                <w:rFonts w:ascii="仿宋_GB2312" w:hAnsi="仿宋_GB2312" w:cs="仿宋_GB2312" w:eastAsia="仿宋_GB2312"/>
              </w:rPr>
              <w:t>二、服务内容及要求</w:t>
            </w:r>
          </w:p>
          <w:p>
            <w:pPr>
              <w:pStyle w:val="null3"/>
            </w:pPr>
            <w:r>
              <w:rPr>
                <w:rFonts w:ascii="仿宋_GB2312" w:hAnsi="仿宋_GB2312" w:cs="仿宋_GB2312" w:eastAsia="仿宋_GB2312"/>
              </w:rPr>
              <w:t>（一）服务内容及范围</w:t>
            </w:r>
          </w:p>
          <w:p>
            <w:pPr>
              <w:pStyle w:val="null3"/>
            </w:pPr>
            <w:r>
              <w:rPr>
                <w:rFonts w:ascii="仿宋_GB2312" w:hAnsi="仿宋_GB2312" w:cs="仿宋_GB2312" w:eastAsia="仿宋_GB2312"/>
              </w:rPr>
              <w:t>审核个人消费者2025年1月1日至12月31日期间在高新区参与补贴活动的商贸企业（单位），购买或置换汽车、家电、数码、电动自行车、家装厨卫（含电商平台）5个领域的产品，且家电、数码、家装厨卫收货地址在陕西省境内的消费折扣券核销情况。</w:t>
            </w:r>
          </w:p>
          <w:p>
            <w:pPr>
              <w:pStyle w:val="null3"/>
            </w:pPr>
            <w:r>
              <w:rPr>
                <w:rFonts w:ascii="仿宋_GB2312" w:hAnsi="仿宋_GB2312" w:cs="仿宋_GB2312" w:eastAsia="仿宋_GB2312"/>
              </w:rPr>
              <w:t>1.汽车：</w:t>
            </w:r>
          </w:p>
          <w:p>
            <w:pPr>
              <w:pStyle w:val="null3"/>
            </w:pPr>
            <w:r>
              <w:rPr>
                <w:rFonts w:ascii="仿宋_GB2312" w:hAnsi="仿宋_GB2312" w:cs="仿宋_GB2312" w:eastAsia="仿宋_GB2312"/>
              </w:rPr>
              <w:t>（1）补贴范围和标准。个人消费者自2025年1月1日至12月31日期间，转让登记在本人名下乘用车并在高新区购买乘用车新车的，给予汽车置换更新补贴支持。按照新车购置发票金额，购买新能源乘用车，15万元(不含)以下的单辆补贴1万元，15万元以上的单辆补贴1.5万元;购买燃油乘用车，15万元(不含)以下的单辆补贴0.8万元，15万元以上的单辆补贴1.3万元。</w:t>
            </w:r>
          </w:p>
          <w:p>
            <w:pPr>
              <w:pStyle w:val="null3"/>
            </w:pPr>
            <w:r>
              <w:rPr>
                <w:rFonts w:ascii="仿宋_GB2312" w:hAnsi="仿宋_GB2312" w:cs="仿宋_GB2312" w:eastAsia="仿宋_GB2312"/>
              </w:rPr>
              <w:t>（2）补贴申领程序。个人消费者于2026年1月10日前，通过云闪付APP提交补贴申请,包括购车人身份信息、手机号码、收款账号，新车《机动车销售统一发票》和《机动车登记证书》旧车《机动车登记证书》和《二手车销售统一发票》。转让车辆所有人与新购车辆所有人应为同一人。每个消费者在2025年内只能享受1次汽车置换更新补贴，同一辆新车不能同时申报报废更新补贴和置换更新补贴。转让的机动车最迟不得晚于2025年1月8日登记在提出申请的个人消费者名下。经市级商务部门审核通过后，补贴资金直接拨付个人消费者银行账户。</w:t>
            </w:r>
          </w:p>
          <w:p>
            <w:pPr>
              <w:pStyle w:val="null3"/>
            </w:pPr>
            <w:r>
              <w:rPr>
                <w:rFonts w:ascii="仿宋_GB2312" w:hAnsi="仿宋_GB2312" w:cs="仿宋_GB2312" w:eastAsia="仿宋_GB2312"/>
              </w:rPr>
              <w:t>2.家电：</w:t>
            </w:r>
          </w:p>
          <w:p>
            <w:pPr>
              <w:pStyle w:val="null3"/>
            </w:pPr>
            <w:r>
              <w:rPr>
                <w:rFonts w:ascii="仿宋_GB2312" w:hAnsi="仿宋_GB2312" w:cs="仿宋_GB2312" w:eastAsia="仿宋_GB2312"/>
              </w:rPr>
              <w:t>（1）补贴范围和标准。个人消费者自2025年1月1日至12月31日期间，在高新区参与补贴活动的商贸企业（单位），购买以下“12+32”类家电产品给予补贴。</w:t>
            </w:r>
          </w:p>
          <w:p>
            <w:pPr>
              <w:pStyle w:val="null3"/>
            </w:pPr>
            <w:r>
              <w:rPr>
                <w:rFonts w:ascii="仿宋_GB2312" w:hAnsi="仿宋_GB2312" w:cs="仿宋_GB2312" w:eastAsia="仿宋_GB2312"/>
              </w:rPr>
              <w:t>①购买冰箱、洗衣机、电视、空调、电脑、热水器、家用灶具、吸油烟机、微波炉、净水器、洗碗机、电饭煲12类家电产品，二级能效或水效标准的，按产品最终销售价格的15%给予补贴；一级能效或水效标准的，按产品最终销售价格的20%给予补贴。每个消费者每类产品可补贴1件（空调产品最多可补贴3件），每件补贴不超过2000元。</w:t>
            </w:r>
          </w:p>
          <w:p>
            <w:pPr>
              <w:pStyle w:val="null3"/>
            </w:pPr>
            <w:r>
              <w:rPr>
                <w:rFonts w:ascii="仿宋_GB2312" w:hAnsi="仿宋_GB2312" w:cs="仿宋_GB2312" w:eastAsia="仿宋_GB2312"/>
              </w:rPr>
              <w:t>②购买按摩椅、跑步机、理疗仪、投影仪（移动智慧屏）、打印机、学习机、除湿机、加湿器（雾化器）、音响设备、空气净化器、新风系统、风扇、电暖器、冷柜、吸尘器、洗地机、扫地机器人、干衣机、挂烫机、衣物护理机、吹风机、消毒柜、垃圾处理机、电磁炉、电烤箱、管线机、净饮机（饮水机）、咖啡机、面条机、面包机、破壁机、厨师机32类生活电器，按产品最终销售价格的15%给予补贴，每件补贴不超过2000元。</w:t>
            </w:r>
          </w:p>
          <w:p>
            <w:pPr>
              <w:pStyle w:val="null3"/>
            </w:pPr>
            <w:r>
              <w:rPr>
                <w:rFonts w:ascii="仿宋_GB2312" w:hAnsi="仿宋_GB2312" w:cs="仿宋_GB2312" w:eastAsia="仿宋_GB2312"/>
              </w:rPr>
              <w:t>（2）补贴方式。依托云闪付平台对消费者资格认证后，采取立减方式发放消费补贴，消费者可通过实体门店和电商平台购买，购买上述家电产品收货地址应在陕西省境内。销售企业负责在云闪付平台提交补贴申请信息，经市级商务部门对消费者订单、支付发票、收货地等相关信息审核通过后，向销售企业账户拨付补贴资金。</w:t>
            </w:r>
          </w:p>
          <w:p>
            <w:pPr>
              <w:pStyle w:val="null3"/>
            </w:pPr>
            <w:r>
              <w:rPr>
                <w:rFonts w:ascii="仿宋_GB2312" w:hAnsi="仿宋_GB2312" w:cs="仿宋_GB2312" w:eastAsia="仿宋_GB2312"/>
              </w:rPr>
              <w:t>3.数码：</w:t>
            </w:r>
          </w:p>
          <w:p>
            <w:pPr>
              <w:pStyle w:val="null3"/>
            </w:pPr>
            <w:r>
              <w:rPr>
                <w:rFonts w:ascii="仿宋_GB2312" w:hAnsi="仿宋_GB2312" w:cs="仿宋_GB2312" w:eastAsia="仿宋_GB2312"/>
              </w:rPr>
              <w:t>（1）补贴范围和标准。个人消费者自2025年1月20日至12月31日期间，在高新区参与补贴活动的商贸企业（单位），购买手机、平板、智能手表（手环）3类数码产品（单件销售价格不超过6000元），按产品最终销售价格的15%给予补贴。每个消费者每类产品可补贴1件，每件补贴不超过500元。</w:t>
            </w:r>
          </w:p>
          <w:p>
            <w:pPr>
              <w:pStyle w:val="null3"/>
            </w:pPr>
            <w:r>
              <w:rPr>
                <w:rFonts w:ascii="仿宋_GB2312" w:hAnsi="仿宋_GB2312" w:cs="仿宋_GB2312" w:eastAsia="仿宋_GB2312"/>
              </w:rPr>
              <w:t>（2）补贴方式。依托云闪付平台对消费者资格认证后，采取立减方式发放消费补贴，消费者可通过实体门店和电商平台购买，购买上述数码产品收货地址应在陕西省境内。销售企业负责在云闪付平台提交补贴申请信息，经市级商务部门对消费者订单、支付发票、收货地等相关信息审核通过后，向销售企业账户拨付补贴资金。</w:t>
            </w:r>
          </w:p>
          <w:p>
            <w:pPr>
              <w:pStyle w:val="null3"/>
            </w:pPr>
            <w:r>
              <w:rPr>
                <w:rFonts w:ascii="仿宋_GB2312" w:hAnsi="仿宋_GB2312" w:cs="仿宋_GB2312" w:eastAsia="仿宋_GB2312"/>
              </w:rPr>
              <w:t>4.电动自行车：</w:t>
            </w:r>
          </w:p>
          <w:p>
            <w:pPr>
              <w:pStyle w:val="null3"/>
            </w:pPr>
            <w:r>
              <w:rPr>
                <w:rFonts w:ascii="仿宋_GB2312" w:hAnsi="仿宋_GB2312" w:cs="仿宋_GB2312" w:eastAsia="仿宋_GB2312"/>
              </w:rPr>
              <w:t>（1）补贴范围和标准。个人消费者自2025年1月1日至12月31日期间，在高新区参与补贴活动的商贸企业(单位)，交售报废的老旧电动自行车并换购新车的，每辆补贴500元；对交售用于报废的老旧锂离子蓄电池电动自行车并换购铅酸蓄电池电动自行车新车的补贴600元。</w:t>
            </w:r>
          </w:p>
          <w:p>
            <w:pPr>
              <w:pStyle w:val="null3"/>
            </w:pPr>
            <w:r>
              <w:rPr>
                <w:rFonts w:ascii="仿宋_GB2312" w:hAnsi="仿宋_GB2312" w:cs="仿宋_GB2312" w:eastAsia="仿宋_GB2312"/>
              </w:rPr>
              <w:t>（2）补贴方式。采取个人消费者现买立减、参与企业申请后补的方式，个人消费者将旧电动自行车送至有资质的回收处置企业或其委托的参与补贴活动的电动自行车销售门店折价收旧(旧车折价双方按照市场价商定)。消费者在销售门店选购新车并现场通过支付宝享受补贴立减支付。销售门店开具发票，并将个人消费者信息、旧车信息、新车信息、销售信息等通过支付宝上传至指定审核平台。经市级商务部门审核通过后，将补贴资金发放至销售企业的银行账户。</w:t>
            </w:r>
          </w:p>
          <w:p>
            <w:pPr>
              <w:pStyle w:val="null3"/>
            </w:pPr>
            <w:r>
              <w:rPr>
                <w:rFonts w:ascii="仿宋_GB2312" w:hAnsi="仿宋_GB2312" w:cs="仿宋_GB2312" w:eastAsia="仿宋_GB2312"/>
              </w:rPr>
              <w:t>5.家装厨卫：</w:t>
            </w:r>
          </w:p>
          <w:p>
            <w:pPr>
              <w:pStyle w:val="null3"/>
            </w:pPr>
            <w:r>
              <w:rPr>
                <w:rFonts w:ascii="仿宋_GB2312" w:hAnsi="仿宋_GB2312" w:cs="仿宋_GB2312" w:eastAsia="仿宋_GB2312"/>
              </w:rPr>
              <w:t>（1）补贴范围和标准。个人消费者自2025年1月1日至12月31日期间，在高新区参与补贴活动的商贸企业(单位)，购买以下“13+9”类产品给予补贴。以西安实际制定具体补贴方案为准，暂定为：</w:t>
            </w:r>
          </w:p>
          <w:p>
            <w:pPr>
              <w:pStyle w:val="null3"/>
            </w:pPr>
            <w:r>
              <w:rPr>
                <w:rFonts w:ascii="仿宋_GB2312" w:hAnsi="仿宋_GB2312" w:cs="仿宋_GB2312" w:eastAsia="仿宋_GB2312"/>
              </w:rPr>
              <w:t>①购买马桶、浴缸、淋浴器、台盆、沙发、床品（含床垫、床头柜、床架）、床上用品（含床单、被褥、枕头、床笠）、桌椅（含餐客桌椅、梳妆台、茶几）、柜子（含橱柜、浴室柜、衣柜、书柜）、灯具、智能坐便器（含智能马桶盖）、智能门锁、智能家居控制系统（含智能监控）13类家装消费品，按照产品最终销售价格的15%给予补贴，每件补贴不超过2000元。</w:t>
            </w:r>
          </w:p>
          <w:p>
            <w:pPr>
              <w:pStyle w:val="null3"/>
            </w:pPr>
            <w:r>
              <w:rPr>
                <w:rFonts w:ascii="仿宋_GB2312" w:hAnsi="仿宋_GB2312" w:cs="仿宋_GB2312" w:eastAsia="仿宋_GB2312"/>
              </w:rPr>
              <w:t>②购买老年人护理床、轮椅（助行器）、自动感应灯具、闪光振动门铃、助听器、制氧机、呼吸机、血压计、血糖仪9类适老化产品，按照产品最终销售价格的30%给予补贴，每件补贴不超过2000元。</w:t>
            </w:r>
          </w:p>
          <w:p>
            <w:pPr>
              <w:pStyle w:val="null3"/>
            </w:pPr>
            <w:r>
              <w:rPr>
                <w:rFonts w:ascii="仿宋_GB2312" w:hAnsi="仿宋_GB2312" w:cs="仿宋_GB2312" w:eastAsia="仿宋_GB2312"/>
              </w:rPr>
              <w:t>（家装厨卫以西安实际制定具体补贴方案为准）</w:t>
            </w:r>
          </w:p>
          <w:p>
            <w:pPr>
              <w:pStyle w:val="null3"/>
            </w:pPr>
            <w:r>
              <w:rPr>
                <w:rFonts w:ascii="仿宋_GB2312" w:hAnsi="仿宋_GB2312" w:cs="仿宋_GB2312" w:eastAsia="仿宋_GB2312"/>
              </w:rPr>
              <w:t>（2）补贴方式。依托支付宝平台对消费者资格认证后，采取立减方式发放消费补贴，消费者可通过实体门店和电商平台购买，购买上述家装产品收货地址应在陕西省境内。销售企业负责在支付宝平台提交家装补贴申请信息，经市级商务部门对消费者订单、支付发票、收货地等相关信息审核通过后，向销售企业账户拨付补贴资金。</w:t>
            </w:r>
          </w:p>
          <w:p>
            <w:pPr>
              <w:pStyle w:val="null3"/>
            </w:pPr>
            <w:r>
              <w:rPr>
                <w:rFonts w:ascii="仿宋_GB2312" w:hAnsi="仿宋_GB2312" w:cs="仿宋_GB2312" w:eastAsia="仿宋_GB2312"/>
              </w:rPr>
              <w:t>如果相关政策措施有更新，以上补贴范围、补贴标准和补贴方式以最新政策措施为准。</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此次审核项目，除汽车类的需按照要求完成阶段性审核工作，提交阶段性审核报告（包括审核通过的补贴名单、补贴金额及审核不通过的名单和原因）外，其他4类需及时完成审核工作并出具审核工作报告，以保证补贴资金能够及时、准确地发放，提高项目的执行效率。</w:t>
            </w:r>
          </w:p>
          <w:p>
            <w:pPr>
              <w:pStyle w:val="null3"/>
            </w:pPr>
            <w:r>
              <w:rPr>
                <w:rFonts w:ascii="仿宋_GB2312" w:hAnsi="仿宋_GB2312" w:cs="仿宋_GB2312" w:eastAsia="仿宋_GB2312"/>
              </w:rPr>
              <w:t>2.乙方应按照甲方工作要求及时汇报工作进度。</w:t>
            </w:r>
          </w:p>
          <w:p>
            <w:pPr>
              <w:pStyle w:val="null3"/>
            </w:pPr>
            <w:r>
              <w:rPr>
                <w:rFonts w:ascii="仿宋_GB2312" w:hAnsi="仿宋_GB2312" w:cs="仿宋_GB2312" w:eastAsia="仿宋_GB2312"/>
              </w:rPr>
              <w:t>3.项目完成后，及时汇报项目审核情况，并以书面形式提交规范、完整的审核报告，并确保审核报告的真实性和合法性。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合同签订后半年内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1、验收：由甲方组织验收，验收合格后向乙方出具验收结果，验收发生的费用由乙方承担。 2、验收依据： 2-1、合同文本、合同附件、竞争性磋商文件、成交供应商的响应文件。 2-2、国内相应的标准、规范。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活动结束后，出具最终审计报告，且验收合格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2-1、如乙方事先未征得甲方同意并得到甲方的谅解而单方面延迟执行合同，将按违约终止合同。 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 3、违约终止合同：未按合同要求提供服务或不能满足技术要求，甲方会同监督机构有权终止合同，对乙方违约行为进行追究，同时按政府采购法的有关规定进行相应的处罚。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因文件格式限制，特此说明：1合同签订后，达到付款条件起30日内，支付合同金额的40.00%。 2活动结束后，出具最终审计报告，且验收合格，达到付款条件起30日内，据实结算合同剩余的60.00%。 3最终结算价格不得超过合同总价款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（2）供应商应提供健全的财务会计制度的证明材料； （3）供应商提供响应文件提交截止时间前半年内任意一个月缴纳税收的凭证（时间以税款所属时期为准），依法免税或无须缴纳税收的供应商应提供相应文件证明； （4）供应商提供响应文件提交截止时间前半年内任意一个月缴纳社会保险的凭据，依法不需要缴纳社会保障资金的供应商应提供相应证明文件； （5）供应商提供具备履行合同所必需的设备和专业技术能力的承诺； （6）参加政府采购活动前三年内，在经营活动中没有重大违法记录；（7）法律、行政法规规定的其他条件：不存在违反法律法规的情况。</w:t>
            </w:r>
          </w:p>
        </w:tc>
        <w:tc>
          <w:tcPr>
            <w:tcW w:type="dxa" w:w="1661"/>
          </w:tcPr>
          <w:p>
            <w:pPr>
              <w:pStyle w:val="null3"/>
            </w:pPr>
            <w:r>
              <w:rPr>
                <w:rFonts w:ascii="仿宋_GB2312" w:hAnsi="仿宋_GB2312" w:cs="仿宋_GB2312" w:eastAsia="仿宋_GB2312"/>
              </w:rPr>
              <w:t>响应文件封面 最终报价表.docx 拒贿赂承诺书.docx 中小企业声明函 残疾人福利性单位声明函 商务及技术文件.docx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提供（1）或提供（2）：（1）提供2024年度财务报告复印件，应满足以下要求：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响应文件封面 最终报价表.docx 拒贿赂承诺书.docx 中小企业声明函 残疾人福利性单位声明函 商务及技术文件.docx 标的清单 报价表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最终报价表.docx 拒贿赂承诺书.docx 中小企业声明函 残疾人福利性单位声明函 商务及技术文件.docx 标的清单 报价表 响应函 资格证明文件.docx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信用中国”网站（www.creditchina.gov.cn）列入失信被执行人和重大税收违法失信主体，未被中国政府采购网（www.ccgp.gov.cn）列入政府采购严重违法失信行为记录名单中被财政部门禁止参加政府采购活动的供应商（处罚决定规定的时间和地域范围内）</w:t>
            </w:r>
          </w:p>
        </w:tc>
        <w:tc>
          <w:tcPr>
            <w:tcW w:type="dxa" w:w="1661"/>
          </w:tcPr>
          <w:p>
            <w:pPr>
              <w:pStyle w:val="null3"/>
            </w:pPr>
            <w:r>
              <w:rPr>
                <w:rFonts w:ascii="仿宋_GB2312" w:hAnsi="仿宋_GB2312" w:cs="仿宋_GB2312" w:eastAsia="仿宋_GB2312"/>
              </w:rPr>
              <w:t>响应文件封面 最终报价表.docx 拒贿赂承诺书.docx 中小企业声明函 残疾人福利性单位声明函 商务及技术文件.docx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2.1按照采购公告规定的方式获取了磋商文件；2.2、法定代表人直接参加磋商的，须出具法人身份证，并与营业执照上信息一致。法定代表人授权代表参加磋商的，须出具法定代表人授权书、授权代表身份证及被授权人本单位证明（养老保险缴纳证明）</w:t>
            </w:r>
          </w:p>
        </w:tc>
        <w:tc>
          <w:tcPr>
            <w:tcW w:type="dxa" w:w="1661"/>
          </w:tcPr>
          <w:p>
            <w:pPr>
              <w:pStyle w:val="null3"/>
            </w:pPr>
            <w:r>
              <w:rPr>
                <w:rFonts w:ascii="仿宋_GB2312" w:hAnsi="仿宋_GB2312" w:cs="仿宋_GB2312" w:eastAsia="仿宋_GB2312"/>
              </w:rPr>
              <w:t>响应文件封面 最终报价表.docx 拒贿赂承诺书.docx 中小企业声明函 残疾人福利性单位声明函 商务及技术文件.docx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供应商须提供财政部门颁发的处于有效期内的会计师事务所执业证书</w:t>
            </w:r>
          </w:p>
        </w:tc>
        <w:tc>
          <w:tcPr>
            <w:tcW w:type="dxa" w:w="1661"/>
          </w:tcPr>
          <w:p>
            <w:pPr>
              <w:pStyle w:val="null3"/>
            </w:pPr>
            <w:r>
              <w:rPr>
                <w:rFonts w:ascii="仿宋_GB2312" w:hAnsi="仿宋_GB2312" w:cs="仿宋_GB2312" w:eastAsia="仿宋_GB2312"/>
              </w:rPr>
              <w:t>响应文件封面 最终报价表.docx 拒贿赂承诺书.docx 中小企业声明函 残疾人福利性单位声明函 商务及技术文件.docx 标的清单 报价表 响应函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遵循公平竞争的原则，没有弄虚作假、恶意串通或妨碍其他供应商的竞争行为，损害采购人或者其他供应商的合法权益；弄虚作假、相互串通的情形见附注</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服务期及服务地点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付款方式为实质性条款，不允许偏离，供应商须完全响应；</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供应商提供自2022年1月1日至今承担过的同类项目业绩，每个业绩得1分，最高得5分。（提供合同复印件，项目以合同签订时间为准）。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最终报价表.docx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审核流程设计1</w:t>
            </w:r>
          </w:p>
        </w:tc>
        <w:tc>
          <w:tcPr>
            <w:tcW w:type="dxa" w:w="2492"/>
          </w:tcPr>
          <w:p>
            <w:pPr>
              <w:pStyle w:val="null3"/>
            </w:pPr>
            <w:r>
              <w:rPr>
                <w:rFonts w:ascii="仿宋_GB2312" w:hAnsi="仿宋_GB2312" w:cs="仿宋_GB2312" w:eastAsia="仿宋_GB2312"/>
              </w:rPr>
              <w:t>针对汽车、家电、数码、电动自行车、家装厨卫5个领域，分别设计审核流程；包括但不限于：资料收集、合规性校验、金额核算、异常处理等环节等。满足采购文件要求内容无缺陷：得8分，方案内容每存在1处缺陷：扣0.5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最终报价表.docx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审核流程设计2</w:t>
            </w:r>
          </w:p>
        </w:tc>
        <w:tc>
          <w:tcPr>
            <w:tcW w:type="dxa" w:w="2492"/>
          </w:tcPr>
          <w:p>
            <w:pPr>
              <w:pStyle w:val="null3"/>
            </w:pPr>
            <w:r>
              <w:rPr>
                <w:rFonts w:ascii="仿宋_GB2312" w:hAnsi="仿宋_GB2312" w:cs="仿宋_GB2312" w:eastAsia="仿宋_GB2312"/>
              </w:rPr>
              <w:t>流程中设置关键风险控制点；包括但不限于：身份信息核验、发票真实性核查、收货地址验证等。 满足采购文件要求内容无缺陷：得8分，方案内容每存在1处缺陷：扣0.5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最终报价表.docx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阶段性与及时性保障1</w:t>
            </w:r>
          </w:p>
        </w:tc>
        <w:tc>
          <w:tcPr>
            <w:tcW w:type="dxa" w:w="2492"/>
          </w:tcPr>
          <w:p>
            <w:pPr>
              <w:pStyle w:val="null3"/>
            </w:pPr>
            <w:r>
              <w:rPr>
                <w:rFonts w:ascii="仿宋_GB2312" w:hAnsi="仿宋_GB2312" w:cs="仿宋_GB2312" w:eastAsia="仿宋_GB2312"/>
              </w:rPr>
              <w:t>针对汽车类项目，制定详细的阶段性审核计划；包括但不限于：各阶段时间节点、工作内容、交付成果（阶段性审核报告）等。 满足采购文件要求内容无缺陷：得8分，方案内容每存在1处缺陷：扣0.5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最终报价表.docx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阶段性与及时性保障2</w:t>
            </w:r>
          </w:p>
        </w:tc>
        <w:tc>
          <w:tcPr>
            <w:tcW w:type="dxa" w:w="2492"/>
          </w:tcPr>
          <w:p>
            <w:pPr>
              <w:pStyle w:val="null3"/>
            </w:pPr>
            <w:r>
              <w:rPr>
                <w:rFonts w:ascii="仿宋_GB2312" w:hAnsi="仿宋_GB2312" w:cs="仿宋_GB2312" w:eastAsia="仿宋_GB2312"/>
              </w:rPr>
              <w:t>针对家电、数码、电动自行车、家装厨卫4类项目，提出保障“及时审核”的具体措施；包括但不限于：专人专项小组、高效审核工具应用等。 满足采购文件要求内容无缺陷：得8分，方案内容每存在1处缺陷：扣0.5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最终报价表.docx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审核质量控制</w:t>
            </w:r>
          </w:p>
        </w:tc>
        <w:tc>
          <w:tcPr>
            <w:tcW w:type="dxa" w:w="2492"/>
          </w:tcPr>
          <w:p>
            <w:pPr>
              <w:pStyle w:val="null3"/>
            </w:pPr>
            <w:r>
              <w:rPr>
                <w:rFonts w:ascii="仿宋_GB2312" w:hAnsi="仿宋_GB2312" w:cs="仿宋_GB2312" w:eastAsia="仿宋_GB2312"/>
              </w:rPr>
              <w:t>建立审核质量复核机制；包括但不限于：明确复核责任人、明确复核内容，及时组织团队学习新政策、调整审核标准、同步更新流程等。 满足采购文件要求内容无缺陷：得8分，方案内容每存在1处缺陷：扣0.5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最终报价表.docx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技术工具应用1</w:t>
            </w:r>
          </w:p>
        </w:tc>
        <w:tc>
          <w:tcPr>
            <w:tcW w:type="dxa" w:w="2492"/>
          </w:tcPr>
          <w:p>
            <w:pPr>
              <w:pStyle w:val="null3"/>
            </w:pPr>
            <w:r>
              <w:rPr>
                <w:rFonts w:ascii="仿宋_GB2312" w:hAnsi="仿宋_GB2312" w:cs="仿宋_GB2312" w:eastAsia="仿宋_GB2312"/>
              </w:rPr>
              <w:t>提出使用专业审核软件；包括但不限于：如数据比对工具、发票查验系统、信息化平台辅助审核等。 满足采购文件要求内容无缺陷：得8分，方案内容每存在1处缺陷：扣0.5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最终报价表.docx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技术工具应用2</w:t>
            </w:r>
          </w:p>
        </w:tc>
        <w:tc>
          <w:tcPr>
            <w:tcW w:type="dxa" w:w="2492"/>
          </w:tcPr>
          <w:p>
            <w:pPr>
              <w:pStyle w:val="null3"/>
            </w:pPr>
            <w:r>
              <w:rPr>
                <w:rFonts w:ascii="仿宋_GB2312" w:hAnsi="仿宋_GB2312" w:cs="仿宋_GB2312" w:eastAsia="仿宋_GB2312"/>
              </w:rPr>
              <w:t>针对多平台（云闪付、支付宝）等数据整合，提出具体的数据对接、整理方案。 满足采购文件要求内容无缺陷：得8分，方案内容每存在1处缺陷：扣0.5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最终报价表.docx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进度汇报机制</w:t>
            </w:r>
          </w:p>
        </w:tc>
        <w:tc>
          <w:tcPr>
            <w:tcW w:type="dxa" w:w="2492"/>
          </w:tcPr>
          <w:p>
            <w:pPr>
              <w:pStyle w:val="null3"/>
            </w:pPr>
            <w:r>
              <w:rPr>
                <w:rFonts w:ascii="仿宋_GB2312" w:hAnsi="仿宋_GB2312" w:cs="仿宋_GB2312" w:eastAsia="仿宋_GB2312"/>
              </w:rPr>
              <w:t>明确按照甲方要求的频率汇报工作进度；包括但不限于：已完成工作量、待处理事项、遇到的问题及解决方案，响应时效等。 满足采购文件要求内容无缺陷：得8分，方案内容每存在1处缺陷：扣0.5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最终报价表.docx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审核报告交付</w:t>
            </w:r>
          </w:p>
        </w:tc>
        <w:tc>
          <w:tcPr>
            <w:tcW w:type="dxa" w:w="2492"/>
          </w:tcPr>
          <w:p>
            <w:pPr>
              <w:pStyle w:val="null3"/>
            </w:pPr>
            <w:r>
              <w:rPr>
                <w:rFonts w:ascii="仿宋_GB2312" w:hAnsi="仿宋_GB2312" w:cs="仿宋_GB2312" w:eastAsia="仿宋_GB2312"/>
              </w:rPr>
              <w:t>按照要求提交规范、完整的审核报告（包括汽车类阶段性报告、其他4类最终报告）；包括但不限于：（审核通过/不通过名单及原因、补贴金额明细、质量控制情况等）。 满足采购文件要求内容无缺陷：得8分，方案内容每存在1处缺陷：扣0.5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最终报价表.docx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售后服务与咨询</w:t>
            </w:r>
          </w:p>
        </w:tc>
        <w:tc>
          <w:tcPr>
            <w:tcW w:type="dxa" w:w="2492"/>
          </w:tcPr>
          <w:p>
            <w:pPr>
              <w:pStyle w:val="null3"/>
            </w:pPr>
            <w:r>
              <w:rPr>
                <w:rFonts w:ascii="仿宋_GB2312" w:hAnsi="仿宋_GB2312" w:cs="仿宋_GB2312" w:eastAsia="仿宋_GB2312"/>
              </w:rPr>
              <w:t>项目完成后，提供售后服务；包括但不限于：对审核报告内容的解释、配合甲方应对上级部门检查等），设立咨询响应通道等。 满足采购文件要求内容无缺陷：得8分，方案内容每存在1处缺陷：扣0.5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最终报价表.docx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1、项目负责人具有注册会计师资格证书，得2分。 2、除项目负责人外，每提供一个注册会计师资格证书，得1分，满分3分。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最终报价表.docx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1、评审基准价为有效响应文件中最后报价的最低报价。2、供应商报价得分：报价得分=（评审基准价／最后报价）×10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拒贿赂承诺书.docx</w:t>
            </w:r>
          </w:p>
          <w:p>
            <w:pPr>
              <w:pStyle w:val="null3"/>
            </w:pPr>
            <w:r>
              <w:rPr>
                <w:rFonts w:ascii="仿宋_GB2312" w:hAnsi="仿宋_GB2312" w:cs="仿宋_GB2312" w:eastAsia="仿宋_GB2312"/>
              </w:rPr>
              <w:t>最终报价表.docx</w:t>
            </w:r>
          </w:p>
          <w:p>
            <w:pPr>
              <w:pStyle w:val="null3"/>
            </w:pPr>
            <w:r>
              <w:rPr>
                <w:rFonts w:ascii="仿宋_GB2312" w:hAnsi="仿宋_GB2312" w:cs="仿宋_GB2312" w:eastAsia="仿宋_GB2312"/>
              </w:rPr>
              <w:t>商务及技术文件.docx</w:t>
            </w:r>
          </w:p>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详见附件：拒贿赂承诺书.docx</w:t>
      </w:r>
    </w:p>
    <w:p>
      <w:pPr>
        <w:pStyle w:val="null3"/>
        <w:ind w:firstLine="960"/>
      </w:pPr>
      <w:r>
        <w:rPr>
          <w:rFonts w:ascii="仿宋_GB2312" w:hAnsi="仿宋_GB2312" w:cs="仿宋_GB2312" w:eastAsia="仿宋_GB2312"/>
        </w:rPr>
        <w:t>详见附件：最终报价表.docx</w:t>
      </w:r>
    </w:p>
    <w:p>
      <w:pPr>
        <w:pStyle w:val="null3"/>
        <w:ind w:firstLine="960"/>
      </w:pPr>
      <w:r>
        <w:rPr>
          <w:rFonts w:ascii="仿宋_GB2312" w:hAnsi="仿宋_GB2312" w:cs="仿宋_GB2312" w:eastAsia="仿宋_GB2312"/>
        </w:rPr>
        <w:t>详见附件：商务及技术文件.docx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