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版本号：SCZA2025-CS-2476-00120251017001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高新区移动源污染检测项目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SCZA2025-CS-2476-001</w:t>
      </w:r>
      <w:r>
        <w:br/>
      </w:r>
      <w:r>
        <w:br/>
      </w:r>
      <w:r>
        <w:br/>
      </w:r>
    </w:p>
    <w:p>
      <w:pPr>
        <w:pStyle w:val="null3"/>
        <w:jc w:val="center"/>
        <w:outlineLvl w:val="2"/>
      </w:pPr>
      <w:r>
        <w:rPr>
          <w:rFonts w:ascii="仿宋_GB2312" w:hAnsi="仿宋_GB2312" w:cs="仿宋_GB2312" w:eastAsia="仿宋_GB2312"/>
          <w:sz w:val="28"/>
          <w:b/>
        </w:rPr>
        <w:t>西安高新技术产业开发区生态环境局</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西安高新技术产业开发区生态环境局</w:t>
      </w:r>
      <w:r>
        <w:rPr>
          <w:rFonts w:ascii="仿宋_GB2312" w:hAnsi="仿宋_GB2312" w:cs="仿宋_GB2312" w:eastAsia="仿宋_GB2312"/>
        </w:rPr>
        <w:t>委托，拟对</w:t>
      </w:r>
      <w:r>
        <w:rPr>
          <w:rFonts w:ascii="仿宋_GB2312" w:hAnsi="仿宋_GB2312" w:cs="仿宋_GB2312" w:eastAsia="仿宋_GB2312"/>
        </w:rPr>
        <w:t>高新区移动源污染检测项目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SCZA2025-CS-2476-001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高新区移动源污染检测项目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高新区移动源污染检测项目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采购包1（高新区移动源污染检测项目）：属于专门面向中小企业采购。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1、信用查询：供应商在递交响应文件截止时间前被“信用中国 ”网站（www.creditchina.gov.cn）和中国政府采购网（www.ccgp.gov.cn）上被列入失信 被执行人、重大税收违法失信主体、政府采购严重违法失信行为记录名单的，不得参加磋商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西安高新技术产业开发区生态环境局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西安市长安区丝路创智谷5号楼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党敏华、张琪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029-81153920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马亚敏、白国锋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代理服务费收费标准：招标服务费以成交金额为基数，代理服务费参照《国家计委关于印发&lt;招标代理服务收费管理暂行办法&gt;的通知》（计价格[2002]1980号）规定标准收取。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西安高新技术产业开发区生态环境局</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西安高新技术产业开发区生态环境局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西安高新技术产业开发区生态环境局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以签订的合同为准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地址：西安市高新区锦业一路都市之门C座九层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落实国家及省市移动源污染防治工作要求，加强区域移动源污染排放监管，提高移动源污染排放执法取证能力，现将移动源污染排放检测业务进行外包，通过委托专业第三方检测机构为高新区提供移动源污染检测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汽车尾气污染治理服务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标的名称：汽车尾气污染治理服务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为落实国家及省市移动源污染防治工作要求，加强区域移动源污染排放监管，提高移动源污染排放执法取证能力，现将移动源污染排放检测业务进行外包，通过委托专业第三方检测机构为高新区提供移动源污染检测服务。</w:t>
            </w:r>
          </w:p>
          <w:p>
            <w:pPr>
              <w:pStyle w:val="null3"/>
            </w:pPr>
            <w:r>
              <w:rPr>
                <w:rFonts w:ascii="仿宋_GB2312" w:hAnsi="仿宋_GB2312" w:cs="仿宋_GB2312" w:eastAsia="仿宋_GB2312"/>
              </w:rPr>
              <w:t>二、检验能力</w:t>
            </w:r>
          </w:p>
          <w:p>
            <w:pPr>
              <w:pStyle w:val="null3"/>
            </w:pPr>
            <w:r>
              <w:rPr>
                <w:rFonts w:ascii="仿宋_GB2312" w:hAnsi="仿宋_GB2312" w:cs="仿宋_GB2312" w:eastAsia="仿宋_GB2312"/>
              </w:rPr>
              <w:t>第三方检验检测机构须持有效检验检测机构资质认定证书，具备汽车污染物排放检验能力（双怠速和自由加速法）和非道路移动柴油机械排气烟度检验能力（自由加速法）。</w:t>
            </w:r>
          </w:p>
          <w:p>
            <w:pPr>
              <w:pStyle w:val="null3"/>
            </w:pPr>
            <w:r>
              <w:rPr>
                <w:rFonts w:ascii="仿宋_GB2312" w:hAnsi="仿宋_GB2312" w:cs="仿宋_GB2312" w:eastAsia="仿宋_GB2312"/>
              </w:rPr>
              <w:t>三、服务内容</w:t>
            </w:r>
          </w:p>
          <w:p>
            <w:pPr>
              <w:pStyle w:val="null3"/>
            </w:pPr>
            <w:r>
              <w:rPr>
                <w:rFonts w:ascii="仿宋_GB2312" w:hAnsi="仿宋_GB2312" w:cs="仿宋_GB2312" w:eastAsia="仿宋_GB2312"/>
              </w:rPr>
              <w:t>本项目服务期一年，检测工作分为两组，分别开展机动车和非道路移动机械污染物排放检测工作。</w:t>
            </w:r>
          </w:p>
          <w:p>
            <w:pPr>
              <w:pStyle w:val="null3"/>
            </w:pPr>
            <w:r>
              <w:rPr>
                <w:rFonts w:ascii="仿宋_GB2312" w:hAnsi="仿宋_GB2312" w:cs="仿宋_GB2312" w:eastAsia="仿宋_GB2312"/>
              </w:rPr>
              <w:t>常态化检测：每月开展机动车检测不少于8次，检测机动车数量不少于200辆；每月开展车辆大户单位停放地检查不少于1次；每月开展非道路移动机械检测不少于10次，检测非道路移动机械数量不少于30台。</w:t>
            </w:r>
          </w:p>
          <w:p>
            <w:pPr>
              <w:pStyle w:val="null3"/>
            </w:pPr>
            <w:r>
              <w:rPr>
                <w:rFonts w:ascii="仿宋_GB2312" w:hAnsi="仿宋_GB2312" w:cs="仿宋_GB2312" w:eastAsia="仿宋_GB2312"/>
              </w:rPr>
              <w:t>加严管控及应急响应检测：检测频次及数量不定，动态调整，以通知为准。</w:t>
            </w:r>
          </w:p>
          <w:p>
            <w:pPr>
              <w:pStyle w:val="null3"/>
            </w:pPr>
            <w:r>
              <w:rPr>
                <w:rFonts w:ascii="仿宋_GB2312" w:hAnsi="仿宋_GB2312" w:cs="仿宋_GB2312" w:eastAsia="仿宋_GB2312"/>
              </w:rPr>
              <w:t>四、工作流程</w:t>
            </w:r>
          </w:p>
          <w:p>
            <w:pPr>
              <w:pStyle w:val="null3"/>
            </w:pPr>
            <w:r>
              <w:rPr>
                <w:rFonts w:ascii="仿宋_GB2312" w:hAnsi="仿宋_GB2312" w:cs="仿宋_GB2312" w:eastAsia="仿宋_GB2312"/>
              </w:rPr>
              <w:t>第三方检验机构按照GB3847-2018、GB18285-2018 GB36886-2018规定的检测方法和排放限值，在执法点位（包括集中停放地、维修地），对机动车和非道路移动机械污染物排放情况进行检验（包含基本信息、外观检验、OBD检查（限机动车）、排气污染物检测）。</w:t>
            </w:r>
          </w:p>
          <w:p>
            <w:pPr>
              <w:pStyle w:val="null3"/>
            </w:pPr>
            <w:r>
              <w:rPr>
                <w:rFonts w:ascii="仿宋_GB2312" w:hAnsi="仿宋_GB2312" w:cs="仿宋_GB2312" w:eastAsia="仿宋_GB2312"/>
              </w:rPr>
              <w:t>第三方检验机构现场检测完毕后将被检车辆或机械基本信息及检测数据等传输至检验单位本部，出具正式检验报告，由授权签字人审核签字，加盖检验结果条章、排放检测专用条章、CMA认证章、单位公章。检验报告以PDF格式实时发送至检测现场，在现场打印后交付执法人员。第三方检验机构留存检验报告原件及PDF电子文档备查，并制作当日检查登记表。</w:t>
            </w:r>
          </w:p>
          <w:p>
            <w:pPr>
              <w:pStyle w:val="null3"/>
            </w:pPr>
            <w:r>
              <w:rPr>
                <w:rFonts w:ascii="仿宋_GB2312" w:hAnsi="仿宋_GB2312" w:cs="仿宋_GB2312" w:eastAsia="仿宋_GB2312"/>
              </w:rPr>
              <w:t>五、人员配置</w:t>
            </w:r>
          </w:p>
          <w:p>
            <w:pPr>
              <w:pStyle w:val="null3"/>
            </w:pPr>
            <w:r>
              <w:rPr>
                <w:rFonts w:ascii="仿宋_GB2312" w:hAnsi="仿宋_GB2312" w:cs="仿宋_GB2312" w:eastAsia="仿宋_GB2312"/>
              </w:rPr>
              <w:t>第三方检验机构至少配备7名检验人员从事现场检测工作（3名机动车，4名非道），检验人员须熟悉高新区路况并熟练驾驶机动车；检验单位本部至少配备1名微机登录员从事检验报告制作工作、配备1名授权签字人从事检验报告审核签章工作；以上人员须持有相关上岗证件。</w:t>
            </w:r>
          </w:p>
          <w:p>
            <w:pPr>
              <w:pStyle w:val="null3"/>
            </w:pPr>
            <w:r>
              <w:rPr>
                <w:rFonts w:ascii="仿宋_GB2312" w:hAnsi="仿宋_GB2312" w:cs="仿宋_GB2312" w:eastAsia="仿宋_GB2312"/>
              </w:rPr>
              <w:t>六、设备配置</w:t>
            </w:r>
          </w:p>
          <w:p>
            <w:pPr>
              <w:pStyle w:val="null3"/>
            </w:pPr>
            <w:r>
              <w:rPr>
                <w:rFonts w:ascii="仿宋_GB2312" w:hAnsi="仿宋_GB2312" w:cs="仿宋_GB2312" w:eastAsia="仿宋_GB2312"/>
              </w:rPr>
              <w:t>第三方检验机构至少配备尾气分析仪、OBD检测仪、转速检测仪、气象仪、不透光度计各2台。另需配备通勤车2台，满足流动检测需求；配备可移动电源，满足两个检测小组现场电力需求；配备3000万像素以上手机2台，拍摄被检车辆和机械及其证照铭牌等信息，传输检验单位本部制作检验报告；配备蓝牙打印机2台，现场打印检验报告；配备若干路锥、车挡、折叠桌椅及相关耗材。</w:t>
            </w:r>
          </w:p>
          <w:p>
            <w:pPr>
              <w:pStyle w:val="null3"/>
            </w:pPr>
            <w:r>
              <w:rPr>
                <w:rFonts w:ascii="仿宋_GB2312" w:hAnsi="仿宋_GB2312" w:cs="仿宋_GB2312" w:eastAsia="仿宋_GB2312"/>
              </w:rPr>
              <w:t>七、有关要求</w:t>
            </w:r>
          </w:p>
          <w:p>
            <w:pPr>
              <w:pStyle w:val="null3"/>
            </w:pPr>
            <w:r>
              <w:rPr>
                <w:rFonts w:ascii="仿宋_GB2312" w:hAnsi="仿宋_GB2312" w:cs="仿宋_GB2312" w:eastAsia="仿宋_GB2312"/>
              </w:rPr>
              <w:t>第三方检验机构对其检验行为及检测结果负责。</w:t>
            </w:r>
          </w:p>
          <w:p>
            <w:pPr>
              <w:pStyle w:val="null3"/>
            </w:pPr>
            <w:r>
              <w:rPr>
                <w:rFonts w:ascii="仿宋_GB2312" w:hAnsi="仿宋_GB2312" w:cs="仿宋_GB2312" w:eastAsia="仿宋_GB2312"/>
              </w:rPr>
              <w:t>检测人员须着全套制式服装及反光背心，佩戴工牌，保持仪容仪表整洁。检测前公示检测流程、检测方法、排放限值、以及适用的相关国家标准，登记被检车辆或机械证件和铭牌等信息，检测后向被检车辆或机械现场出示检测结果并解答被检车辆疑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第三方检验机构至少配备7名检验人员从事现场检测工作（3名机动车，4名非道），检验人员须熟悉高新区路况并熟练驾驶机动车；检验单位本部至少配备1名微机登录员从事检验报告制作工作、配备1名授权签字人从事检验报告审核签章工作；以上人员须持有相关上岗证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第三方检验机构至少配备尾气分析仪、OBD检测仪、转速检测仪、气象仪、不透光度计各2台。另需配备通勤车2台，满足流动检测需求；配备可移动电源，满足两个检测小组现场电力需求；配备3000万像素以上手机2台，拍摄被检车辆和机械及其证照铭牌等信息，传输检验单位本部制作检验报告；配备蓝牙打印机2台，现场打印检验报告；配备若干路锥、车挡、折叠桌椅及相关耗材。</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以签订的合同为准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服务期满半年后进行考核</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服务期满一年进行考核及验收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以签订的合同为准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1、主体证明文件：（1）投标人是企业（包括合伙企业）的，应提供其在市场监督管理部门注册的有效“营业执照 ”的复印件；（2）投标人是事业单位的，应提供其有效的“事业单位法人证书”复印件；（3）投标人是非企业专业服务机构的，应提供其有效的“执业许可证”复印件；（4）投标人是民办非企业单位的，应提供其有效的登记证书复印件；（5）投标人是个体工商户的，应提供其有效的“营业执照”复印件；（6）投标人是自然人的，应提供其有效的自然人身份证明复印件。2、提供可满足履行合同所需设备和专业技术能力的证明材料或承诺 3、提供投标截止时间前近六个月中至少一个月的纳税证明或完税证明，依法免税的单位应提供相关证明材料；时间以税款所属时期为准 4、提供投标截止时间前近六个月中至少一个月的社会保障资金缴存单据或社保机构开具的社会保险参保缴费情况证明，依法不需要缴纳社会保障资金的单位应提供相关证明材料。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投标文件截止之日前两年内任意一个年度经审计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投标人开户银行出具。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供应商在递交响应文件截止时间前被“信用中国 ”网站（www.creditchina.gov.cn）和中国政府采购网（www.ccgp.gov.cn）上被列入失信 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服务方案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服务内容及服务邀请应答表 商务应答表 服务方案 供应商应提交的相关资格证明材料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供应商每提供一份2022年1月1日至今（以签订合同日期为准）类似业绩合同计2分，本项最高得10分。 注：要求提供合同完整内容。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工作方案</w:t>
            </w:r>
          </w:p>
        </w:tc>
        <w:tc>
          <w:tcPr>
            <w:tcW w:type="dxa" w:w="2492"/>
          </w:tcPr>
          <w:p>
            <w:pPr>
              <w:pStyle w:val="null3"/>
            </w:pPr>
            <w:r>
              <w:rPr>
                <w:rFonts w:ascii="仿宋_GB2312" w:hAnsi="仿宋_GB2312" w:cs="仿宋_GB2312" w:eastAsia="仿宋_GB2312"/>
              </w:rPr>
              <w:t>针对本项目的需求理解提供完整详细的工作方案； 工作方案逻辑层次清晰、针对性强、与采购内容的吻合程度高的，得10分；工作方案逻辑层次较清晰、针对性较强、与采购内容的吻合程度一般，内容较简单的，得7分；工作方案逻辑层次不清晰、不全面，得4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针对本项目提供完整的质量控制方案或者计划，包括但不局限于保证检测工作稳定进行的措施和检测结果的真实可靠等； 质量控制方案逻辑层次清晰、针对性强、与采购内容的吻合程度高的得10分；方案逻辑层次较清晰、针对性较强、与采购内容的吻合程度一般，内容较简单的，得7分；方案逻辑层次不清晰、不全面，得4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风险控制</w:t>
            </w:r>
          </w:p>
        </w:tc>
        <w:tc>
          <w:tcPr>
            <w:tcW w:type="dxa" w:w="2492"/>
          </w:tcPr>
          <w:p>
            <w:pPr>
              <w:pStyle w:val="null3"/>
            </w:pPr>
            <w:r>
              <w:rPr>
                <w:rFonts w:ascii="仿宋_GB2312" w:hAnsi="仿宋_GB2312" w:cs="仿宋_GB2312" w:eastAsia="仿宋_GB2312"/>
              </w:rPr>
              <w:t>针对本项目的实际情况提供完整详细的项目实施过程风险控制措施；风险因子概述全面，预案措施合理得10分；风险因子概述较为全面、预案措施较为简单得7分；风险因子概述不全面、预案不够合理得4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进度计划及安排</w:t>
            </w:r>
          </w:p>
        </w:tc>
        <w:tc>
          <w:tcPr>
            <w:tcW w:type="dxa" w:w="2492"/>
          </w:tcPr>
          <w:p>
            <w:pPr>
              <w:pStyle w:val="null3"/>
            </w:pPr>
            <w:r>
              <w:rPr>
                <w:rFonts w:ascii="仿宋_GB2312" w:hAnsi="仿宋_GB2312" w:cs="仿宋_GB2312" w:eastAsia="仿宋_GB2312"/>
              </w:rPr>
              <w:t>针对本项目实际情况提供科学的进度计划方案； 进度计划科学、合理，有较高的可实施性；进度计划针对性强、与采购内容的吻合程度高的，得10分；进度计划针对性一般，与采购内容的吻合程度一般，内容较简单的，得7分；进度计划针对性差，可实施性不高得4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w:t>
            </w:r>
          </w:p>
        </w:tc>
        <w:tc>
          <w:tcPr>
            <w:tcW w:type="dxa" w:w="2492"/>
          </w:tcPr>
          <w:p>
            <w:pPr>
              <w:pStyle w:val="null3"/>
            </w:pPr>
            <w:r>
              <w:rPr>
                <w:rFonts w:ascii="仿宋_GB2312" w:hAnsi="仿宋_GB2312" w:cs="仿宋_GB2312" w:eastAsia="仿宋_GB2312"/>
              </w:rPr>
              <w:t>针对本项目实际情况提供科学的应急保障（雾霾严重时期、冬季、雨季及风沙季节提供有效保障措施）： 保障措施针对性强、可实施性高计10分；保障措施针对性一般、可实施性一般得7分；保障措施针对性差、可实施性不高得4分；未提供的不得分。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项目团队和人员</w:t>
            </w:r>
          </w:p>
        </w:tc>
        <w:tc>
          <w:tcPr>
            <w:tcW w:type="dxa" w:w="2492"/>
          </w:tcPr>
          <w:p>
            <w:pPr>
              <w:pStyle w:val="null3"/>
            </w:pPr>
            <w:r>
              <w:rPr>
                <w:rFonts w:ascii="仿宋_GB2312" w:hAnsi="仿宋_GB2312" w:cs="仿宋_GB2312" w:eastAsia="仿宋_GB2312"/>
              </w:rPr>
              <w:t>针对本项目人员配备人员配备数量进行评审； 团队组织架构、人员构成及分工合理，岗位设置明确，责任制度严谨、规范，工作人员经验丰富，得10分；团队组织架构、人员构成及分工较为合理，岗位设置比较明确，责任制度较为严谨、规范，工作人员经验比较丰富，得7分；团队组织架构、人员构成及分工不够合理，岗位设置不够明确，责任制度不够严谨、规范，工作人员经验较少，得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设备设施</w:t>
            </w:r>
          </w:p>
        </w:tc>
        <w:tc>
          <w:tcPr>
            <w:tcW w:type="dxa" w:w="2492"/>
          </w:tcPr>
          <w:p>
            <w:pPr>
              <w:pStyle w:val="null3"/>
            </w:pPr>
            <w:r>
              <w:rPr>
                <w:rFonts w:ascii="仿宋_GB2312" w:hAnsi="仿宋_GB2312" w:cs="仿宋_GB2312" w:eastAsia="仿宋_GB2312"/>
              </w:rPr>
              <w:t>针对本项目设备设施投入情况，进行评审； 设备设施投入合理；设备设施维护保养得当计10分。设备设施投入较合理；设备设施维护保养一般计7分；设备设施投入不够合理；设备设施维护保养一般计4分；未提供不得分。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满足竞争性磋商文件要求且最终报价价格最低的报价为评标基准价，其价格分为满分。其他供应商的价格分统一按照下列公式计算：价格分=(评标基准价／招标报价)×20注：计算分数时四舍五入取小数点后两位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