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E256C">
      <w:pPr>
        <w:keepNext w:val="0"/>
        <w:keepLines w:val="0"/>
        <w:pageBreakBefore w:val="0"/>
        <w:kinsoku/>
        <w:bidi w:val="0"/>
        <w:spacing w:before="62" w:line="360" w:lineRule="auto"/>
        <w:jc w:val="center"/>
        <w:rPr>
          <w:rFonts w:ascii="仿宋" w:hAnsi="仿宋" w:eastAsia="仿宋" w:cs="仿宋"/>
          <w:b/>
          <w:bCs/>
          <w:color w:val="auto"/>
          <w:sz w:val="36"/>
          <w:szCs w:val="36"/>
        </w:rPr>
      </w:pPr>
    </w:p>
    <w:p w14:paraId="14A1FCFB">
      <w:pPr>
        <w:keepNext w:val="0"/>
        <w:keepLines w:val="0"/>
        <w:pageBreakBefore w:val="0"/>
        <w:kinsoku/>
        <w:bidi w:val="0"/>
        <w:spacing w:line="360" w:lineRule="auto"/>
        <w:jc w:val="center"/>
        <w:rPr>
          <w:rFonts w:ascii="仿宋" w:hAnsi="仿宋" w:eastAsia="仿宋" w:cs="仿宋"/>
          <w:b/>
          <w:bCs/>
          <w:color w:val="auto"/>
          <w:sz w:val="44"/>
          <w:szCs w:val="44"/>
          <w:lang w:eastAsia="zh-CN"/>
        </w:rPr>
      </w:pPr>
      <w:r>
        <w:rPr>
          <w:rFonts w:hint="eastAsia" w:ascii="仿宋" w:hAnsi="仿宋" w:eastAsia="仿宋" w:cs="仿宋"/>
          <w:b/>
          <w:bCs/>
          <w:color w:val="auto"/>
          <w:sz w:val="44"/>
          <w:szCs w:val="44"/>
          <w:lang w:eastAsia="zh-CN"/>
        </w:rPr>
        <w:t xml:space="preserve">    </w:t>
      </w:r>
    </w:p>
    <w:p w14:paraId="62713D5E">
      <w:pPr>
        <w:keepNext w:val="0"/>
        <w:keepLines w:val="0"/>
        <w:pageBreakBefore w:val="0"/>
        <w:kinsoku/>
        <w:bidi w:val="0"/>
        <w:spacing w:before="82" w:line="360" w:lineRule="auto"/>
        <w:ind w:right="25"/>
        <w:jc w:val="center"/>
        <w:rPr>
          <w:rFonts w:hint="eastAsia" w:ascii="仿宋" w:hAnsi="仿宋" w:eastAsia="仿宋" w:cs="仿宋"/>
          <w:color w:val="auto"/>
          <w:spacing w:val="-2"/>
          <w:position w:val="14"/>
          <w:sz w:val="44"/>
          <w:szCs w:val="44"/>
          <w:lang w:eastAsia="zh-CN"/>
        </w:rPr>
      </w:pPr>
      <w:r>
        <w:rPr>
          <w:rFonts w:hint="eastAsia" w:ascii="仿宋" w:hAnsi="仿宋" w:eastAsia="仿宋" w:cs="仿宋"/>
          <w:color w:val="auto"/>
          <w:spacing w:val="-2"/>
          <w:position w:val="14"/>
          <w:sz w:val="44"/>
          <w:szCs w:val="44"/>
          <w:lang w:eastAsia="zh-CN"/>
        </w:rPr>
        <w:t>合同主要条款</w:t>
      </w:r>
    </w:p>
    <w:p w14:paraId="2C3A2127">
      <w:pPr>
        <w:keepNext w:val="0"/>
        <w:keepLines w:val="0"/>
        <w:pageBreakBefore w:val="0"/>
        <w:kinsoku/>
        <w:bidi w:val="0"/>
        <w:spacing w:line="360" w:lineRule="auto"/>
        <w:rPr>
          <w:rFonts w:ascii="仿宋" w:hAnsi="仿宋" w:eastAsia="仿宋" w:cs="仿宋"/>
          <w:color w:val="auto"/>
          <w:lang w:eastAsia="zh-CN"/>
        </w:rPr>
      </w:pPr>
    </w:p>
    <w:p w14:paraId="68DDDF64">
      <w:pPr>
        <w:keepNext w:val="0"/>
        <w:keepLines w:val="0"/>
        <w:pageBreakBefore w:val="0"/>
        <w:kinsoku/>
        <w:bidi w:val="0"/>
        <w:spacing w:line="360" w:lineRule="auto"/>
        <w:jc w:val="both"/>
        <w:rPr>
          <w:rFonts w:ascii="仿宋" w:hAnsi="仿宋" w:eastAsia="仿宋" w:cs="仿宋"/>
          <w:b/>
          <w:color w:val="auto"/>
          <w:sz w:val="44"/>
          <w:szCs w:val="44"/>
          <w:lang w:eastAsia="zh-CN"/>
        </w:rPr>
      </w:pPr>
      <w:bookmarkStart w:id="1" w:name="_GoBack"/>
      <w:bookmarkEnd w:id="1"/>
    </w:p>
    <w:p w14:paraId="45945873">
      <w:pPr>
        <w:pStyle w:val="8"/>
        <w:keepNext w:val="0"/>
        <w:keepLines w:val="0"/>
        <w:pageBreakBefore w:val="0"/>
        <w:kinsoku/>
        <w:bidi w:val="0"/>
        <w:snapToGrid w:val="0"/>
        <w:spacing w:line="360" w:lineRule="auto"/>
        <w:rPr>
          <w:rFonts w:ascii="仿宋" w:hAnsi="仿宋" w:eastAsia="仿宋" w:cs="仿宋"/>
          <w:color w:val="auto"/>
        </w:rPr>
      </w:pPr>
    </w:p>
    <w:p w14:paraId="3D8A342C">
      <w:pPr>
        <w:pStyle w:val="8"/>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r>
        <w:rPr>
          <w:rFonts w:hint="eastAsia" w:ascii="仿宋" w:hAnsi="仿宋" w:eastAsia="仿宋" w:cs="仿宋"/>
          <w:b/>
          <w:bCs/>
          <w:snapToGrid w:val="0"/>
          <w:color w:val="auto"/>
          <w:kern w:val="0"/>
          <w:sz w:val="40"/>
          <w:szCs w:val="40"/>
          <w:lang w:eastAsia="zh-CN"/>
        </w:rPr>
        <w:t>细柳街办GX</w:t>
      </w:r>
      <w:r>
        <w:rPr>
          <w:rFonts w:hint="eastAsia" w:ascii="仿宋" w:hAnsi="仿宋" w:eastAsia="仿宋" w:cs="仿宋"/>
          <w:b/>
          <w:bCs/>
          <w:snapToGrid w:val="0"/>
          <w:color w:val="auto"/>
          <w:kern w:val="0"/>
          <w:sz w:val="40"/>
          <w:szCs w:val="40"/>
          <w:lang w:val="en-US" w:eastAsia="zh-CN"/>
        </w:rPr>
        <w:t>3</w:t>
      </w:r>
      <w:r>
        <w:rPr>
          <w:rFonts w:hint="eastAsia" w:ascii="仿宋" w:hAnsi="仿宋" w:eastAsia="仿宋" w:cs="仿宋"/>
          <w:b/>
          <w:bCs/>
          <w:snapToGrid w:val="0"/>
          <w:color w:val="auto"/>
          <w:kern w:val="0"/>
          <w:sz w:val="40"/>
          <w:szCs w:val="40"/>
          <w:lang w:eastAsia="zh-CN"/>
        </w:rPr>
        <w:t>-41-26宗地配合文物勘探项目</w:t>
      </w:r>
    </w:p>
    <w:p w14:paraId="66D2F62E">
      <w:pPr>
        <w:pStyle w:val="8"/>
        <w:keepNext w:val="0"/>
        <w:keepLines w:val="0"/>
        <w:pageBreakBefore w:val="0"/>
        <w:kinsoku/>
        <w:bidi w:val="0"/>
        <w:snapToGrid w:val="0"/>
        <w:spacing w:line="360" w:lineRule="auto"/>
        <w:rPr>
          <w:rFonts w:ascii="仿宋" w:hAnsi="仿宋" w:eastAsia="仿宋" w:cs="仿宋"/>
          <w:b/>
          <w:bCs/>
          <w:snapToGrid w:val="0"/>
          <w:color w:val="auto"/>
          <w:kern w:val="0"/>
          <w:sz w:val="44"/>
          <w:szCs w:val="44"/>
          <w:lang w:eastAsia="en-US"/>
        </w:rPr>
      </w:pPr>
    </w:p>
    <w:p w14:paraId="672421AF">
      <w:pPr>
        <w:pStyle w:val="8"/>
        <w:keepNext w:val="0"/>
        <w:keepLines w:val="0"/>
        <w:pageBreakBefore w:val="0"/>
        <w:kinsoku/>
        <w:bidi w:val="0"/>
        <w:snapToGrid w:val="0"/>
        <w:spacing w:line="360" w:lineRule="auto"/>
        <w:rPr>
          <w:rFonts w:ascii="仿宋" w:hAnsi="仿宋" w:eastAsia="仿宋" w:cs="仿宋"/>
          <w:color w:val="auto"/>
        </w:rPr>
      </w:pPr>
    </w:p>
    <w:p w14:paraId="3B84EE2D">
      <w:pPr>
        <w:keepNext w:val="0"/>
        <w:keepLines w:val="0"/>
        <w:pageBreakBefore w:val="0"/>
        <w:kinsoku/>
        <w:bidi w:val="0"/>
        <w:spacing w:line="360" w:lineRule="auto"/>
        <w:rPr>
          <w:rFonts w:ascii="仿宋" w:hAnsi="仿宋" w:eastAsia="仿宋" w:cs="仿宋"/>
          <w:color w:val="auto"/>
        </w:rPr>
      </w:pPr>
    </w:p>
    <w:p w14:paraId="39D783DF">
      <w:pPr>
        <w:pStyle w:val="8"/>
        <w:keepNext w:val="0"/>
        <w:keepLines w:val="0"/>
        <w:pageBreakBefore w:val="0"/>
        <w:kinsoku/>
        <w:bidi w:val="0"/>
        <w:snapToGrid w:val="0"/>
        <w:spacing w:line="360" w:lineRule="auto"/>
        <w:rPr>
          <w:rFonts w:ascii="仿宋" w:hAnsi="仿宋" w:eastAsia="仿宋" w:cs="仿宋"/>
          <w:color w:val="auto"/>
        </w:rPr>
      </w:pPr>
    </w:p>
    <w:p w14:paraId="7E907C13">
      <w:pPr>
        <w:keepNext w:val="0"/>
        <w:keepLines w:val="0"/>
        <w:pageBreakBefore w:val="0"/>
        <w:kinsoku/>
        <w:bidi w:val="0"/>
        <w:spacing w:line="360" w:lineRule="auto"/>
        <w:jc w:val="center"/>
        <w:rPr>
          <w:rFonts w:ascii="仿宋" w:hAnsi="仿宋" w:eastAsia="仿宋" w:cs="仿宋"/>
          <w:b/>
          <w:color w:val="auto"/>
          <w:sz w:val="48"/>
          <w:szCs w:val="48"/>
        </w:rPr>
      </w:pPr>
    </w:p>
    <w:p w14:paraId="78C5754A">
      <w:pPr>
        <w:keepNext w:val="0"/>
        <w:keepLines w:val="0"/>
        <w:pageBreakBefore w:val="0"/>
        <w:kinsoku/>
        <w:bidi w:val="0"/>
        <w:spacing w:line="360" w:lineRule="auto"/>
        <w:jc w:val="center"/>
        <w:rPr>
          <w:rFonts w:ascii="仿宋" w:hAnsi="仿宋" w:eastAsia="仿宋" w:cs="仿宋"/>
          <w:color w:val="auto"/>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4A6EEB2A">
      <w:pPr>
        <w:pStyle w:val="8"/>
        <w:keepNext w:val="0"/>
        <w:keepLines w:val="0"/>
        <w:pageBreakBefore w:val="0"/>
        <w:kinsoku/>
        <w:bidi w:val="0"/>
        <w:snapToGrid w:val="0"/>
        <w:spacing w:line="360" w:lineRule="auto"/>
        <w:rPr>
          <w:rFonts w:ascii="仿宋" w:hAnsi="仿宋" w:eastAsia="仿宋" w:cs="仿宋"/>
          <w:color w:val="auto"/>
        </w:rPr>
      </w:pPr>
    </w:p>
    <w:p w14:paraId="04C63D8C">
      <w:pPr>
        <w:pStyle w:val="8"/>
        <w:keepNext w:val="0"/>
        <w:keepLines w:val="0"/>
        <w:pageBreakBefore w:val="0"/>
        <w:kinsoku/>
        <w:bidi w:val="0"/>
        <w:snapToGrid w:val="0"/>
        <w:spacing w:line="360" w:lineRule="auto"/>
        <w:rPr>
          <w:rFonts w:ascii="仿宋" w:hAnsi="仿宋" w:eastAsia="仿宋" w:cs="仿宋"/>
          <w:color w:val="auto"/>
        </w:rPr>
      </w:pPr>
    </w:p>
    <w:p w14:paraId="19F3E397">
      <w:pPr>
        <w:pStyle w:val="8"/>
        <w:keepNext w:val="0"/>
        <w:keepLines w:val="0"/>
        <w:pageBreakBefore w:val="0"/>
        <w:kinsoku/>
        <w:bidi w:val="0"/>
        <w:snapToGrid w:val="0"/>
        <w:spacing w:line="360" w:lineRule="auto"/>
        <w:rPr>
          <w:rFonts w:ascii="仿宋" w:hAnsi="仿宋" w:eastAsia="仿宋" w:cs="仿宋"/>
          <w:color w:val="auto"/>
        </w:rPr>
      </w:pPr>
    </w:p>
    <w:p w14:paraId="76BA3BC3">
      <w:pPr>
        <w:pStyle w:val="8"/>
        <w:keepNext w:val="0"/>
        <w:keepLines w:val="0"/>
        <w:pageBreakBefore w:val="0"/>
        <w:kinsoku/>
        <w:bidi w:val="0"/>
        <w:snapToGrid w:val="0"/>
        <w:spacing w:line="360" w:lineRule="auto"/>
        <w:rPr>
          <w:rFonts w:ascii="仿宋" w:hAnsi="仿宋" w:eastAsia="仿宋" w:cs="仿宋"/>
          <w:color w:val="auto"/>
        </w:rPr>
      </w:pPr>
    </w:p>
    <w:p w14:paraId="27B0171C">
      <w:pPr>
        <w:pStyle w:val="8"/>
        <w:keepNext w:val="0"/>
        <w:keepLines w:val="0"/>
        <w:pageBreakBefore w:val="0"/>
        <w:kinsoku/>
        <w:bidi w:val="0"/>
        <w:snapToGrid w:val="0"/>
        <w:spacing w:line="360" w:lineRule="auto"/>
        <w:rPr>
          <w:rFonts w:ascii="仿宋" w:hAnsi="仿宋" w:eastAsia="仿宋" w:cs="仿宋"/>
          <w:color w:val="auto"/>
        </w:rPr>
      </w:pPr>
    </w:p>
    <w:p w14:paraId="7ECA88B8">
      <w:pPr>
        <w:pStyle w:val="8"/>
        <w:keepNext w:val="0"/>
        <w:keepLines w:val="0"/>
        <w:pageBreakBefore w:val="0"/>
        <w:kinsoku/>
        <w:bidi w:val="0"/>
        <w:snapToGrid w:val="0"/>
        <w:spacing w:line="360" w:lineRule="auto"/>
        <w:rPr>
          <w:rFonts w:ascii="仿宋" w:hAnsi="仿宋" w:eastAsia="仿宋" w:cs="仿宋"/>
          <w:color w:val="auto"/>
        </w:rPr>
      </w:pPr>
    </w:p>
    <w:p w14:paraId="58ADA30E">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5F1ED00">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29D483C1">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19D8D017">
      <w:pPr>
        <w:keepNext w:val="0"/>
        <w:keepLines w:val="0"/>
        <w:pageBreakBefore w:val="0"/>
        <w:kinsoku/>
        <w:bidi w:val="0"/>
        <w:spacing w:line="360" w:lineRule="auto"/>
        <w:rPr>
          <w:rFonts w:ascii="仿宋" w:hAnsi="仿宋" w:eastAsia="仿宋" w:cs="仿宋"/>
          <w:bCs/>
          <w:color w:val="auto"/>
          <w:sz w:val="28"/>
          <w:szCs w:val="28"/>
        </w:rPr>
      </w:pPr>
      <w:r>
        <w:rPr>
          <w:rFonts w:hint="eastAsia" w:ascii="仿宋" w:hAnsi="仿宋" w:eastAsia="仿宋" w:cs="仿宋"/>
          <w:bCs/>
          <w:color w:val="auto"/>
          <w:sz w:val="28"/>
          <w:szCs w:val="28"/>
        </w:rPr>
        <w:br w:type="page"/>
      </w:r>
    </w:p>
    <w:p w14:paraId="6D63FCD4">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采购人（以下简称甲方）：</w:t>
      </w:r>
    </w:p>
    <w:p w14:paraId="426E7FF5">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供应商（以下简称乙方）：</w:t>
      </w:r>
    </w:p>
    <w:p w14:paraId="40B4875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根据《中华人民共和国民法典》、《中华人民共和国政府采购法》、《中华人民共和国建筑法》及其它有关法律、行政法规，为明确双方在施工过程中的权利、义务，经双方协商自愿签订本合同。</w:t>
      </w:r>
    </w:p>
    <w:p w14:paraId="7A040E83">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工程项目</w:t>
      </w:r>
    </w:p>
    <w:p w14:paraId="3451BA6A">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一、项目名称：</w:t>
      </w:r>
      <w:r>
        <w:rPr>
          <w:rFonts w:hint="eastAsia" w:ascii="仿宋" w:hAnsi="仿宋" w:eastAsia="仿宋" w:cs="仿宋"/>
          <w:bCs/>
          <w:color w:val="auto"/>
          <w:sz w:val="24"/>
          <w:szCs w:val="24"/>
          <w:highlight w:val="none"/>
          <w:lang w:eastAsia="zh-CN"/>
        </w:rPr>
        <w:t>细柳街办GX</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eastAsia="zh-CN"/>
        </w:rPr>
        <w:t>-41-26宗地配合文物勘探项目</w:t>
      </w:r>
    </w:p>
    <w:p w14:paraId="57C98F87">
      <w:pPr>
        <w:keepNext w:val="0"/>
        <w:keepLines w:val="0"/>
        <w:pageBreakBefore w:val="0"/>
        <w:shd w:val="clear" w:color="auto" w:fill="auto"/>
        <w:wordWrap/>
        <w:overflowPunct/>
        <w:topLinePunct w:val="0"/>
        <w:bidi w:val="0"/>
        <w:snapToGri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二、工程地点：</w:t>
      </w:r>
      <w:r>
        <w:rPr>
          <w:rFonts w:hint="eastAsia" w:ascii="仿宋" w:hAnsi="仿宋" w:eastAsia="仿宋" w:cs="仿宋"/>
          <w:bCs/>
          <w:color w:val="auto"/>
          <w:sz w:val="24"/>
          <w:szCs w:val="24"/>
          <w:highlight w:val="none"/>
          <w:lang w:val="en-US" w:eastAsia="zh-CN"/>
        </w:rPr>
        <w:t>甲方指定地点</w:t>
      </w:r>
    </w:p>
    <w:p w14:paraId="3BC9BF6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三、实施范围：细柳街办GX3-41-26宗地配合文物勘探项目土方开挖及土方内倒。其中土方开挖32129.42m³，土方内倒32129.42m³，土方内倒两次，原土回填。</w:t>
      </w:r>
    </w:p>
    <w:p w14:paraId="7CDD6463">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四</w:t>
      </w:r>
      <w:r>
        <w:rPr>
          <w:rFonts w:hint="eastAsia" w:ascii="仿宋" w:hAnsi="仿宋" w:eastAsia="仿宋" w:cs="仿宋"/>
          <w:bCs/>
          <w:color w:val="auto"/>
          <w:sz w:val="24"/>
          <w:szCs w:val="24"/>
          <w:highlight w:val="none"/>
        </w:rPr>
        <w:t>、</w:t>
      </w:r>
      <w:r>
        <w:rPr>
          <w:rFonts w:hint="eastAsia" w:ascii="仿宋" w:hAnsi="仿宋" w:eastAsia="仿宋" w:cs="仿宋"/>
          <w:color w:val="auto"/>
          <w:kern w:val="0"/>
          <w:sz w:val="24"/>
          <w:szCs w:val="24"/>
          <w:highlight w:val="none"/>
        </w:rPr>
        <w:t>合同价款</w:t>
      </w:r>
      <w:r>
        <w:rPr>
          <w:rFonts w:hint="eastAsia" w:ascii="仿宋" w:hAnsi="仿宋" w:eastAsia="仿宋" w:cs="仿宋"/>
          <w:color w:val="auto"/>
          <w:kern w:val="0"/>
          <w:sz w:val="24"/>
          <w:szCs w:val="24"/>
          <w:highlight w:val="none"/>
          <w:lang w:val="en-US" w:eastAsia="zh-CN"/>
        </w:rPr>
        <w:t>确定</w:t>
      </w:r>
      <w:r>
        <w:rPr>
          <w:rFonts w:hint="eastAsia" w:ascii="仿宋" w:hAnsi="仿宋" w:eastAsia="仿宋" w:cs="仿宋"/>
          <w:color w:val="auto"/>
          <w:kern w:val="0"/>
          <w:sz w:val="24"/>
          <w:szCs w:val="24"/>
          <w:highlight w:val="none"/>
        </w:rPr>
        <w:t>方式</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全费用</w:t>
      </w:r>
      <w:r>
        <w:rPr>
          <w:rFonts w:hint="eastAsia" w:ascii="仿宋" w:hAnsi="仿宋" w:eastAsia="仿宋" w:cs="仿宋"/>
          <w:bCs/>
          <w:color w:val="auto"/>
          <w:sz w:val="24"/>
          <w:szCs w:val="24"/>
          <w:highlight w:val="none"/>
        </w:rPr>
        <w:t>综合单价</w:t>
      </w:r>
    </w:p>
    <w:p w14:paraId="686D6BE2">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施工依据</w:t>
      </w:r>
    </w:p>
    <w:p w14:paraId="5ADDCD8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一、施工合同；</w:t>
      </w:r>
    </w:p>
    <w:p w14:paraId="1F72C261">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成交</w:t>
      </w:r>
      <w:r>
        <w:rPr>
          <w:rFonts w:hint="eastAsia" w:ascii="仿宋" w:hAnsi="仿宋" w:eastAsia="仿宋" w:cs="仿宋"/>
          <w:bCs/>
          <w:color w:val="auto"/>
          <w:sz w:val="24"/>
          <w:szCs w:val="24"/>
          <w:highlight w:val="none"/>
        </w:rPr>
        <w:t>通知书；</w:t>
      </w:r>
    </w:p>
    <w:p w14:paraId="48BC9004">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w:t>
      </w:r>
      <w:r>
        <w:rPr>
          <w:rFonts w:hint="eastAsia" w:ascii="仿宋" w:hAnsi="仿宋" w:eastAsia="仿宋" w:cs="仿宋"/>
          <w:bCs/>
          <w:color w:val="auto"/>
          <w:sz w:val="24"/>
          <w:szCs w:val="24"/>
          <w:highlight w:val="none"/>
          <w:lang w:val="en-US" w:eastAsia="zh-CN"/>
        </w:rPr>
        <w:t>竞争性磋商</w:t>
      </w:r>
      <w:r>
        <w:rPr>
          <w:rFonts w:hint="eastAsia" w:ascii="仿宋" w:hAnsi="仿宋" w:eastAsia="仿宋" w:cs="仿宋"/>
          <w:bCs/>
          <w:color w:val="auto"/>
          <w:sz w:val="24"/>
          <w:szCs w:val="24"/>
          <w:highlight w:val="none"/>
        </w:rPr>
        <w:t>文件、</w:t>
      </w:r>
      <w:r>
        <w:rPr>
          <w:rFonts w:hint="eastAsia" w:ascii="仿宋" w:hAnsi="仿宋" w:eastAsia="仿宋" w:cs="仿宋"/>
          <w:bCs/>
          <w:color w:val="auto"/>
          <w:sz w:val="24"/>
          <w:szCs w:val="24"/>
          <w:highlight w:val="none"/>
          <w:lang w:val="en-US" w:eastAsia="zh-CN"/>
        </w:rPr>
        <w:t>响应</w:t>
      </w:r>
      <w:r>
        <w:rPr>
          <w:rFonts w:hint="eastAsia" w:ascii="仿宋" w:hAnsi="仿宋" w:eastAsia="仿宋" w:cs="仿宋"/>
          <w:bCs/>
          <w:color w:val="auto"/>
          <w:sz w:val="24"/>
          <w:szCs w:val="24"/>
          <w:highlight w:val="none"/>
        </w:rPr>
        <w:t>文件及其附件；</w:t>
      </w:r>
    </w:p>
    <w:p w14:paraId="2D10588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四、标准、规范及有关技术文件；</w:t>
      </w:r>
    </w:p>
    <w:p w14:paraId="6D24641E">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五、工程量清单；</w:t>
      </w:r>
    </w:p>
    <w:p w14:paraId="3002024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六、工程报价单；</w:t>
      </w:r>
    </w:p>
    <w:p w14:paraId="55CA4D6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七、双方有关工程的洽商、变更等书面协议或文件视为施工合同的组成部分。</w:t>
      </w:r>
    </w:p>
    <w:p w14:paraId="4632EC39">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工程期限</w:t>
      </w:r>
    </w:p>
    <w:p w14:paraId="5C1EA7CB">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5849523F">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二、如遇下列情况，经甲方现场代表签证后，工期可相应顺延（顺延工期应由甲、乙双方共同签字确认）</w:t>
      </w:r>
    </w:p>
    <w:p w14:paraId="2633E878">
      <w:pPr>
        <w:keepNext w:val="0"/>
        <w:keepLines w:val="0"/>
        <w:pageBreakBefore w:val="0"/>
        <w:shd w:val="clear" w:color="auto" w:fill="auto"/>
        <w:wordWrap/>
        <w:overflowPunct/>
        <w:topLinePunct w:val="0"/>
        <w:bidi w:val="0"/>
        <w:snapToGrid w:val="0"/>
        <w:spacing w:line="360" w:lineRule="auto"/>
        <w:ind w:firstLine="600" w:firstLineChars="2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１、在施工中如因停电、停水８小时以上或连续间歇性停水、停电３天以上（每次连续４小时以上），影响正常施工；停水停电2天以上；</w:t>
      </w:r>
    </w:p>
    <w:p w14:paraId="5736DDA6">
      <w:pPr>
        <w:keepNext w:val="0"/>
        <w:keepLines w:val="0"/>
        <w:pageBreakBefore w:val="0"/>
        <w:shd w:val="clear" w:color="auto" w:fill="auto"/>
        <w:wordWrap/>
        <w:overflowPunct/>
        <w:topLinePunct w:val="0"/>
        <w:bidi w:val="0"/>
        <w:snapToGrid w:val="0"/>
        <w:spacing w:line="360" w:lineRule="auto"/>
        <w:ind w:firstLine="600" w:firstLineChars="2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2、遇阴雨天及不可抗力因素以及非</w:t>
      </w:r>
      <w:r>
        <w:rPr>
          <w:rFonts w:hint="eastAsia" w:ascii="仿宋" w:hAnsi="仿宋" w:eastAsia="仿宋" w:cs="仿宋"/>
          <w:bCs/>
          <w:color w:val="auto"/>
          <w:sz w:val="24"/>
          <w:szCs w:val="24"/>
          <w:highlight w:val="none"/>
          <w:lang w:val="en-US" w:eastAsia="zh-CN"/>
        </w:rPr>
        <w:t>乙方</w:t>
      </w:r>
      <w:r>
        <w:rPr>
          <w:rFonts w:hint="eastAsia" w:ascii="仿宋" w:hAnsi="仿宋" w:eastAsia="仿宋" w:cs="仿宋"/>
          <w:bCs/>
          <w:color w:val="auto"/>
          <w:sz w:val="24"/>
          <w:szCs w:val="24"/>
          <w:highlight w:val="none"/>
        </w:rPr>
        <w:t>施工因素影响；</w:t>
      </w:r>
    </w:p>
    <w:p w14:paraId="745AAA20">
      <w:pPr>
        <w:keepNext w:val="0"/>
        <w:keepLines w:val="0"/>
        <w:pageBreakBefore w:val="0"/>
        <w:shd w:val="clear" w:color="auto" w:fill="auto"/>
        <w:wordWrap/>
        <w:overflowPunct/>
        <w:topLinePunct w:val="0"/>
        <w:bidi w:val="0"/>
        <w:snapToGrid w:val="0"/>
        <w:spacing w:line="360" w:lineRule="auto"/>
        <w:ind w:firstLine="600" w:firstLineChars="2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３、因人力不可抗拒的其他因素而延误工期。</w:t>
      </w:r>
    </w:p>
    <w:p w14:paraId="09C03B06">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bookmarkStart w:id="0" w:name="OLE_LINK48"/>
      <w:r>
        <w:rPr>
          <w:rFonts w:hint="eastAsia" w:ascii="仿宋" w:hAnsi="仿宋" w:eastAsia="仿宋" w:cs="仿宋"/>
          <w:b/>
          <w:color w:val="auto"/>
          <w:sz w:val="24"/>
          <w:szCs w:val="24"/>
          <w:highlight w:val="none"/>
        </w:rPr>
        <w:t>第四条  工程价款、结算及付款方式</w:t>
      </w:r>
    </w:p>
    <w:p w14:paraId="230DA54C">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1、合同</w:t>
      </w:r>
      <w:r>
        <w:rPr>
          <w:rFonts w:hint="eastAsia" w:ascii="仿宋" w:hAnsi="仿宋" w:eastAsia="仿宋" w:cs="仿宋"/>
          <w:bCs/>
          <w:color w:val="auto"/>
          <w:sz w:val="24"/>
          <w:szCs w:val="24"/>
          <w:highlight w:val="none"/>
          <w:lang w:eastAsia="zh-CN"/>
        </w:rPr>
        <w:t>金额（暂定）</w:t>
      </w:r>
      <w:r>
        <w:rPr>
          <w:rFonts w:hint="eastAsia" w:ascii="仿宋" w:hAnsi="仿宋" w:eastAsia="仿宋" w:cs="仿宋"/>
          <w:bCs/>
          <w:color w:val="auto"/>
          <w:sz w:val="24"/>
          <w:szCs w:val="24"/>
          <w:highlight w:val="none"/>
        </w:rPr>
        <w:t>：（大写）人民币</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w:t>
      </w:r>
    </w:p>
    <w:p w14:paraId="7AE453F9">
      <w:pPr>
        <w:pStyle w:val="4"/>
        <w:keepNext w:val="0"/>
        <w:keepLines w:val="0"/>
        <w:pageBreakBefore w:val="0"/>
        <w:shd w:val="clear" w:color="auto" w:fill="auto"/>
        <w:wordWrap/>
        <w:overflowPunct/>
        <w:topLinePunct w:val="0"/>
        <w:bidi w:val="0"/>
        <w:snapToGrid w:val="0"/>
        <w:spacing w:line="360" w:lineRule="auto"/>
        <w:ind w:firstLine="28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u w:val="single"/>
        </w:rPr>
        <w:t xml:space="preserve">                      元</w:t>
      </w:r>
      <w:r>
        <w:rPr>
          <w:rFonts w:hint="eastAsia" w:ascii="仿宋" w:hAnsi="仿宋" w:eastAsia="仿宋" w:cs="仿宋"/>
          <w:color w:val="auto"/>
          <w:sz w:val="24"/>
          <w:szCs w:val="24"/>
          <w:highlight w:val="none"/>
          <w:u w:val="single"/>
          <w:lang w:eastAsia="zh-CN"/>
        </w:rPr>
        <w:t>。</w:t>
      </w:r>
    </w:p>
    <w:p w14:paraId="602F6D90">
      <w:pPr>
        <w:pStyle w:val="4"/>
        <w:keepNext w:val="0"/>
        <w:keepLines w:val="0"/>
        <w:pageBreakBefore w:val="0"/>
        <w:numPr>
          <w:ilvl w:val="0"/>
          <w:numId w:val="1"/>
        </w:numPr>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采购明细：</w:t>
      </w:r>
    </w:p>
    <w:tbl>
      <w:tblPr>
        <w:tblStyle w:val="6"/>
        <w:tblpPr w:leftFromText="180" w:rightFromText="180" w:vertAnchor="text" w:horzAnchor="page" w:tblpX="1363" w:tblpY="185"/>
        <w:tblOverlap w:val="never"/>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290"/>
        <w:gridCol w:w="1118"/>
        <w:gridCol w:w="1790"/>
        <w:gridCol w:w="2041"/>
        <w:gridCol w:w="1342"/>
        <w:gridCol w:w="934"/>
      </w:tblGrid>
      <w:tr w14:paraId="74EF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exact"/>
        </w:trPr>
        <w:tc>
          <w:tcPr>
            <w:tcW w:w="942" w:type="dxa"/>
            <w:noWrap w:val="0"/>
            <w:vAlign w:val="center"/>
          </w:tcPr>
          <w:p w14:paraId="634126F8">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序号</w:t>
            </w:r>
          </w:p>
        </w:tc>
        <w:tc>
          <w:tcPr>
            <w:tcW w:w="1290" w:type="dxa"/>
            <w:noWrap w:val="0"/>
            <w:vAlign w:val="center"/>
          </w:tcPr>
          <w:p w14:paraId="66C540AF">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项目清单</w:t>
            </w:r>
          </w:p>
        </w:tc>
        <w:tc>
          <w:tcPr>
            <w:tcW w:w="1118" w:type="dxa"/>
            <w:noWrap w:val="0"/>
            <w:vAlign w:val="center"/>
          </w:tcPr>
          <w:p w14:paraId="4C191A91">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单位</w:t>
            </w:r>
          </w:p>
        </w:tc>
        <w:tc>
          <w:tcPr>
            <w:tcW w:w="1790" w:type="dxa"/>
            <w:noWrap w:val="0"/>
            <w:vAlign w:val="center"/>
          </w:tcPr>
          <w:p w14:paraId="3077F7FD">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工程量</w:t>
            </w:r>
          </w:p>
        </w:tc>
        <w:tc>
          <w:tcPr>
            <w:tcW w:w="2041" w:type="dxa"/>
            <w:noWrap w:val="0"/>
            <w:vAlign w:val="center"/>
          </w:tcPr>
          <w:p w14:paraId="11B7F05E">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z w:val="24"/>
                <w:szCs w:val="24"/>
                <w:highlight w:val="none"/>
                <w:lang w:eastAsia="zh-CN"/>
              </w:rPr>
              <w:t>全费用</w:t>
            </w:r>
            <w:r>
              <w:rPr>
                <w:rFonts w:hint="eastAsia" w:ascii="仿宋" w:hAnsi="仿宋" w:eastAsia="仿宋" w:cs="仿宋"/>
                <w:color w:val="auto"/>
                <w:sz w:val="24"/>
                <w:szCs w:val="24"/>
                <w:highlight w:val="none"/>
              </w:rPr>
              <w:t>综合单价（</w:t>
            </w:r>
            <w:r>
              <w:rPr>
                <w:rFonts w:hint="eastAsia" w:ascii="仿宋" w:hAnsi="仿宋" w:eastAsia="仿宋" w:cs="仿宋"/>
                <w:b w:val="0"/>
                <w:color w:val="auto"/>
                <w:kern w:val="0"/>
                <w:sz w:val="24"/>
                <w:szCs w:val="24"/>
                <w:highlight w:val="none"/>
                <w:lang w:val="en-US" w:eastAsia="zh-CN" w:bidi="ar-SA"/>
              </w:rPr>
              <w:t>元/</w:t>
            </w:r>
            <w:r>
              <w:rPr>
                <w:rFonts w:hint="eastAsia" w:ascii="仿宋" w:hAnsi="仿宋" w:eastAsia="仿宋" w:cs="仿宋"/>
                <w:b w:val="0"/>
                <w:color w:val="auto"/>
                <w:kern w:val="0"/>
                <w:sz w:val="24"/>
                <w:szCs w:val="24"/>
                <w:highlight w:val="none"/>
                <w:lang w:val="zh-CN" w:eastAsia="zh-CN" w:bidi="ar-SA"/>
              </w:rPr>
              <w:t>m³</w:t>
            </w:r>
            <w:r>
              <w:rPr>
                <w:rFonts w:hint="eastAsia" w:ascii="仿宋" w:hAnsi="仿宋" w:eastAsia="仿宋" w:cs="仿宋"/>
                <w:color w:val="auto"/>
                <w:sz w:val="24"/>
                <w:szCs w:val="24"/>
                <w:highlight w:val="none"/>
              </w:rPr>
              <w:t>）</w:t>
            </w:r>
          </w:p>
        </w:tc>
        <w:tc>
          <w:tcPr>
            <w:tcW w:w="1342" w:type="dxa"/>
            <w:noWrap w:val="0"/>
            <w:vAlign w:val="center"/>
          </w:tcPr>
          <w:p w14:paraId="308DCE57">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小计</w:t>
            </w:r>
          </w:p>
          <w:p w14:paraId="1C70237B">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z w:val="24"/>
                <w:szCs w:val="24"/>
                <w:highlight w:val="none"/>
                <w:lang w:val="en-US" w:eastAsia="zh-CN"/>
              </w:rPr>
              <w:t>（元）</w:t>
            </w:r>
          </w:p>
        </w:tc>
        <w:tc>
          <w:tcPr>
            <w:tcW w:w="934" w:type="dxa"/>
            <w:noWrap w:val="0"/>
            <w:vAlign w:val="center"/>
          </w:tcPr>
          <w:p w14:paraId="7A4ECB71">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14:paraId="3C58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14:paraId="29FFAD91">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1</w:t>
            </w:r>
          </w:p>
        </w:tc>
        <w:tc>
          <w:tcPr>
            <w:tcW w:w="1290" w:type="dxa"/>
            <w:noWrap w:val="0"/>
            <w:vAlign w:val="center"/>
          </w:tcPr>
          <w:p w14:paraId="517F933F">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土方开挖</w:t>
            </w:r>
          </w:p>
        </w:tc>
        <w:tc>
          <w:tcPr>
            <w:tcW w:w="1118" w:type="dxa"/>
            <w:noWrap w:val="0"/>
            <w:vAlign w:val="center"/>
          </w:tcPr>
          <w:p w14:paraId="58078216">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m³</w:t>
            </w:r>
          </w:p>
        </w:tc>
        <w:tc>
          <w:tcPr>
            <w:tcW w:w="1790" w:type="dxa"/>
            <w:shd w:val="clear" w:color="auto" w:fill="auto"/>
            <w:noWrap w:val="0"/>
            <w:vAlign w:val="center"/>
          </w:tcPr>
          <w:p w14:paraId="7B429C5D">
            <w:pPr>
              <w:widowControl w:val="0"/>
              <w:spacing w:before="82" w:line="360" w:lineRule="auto"/>
              <w:ind w:right="25" w:rightChars="0"/>
              <w:jc w:val="center"/>
              <w:rPr>
                <w:rFonts w:hint="eastAsia" w:ascii="仿宋" w:hAnsi="仿宋" w:eastAsia="仿宋" w:cs="仿宋"/>
                <w:snapToGrid w:val="0"/>
                <w:color w:val="auto"/>
                <w:spacing w:val="-2"/>
                <w:position w:val="14"/>
                <w:sz w:val="24"/>
                <w:szCs w:val="24"/>
                <w:highlight w:val="none"/>
                <w:lang w:val="en-US" w:eastAsia="zh-CN" w:bidi="ar-SA"/>
              </w:rPr>
            </w:pPr>
            <w:r>
              <w:rPr>
                <w:rFonts w:hint="eastAsia" w:ascii="仿宋" w:hAnsi="仿宋" w:eastAsia="仿宋" w:cs="仿宋"/>
                <w:color w:val="auto"/>
                <w:spacing w:val="-2"/>
                <w:position w:val="14"/>
                <w:sz w:val="24"/>
                <w:szCs w:val="24"/>
                <w:highlight w:val="none"/>
                <w:lang w:val="en-US" w:eastAsia="zh-CN"/>
              </w:rPr>
              <w:t>32129.42</w:t>
            </w:r>
          </w:p>
        </w:tc>
        <w:tc>
          <w:tcPr>
            <w:tcW w:w="2041" w:type="dxa"/>
            <w:noWrap w:val="0"/>
            <w:vAlign w:val="center"/>
          </w:tcPr>
          <w:p w14:paraId="6D76100E">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b w:val="0"/>
                <w:color w:val="auto"/>
                <w:kern w:val="0"/>
                <w:sz w:val="24"/>
                <w:szCs w:val="24"/>
                <w:highlight w:val="none"/>
                <w:u w:val="single"/>
                <w:lang w:val="en-US" w:eastAsia="zh-CN" w:bidi="ar-SA"/>
              </w:rPr>
              <w:t xml:space="preserve">    </w:t>
            </w:r>
            <w:r>
              <w:rPr>
                <w:rFonts w:hint="eastAsia" w:ascii="仿宋" w:hAnsi="仿宋" w:eastAsia="仿宋" w:cs="仿宋"/>
                <w:b w:val="0"/>
                <w:color w:val="auto"/>
                <w:kern w:val="0"/>
                <w:sz w:val="24"/>
                <w:szCs w:val="24"/>
                <w:highlight w:val="none"/>
                <w:lang w:val="en-US" w:eastAsia="zh-CN" w:bidi="ar-SA"/>
              </w:rPr>
              <w:t>元/</w:t>
            </w:r>
            <w:r>
              <w:rPr>
                <w:rFonts w:hint="eastAsia" w:ascii="仿宋" w:hAnsi="仿宋" w:eastAsia="仿宋" w:cs="仿宋"/>
                <w:b w:val="0"/>
                <w:color w:val="auto"/>
                <w:kern w:val="0"/>
                <w:sz w:val="24"/>
                <w:szCs w:val="24"/>
                <w:highlight w:val="none"/>
                <w:lang w:val="zh-CN" w:eastAsia="zh-CN" w:bidi="ar-SA"/>
              </w:rPr>
              <w:t>m³</w:t>
            </w:r>
          </w:p>
        </w:tc>
        <w:tc>
          <w:tcPr>
            <w:tcW w:w="1342" w:type="dxa"/>
            <w:noWrap w:val="0"/>
            <w:vAlign w:val="center"/>
          </w:tcPr>
          <w:p w14:paraId="356CD071">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pacing w:val="-2"/>
                <w:position w:val="14"/>
                <w:sz w:val="24"/>
                <w:szCs w:val="24"/>
                <w:highlight w:val="none"/>
                <w:lang w:val="en-US" w:eastAsia="zh-CN"/>
              </w:rPr>
            </w:pPr>
          </w:p>
        </w:tc>
        <w:tc>
          <w:tcPr>
            <w:tcW w:w="934" w:type="dxa"/>
            <w:noWrap w:val="0"/>
            <w:vAlign w:val="center"/>
          </w:tcPr>
          <w:p w14:paraId="29293F42">
            <w:pPr>
              <w:keepNext w:val="0"/>
              <w:keepLines w:val="0"/>
              <w:pageBreakBefore w:val="0"/>
              <w:widowControl w:val="0"/>
              <w:shd w:val="clear" w:color="auto" w:fill="auto"/>
              <w:wordWrap/>
              <w:overflowPunct/>
              <w:topLinePunct w:val="0"/>
              <w:bidi w:val="0"/>
              <w:snapToGrid w:val="0"/>
              <w:spacing w:line="360" w:lineRule="auto"/>
              <w:jc w:val="center"/>
              <w:rPr>
                <w:rFonts w:hint="eastAsia" w:ascii="仿宋" w:hAnsi="仿宋" w:eastAsia="仿宋" w:cs="仿宋"/>
                <w:color w:val="auto"/>
                <w:spacing w:val="-2"/>
                <w:position w:val="14"/>
                <w:sz w:val="24"/>
                <w:szCs w:val="24"/>
                <w:highlight w:val="none"/>
                <w:lang w:val="en-US" w:eastAsia="zh-CN"/>
              </w:rPr>
            </w:pPr>
          </w:p>
        </w:tc>
      </w:tr>
      <w:tr w14:paraId="5F380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14:paraId="12B2606D">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2</w:t>
            </w:r>
          </w:p>
        </w:tc>
        <w:tc>
          <w:tcPr>
            <w:tcW w:w="1290" w:type="dxa"/>
            <w:noWrap w:val="0"/>
            <w:vAlign w:val="center"/>
          </w:tcPr>
          <w:p w14:paraId="02DC4924">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土方内倒</w:t>
            </w:r>
          </w:p>
        </w:tc>
        <w:tc>
          <w:tcPr>
            <w:tcW w:w="1118" w:type="dxa"/>
            <w:noWrap w:val="0"/>
            <w:vAlign w:val="center"/>
          </w:tcPr>
          <w:p w14:paraId="0A1D04C0">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pacing w:val="-2"/>
                <w:position w:val="14"/>
                <w:sz w:val="24"/>
                <w:szCs w:val="24"/>
                <w:highlight w:val="none"/>
                <w:lang w:val="en-US" w:eastAsia="zh-CN"/>
              </w:rPr>
              <w:t>m³</w:t>
            </w:r>
          </w:p>
        </w:tc>
        <w:tc>
          <w:tcPr>
            <w:tcW w:w="1790" w:type="dxa"/>
            <w:shd w:val="clear" w:color="auto" w:fill="auto"/>
            <w:noWrap w:val="0"/>
            <w:vAlign w:val="center"/>
          </w:tcPr>
          <w:p w14:paraId="35511A3C">
            <w:pPr>
              <w:widowControl w:val="0"/>
              <w:spacing w:before="82" w:line="360" w:lineRule="auto"/>
              <w:ind w:right="25" w:rightChars="0"/>
              <w:jc w:val="center"/>
              <w:rPr>
                <w:rFonts w:hint="eastAsia" w:ascii="仿宋" w:hAnsi="仿宋" w:eastAsia="仿宋" w:cs="仿宋"/>
                <w:snapToGrid w:val="0"/>
                <w:color w:val="auto"/>
                <w:spacing w:val="-2"/>
                <w:position w:val="14"/>
                <w:sz w:val="24"/>
                <w:szCs w:val="24"/>
                <w:highlight w:val="none"/>
                <w:lang w:val="en-US" w:eastAsia="zh-CN" w:bidi="ar-SA"/>
              </w:rPr>
            </w:pPr>
            <w:r>
              <w:rPr>
                <w:rFonts w:hint="eastAsia" w:ascii="仿宋" w:hAnsi="仿宋" w:eastAsia="仿宋" w:cs="仿宋"/>
                <w:color w:val="auto"/>
                <w:spacing w:val="-2"/>
                <w:position w:val="14"/>
                <w:sz w:val="24"/>
                <w:szCs w:val="24"/>
                <w:highlight w:val="none"/>
                <w:lang w:val="en-US" w:eastAsia="zh-CN"/>
              </w:rPr>
              <w:t>32129.42</w:t>
            </w:r>
          </w:p>
        </w:tc>
        <w:tc>
          <w:tcPr>
            <w:tcW w:w="2041" w:type="dxa"/>
            <w:noWrap w:val="0"/>
            <w:vAlign w:val="center"/>
          </w:tcPr>
          <w:p w14:paraId="1236EF14">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b w:val="0"/>
                <w:color w:val="auto"/>
                <w:kern w:val="0"/>
                <w:sz w:val="24"/>
                <w:szCs w:val="24"/>
                <w:highlight w:val="none"/>
                <w:u w:val="single"/>
                <w:lang w:val="en-US" w:eastAsia="zh-CN" w:bidi="ar-SA"/>
              </w:rPr>
              <w:t xml:space="preserve">    </w:t>
            </w:r>
            <w:r>
              <w:rPr>
                <w:rFonts w:hint="eastAsia" w:ascii="仿宋" w:hAnsi="仿宋" w:eastAsia="仿宋" w:cs="仿宋"/>
                <w:b w:val="0"/>
                <w:color w:val="auto"/>
                <w:kern w:val="0"/>
                <w:sz w:val="24"/>
                <w:szCs w:val="24"/>
                <w:highlight w:val="none"/>
                <w:lang w:val="en-US" w:eastAsia="zh-CN" w:bidi="ar-SA"/>
              </w:rPr>
              <w:t>元/</w:t>
            </w:r>
            <w:r>
              <w:rPr>
                <w:rFonts w:hint="eastAsia" w:ascii="仿宋" w:hAnsi="仿宋" w:eastAsia="仿宋" w:cs="仿宋"/>
                <w:b w:val="0"/>
                <w:color w:val="auto"/>
                <w:kern w:val="0"/>
                <w:sz w:val="24"/>
                <w:szCs w:val="24"/>
                <w:highlight w:val="none"/>
                <w:lang w:val="zh-CN" w:eastAsia="zh-CN" w:bidi="ar-SA"/>
              </w:rPr>
              <w:t>m³</w:t>
            </w:r>
          </w:p>
        </w:tc>
        <w:tc>
          <w:tcPr>
            <w:tcW w:w="1342" w:type="dxa"/>
            <w:noWrap w:val="0"/>
            <w:vAlign w:val="center"/>
          </w:tcPr>
          <w:p w14:paraId="41798562">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p>
        </w:tc>
        <w:tc>
          <w:tcPr>
            <w:tcW w:w="934" w:type="dxa"/>
            <w:noWrap w:val="0"/>
            <w:vAlign w:val="center"/>
          </w:tcPr>
          <w:p w14:paraId="0AFA6B79">
            <w:pPr>
              <w:keepNext w:val="0"/>
              <w:keepLines w:val="0"/>
              <w:pageBreakBefore w:val="0"/>
              <w:widowControl w:val="0"/>
              <w:wordWrap/>
              <w:overflowPunct/>
              <w:topLinePunct w:val="0"/>
              <w:bidi w:val="0"/>
              <w:snapToGrid w:val="0"/>
              <w:spacing w:before="82" w:line="360" w:lineRule="auto"/>
              <w:ind w:right="25"/>
              <w:jc w:val="center"/>
              <w:rPr>
                <w:rFonts w:hint="eastAsia" w:ascii="仿宋" w:hAnsi="仿宋" w:eastAsia="仿宋" w:cs="仿宋"/>
                <w:color w:val="auto"/>
                <w:spacing w:val="-2"/>
                <w:position w:val="14"/>
                <w:sz w:val="24"/>
                <w:szCs w:val="24"/>
                <w:highlight w:val="none"/>
                <w:lang w:val="en-US" w:eastAsia="zh-CN"/>
              </w:rPr>
            </w:pPr>
          </w:p>
        </w:tc>
      </w:tr>
      <w:tr w14:paraId="3569B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9457" w:type="dxa"/>
            <w:gridSpan w:val="7"/>
            <w:noWrap w:val="0"/>
            <w:vAlign w:val="center"/>
          </w:tcPr>
          <w:p w14:paraId="3E38CEF4">
            <w:pPr>
              <w:keepNext w:val="0"/>
              <w:keepLines w:val="0"/>
              <w:pageBreakBefore w:val="0"/>
              <w:widowControl w:val="0"/>
              <w:wordWrap/>
              <w:overflowPunct/>
              <w:topLinePunct w:val="0"/>
              <w:bidi w:val="0"/>
              <w:snapToGrid w:val="0"/>
              <w:spacing w:before="82" w:line="360" w:lineRule="auto"/>
              <w:ind w:right="25"/>
              <w:jc w:val="both"/>
              <w:rPr>
                <w:rFonts w:hint="eastAsia" w:ascii="仿宋" w:hAnsi="仿宋" w:eastAsia="仿宋" w:cs="仿宋"/>
                <w:color w:val="auto"/>
                <w:spacing w:val="-2"/>
                <w:position w:val="14"/>
                <w:sz w:val="24"/>
                <w:szCs w:val="24"/>
                <w:highlight w:val="none"/>
                <w:lang w:val="en-US" w:eastAsia="zh-CN"/>
              </w:rPr>
            </w:pPr>
            <w:r>
              <w:rPr>
                <w:rFonts w:hint="eastAsia" w:ascii="仿宋" w:hAnsi="仿宋" w:eastAsia="仿宋" w:cs="仿宋"/>
                <w:color w:val="auto"/>
                <w:sz w:val="24"/>
                <w:szCs w:val="24"/>
                <w:highlight w:val="none"/>
                <w:lang w:val="en-US" w:eastAsia="zh-CN"/>
              </w:rPr>
              <w:t xml:space="preserve">合计：（大写）人民币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w:t>
            </w:r>
          </w:p>
        </w:tc>
      </w:tr>
    </w:tbl>
    <w:p w14:paraId="358746AE">
      <w:pPr>
        <w:keepNext w:val="0"/>
        <w:keepLines w:val="0"/>
        <w:pageBreakBefore w:val="0"/>
        <w:numPr>
          <w:ilvl w:val="0"/>
          <w:numId w:val="0"/>
        </w:numPr>
        <w:shd w:val="clear" w:color="auto" w:fill="auto"/>
        <w:wordWrap/>
        <w:overflowPunct/>
        <w:topLinePunct w:val="0"/>
        <w:bidi w:val="0"/>
        <w:adjustRightInd w:val="0"/>
        <w:snapToGrid w:val="0"/>
        <w:spacing w:line="360" w:lineRule="auto"/>
        <w:ind w:firstLine="240" w:firstLineChars="10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付</w:t>
      </w:r>
      <w:r>
        <w:rPr>
          <w:rFonts w:hint="eastAsia" w:ascii="仿宋" w:hAnsi="仿宋" w:eastAsia="仿宋" w:cs="仿宋"/>
          <w:color w:val="auto"/>
          <w:kern w:val="2"/>
          <w:sz w:val="24"/>
          <w:szCs w:val="24"/>
          <w:highlight w:val="none"/>
          <w:lang w:val="en-US" w:eastAsia="zh-CN" w:bidi="ar-SA"/>
        </w:rPr>
        <w:t>款方式：乙方完成合同工程量的80％，支付至合同暂定总价的50％，工程全部完工并由甲方验收合格并确认后，支付至合同暂定总价的80％，待结算审核完成后支付至结算金额的97%，剩余3%作为质保金，质保金在缺陷责任期（12个月）满后一次性无息支付。</w:t>
      </w:r>
    </w:p>
    <w:p w14:paraId="0D584AC6">
      <w:pPr>
        <w:keepNext w:val="0"/>
        <w:keepLines w:val="0"/>
        <w:pageBreakBefore w:val="0"/>
        <w:shd w:val="clear" w:color="auto" w:fill="auto"/>
        <w:wordWrap/>
        <w:overflowPunct/>
        <w:topLinePunct w:val="0"/>
        <w:bidi w:val="0"/>
        <w:snapToGrid w:val="0"/>
        <w:spacing w:after="120"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rPr>
        <w:t>4、</w:t>
      </w:r>
      <w:r>
        <w:rPr>
          <w:rFonts w:hint="eastAsia" w:ascii="仿宋" w:hAnsi="仿宋" w:eastAsia="仿宋" w:cs="仿宋"/>
          <w:color w:val="auto"/>
          <w:kern w:val="0"/>
          <w:sz w:val="24"/>
          <w:szCs w:val="24"/>
          <w:highlight w:val="none"/>
        </w:rPr>
        <w:t>付款依据：</w:t>
      </w:r>
      <w:r>
        <w:rPr>
          <w:rFonts w:hint="eastAsia" w:ascii="仿宋" w:hAnsi="仿宋" w:eastAsia="仿宋" w:cs="仿宋"/>
          <w:color w:val="auto"/>
          <w:kern w:val="0"/>
          <w:sz w:val="24"/>
          <w:szCs w:val="24"/>
          <w:highlight w:val="none"/>
          <w:lang w:eastAsia="zh-CN"/>
        </w:rPr>
        <w:t>甲方</w:t>
      </w:r>
      <w:r>
        <w:rPr>
          <w:rFonts w:hint="eastAsia" w:ascii="仿宋" w:hAnsi="仿宋" w:eastAsia="仿宋" w:cs="仿宋"/>
          <w:color w:val="auto"/>
          <w:kern w:val="2"/>
          <w:sz w:val="24"/>
          <w:szCs w:val="24"/>
          <w:highlight w:val="none"/>
          <w:lang w:val="en-US" w:eastAsia="zh-CN" w:bidi="ar-SA"/>
        </w:rPr>
        <w:t>出具的验收报告、乙方提供的等额发票、工程量确认单。</w:t>
      </w:r>
    </w:p>
    <w:p w14:paraId="72E38833">
      <w:pPr>
        <w:keepNext w:val="0"/>
        <w:keepLines w:val="0"/>
        <w:pageBreakBefore w:val="0"/>
        <w:shd w:val="clear" w:color="auto" w:fill="auto"/>
        <w:wordWrap/>
        <w:overflowPunct/>
        <w:topLinePunct w:val="0"/>
        <w:bidi w:val="0"/>
        <w:snapToGrid w:val="0"/>
        <w:spacing w:after="120" w:line="360" w:lineRule="auto"/>
        <w:ind w:firstLine="240" w:firstLineChars="100"/>
        <w:rPr>
          <w:rFonts w:hint="eastAsia" w:ascii="仿宋" w:hAnsi="仿宋" w:eastAsia="仿宋" w:cs="仿宋"/>
          <w:color w:val="auto"/>
          <w:kern w:val="2"/>
          <w:sz w:val="24"/>
          <w:szCs w:val="24"/>
          <w:highlight w:val="none"/>
          <w:lang w:val="zh-TW" w:eastAsia="zh-CN" w:bidi="ar-SA"/>
        </w:rPr>
      </w:pPr>
      <w:r>
        <w:rPr>
          <w:rFonts w:hint="eastAsia" w:ascii="仿宋" w:hAnsi="仿宋" w:eastAsia="仿宋" w:cs="仿宋"/>
          <w:color w:val="auto"/>
          <w:sz w:val="24"/>
          <w:szCs w:val="24"/>
          <w:highlight w:val="none"/>
          <w:lang w:val="en-US" w:eastAsia="zh-CN"/>
        </w:rPr>
        <w:t>5、</w:t>
      </w:r>
      <w:r>
        <w:rPr>
          <w:rFonts w:hint="eastAsia" w:ascii="仿宋" w:hAnsi="仿宋" w:eastAsia="仿宋" w:cs="仿宋"/>
          <w:bCs/>
          <w:color w:val="auto"/>
          <w:sz w:val="24"/>
          <w:szCs w:val="24"/>
          <w:highlight w:val="none"/>
        </w:rPr>
        <w:t>结算方式：工程结算以财政结算审定价款据实结算。工程结算经财政局委托的审核机构审定后，乙方依据审定金额开具符合财政要求的正式税务发票并提出结算付款申请，甲方根据结算付款审批程序办理付款手续。</w:t>
      </w:r>
    </w:p>
    <w:p w14:paraId="0F047226">
      <w:pPr>
        <w:keepNext w:val="0"/>
        <w:keepLines w:val="0"/>
        <w:pageBreakBefore w:val="0"/>
        <w:shd w:val="clear" w:color="auto" w:fill="auto"/>
        <w:wordWrap/>
        <w:overflowPunct/>
        <w:topLinePunct w:val="0"/>
        <w:bidi w:val="0"/>
        <w:snapToGrid w:val="0"/>
        <w:spacing w:after="120"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lang w:val="en-US" w:eastAsia="zh-CN"/>
        </w:rPr>
        <w:t>6、工程竣工后，乙方应严格按照磋商文件及合同约定的计算方法编制竣工结算，如发生多估冒算，超出送审工程造价5%部分的审核成果费由乙方承担，甲方有权在结算工程价款时直接扣除。</w:t>
      </w:r>
    </w:p>
    <w:bookmarkEnd w:id="0"/>
    <w:p w14:paraId="1C04C18F">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拟派人员</w:t>
      </w:r>
    </w:p>
    <w:p w14:paraId="068CDEC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u w:val="none"/>
        </w:rPr>
      </w:pPr>
      <w:r>
        <w:rPr>
          <w:rFonts w:hint="eastAsia" w:ascii="仿宋" w:hAnsi="仿宋" w:eastAsia="仿宋" w:cs="仿宋"/>
          <w:bCs/>
          <w:color w:val="auto"/>
          <w:sz w:val="24"/>
          <w:szCs w:val="24"/>
          <w:highlight w:val="none"/>
        </w:rPr>
        <w:t>本项目拟派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为项目经理，联系电话：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none"/>
        </w:rPr>
        <w:t>；</w:t>
      </w:r>
    </w:p>
    <w:p w14:paraId="624AC774">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拟派</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为技术负责人，联系电话：</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，身份证号：</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p>
    <w:p w14:paraId="44443F9D">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条  工程质量管理及验收</w:t>
      </w:r>
    </w:p>
    <w:p w14:paraId="1CC1479B">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执行的法律法规、技术规范</w:t>
      </w:r>
    </w:p>
    <w:p w14:paraId="79BE1E6A">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执行的法律法规、技术规范包括但不限于以下规定、规范、标准：</w:t>
      </w:r>
    </w:p>
    <w:p w14:paraId="0BFE55A4">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《安全生产法》</w:t>
      </w:r>
    </w:p>
    <w:p w14:paraId="60B57208">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《建设工程安全生产管理条例》</w:t>
      </w:r>
    </w:p>
    <w:p w14:paraId="2A32FA7A">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《西安市扬尘污染防治条例》</w:t>
      </w:r>
    </w:p>
    <w:p w14:paraId="25727019">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《西安市建筑垃圾管理办法》</w:t>
      </w:r>
    </w:p>
    <w:p w14:paraId="2D3A9934">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《西安高新区治污减霾网格化管理工作实施方案》</w:t>
      </w:r>
    </w:p>
    <w:p w14:paraId="4FFA3307">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如有最新的法律法规、技术规范发布，按最新的文件执行。</w:t>
      </w:r>
    </w:p>
    <w:p w14:paraId="4BC53C7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7F96B278">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、工程具备竣工验收条件，乙方按国家工程竣工验收有关规定，向甲方提供完整竣工资料及竣工验收报告，甲方组织乙方及相关单位完成竣工验收。</w:t>
      </w:r>
    </w:p>
    <w:p w14:paraId="197EC569">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、符合国家及行业规定的建筑工程质量检验评定“合格”标准。</w:t>
      </w:r>
    </w:p>
    <w:p w14:paraId="7E9A8BE2">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条  安全施工</w:t>
      </w:r>
    </w:p>
    <w:p w14:paraId="356F04E1">
      <w:pPr>
        <w:keepNext w:val="0"/>
        <w:keepLines w:val="0"/>
        <w:pageBreakBefore w:val="0"/>
        <w:widowControl/>
        <w:suppressLineNumbers w:val="0"/>
        <w:wordWrap/>
        <w:overflowPunct/>
        <w:topLinePunct w:val="0"/>
        <w:bidi w:val="0"/>
        <w:snapToGrid w:val="0"/>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063B3F0D">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eastAsia="zh-CN"/>
        </w:rPr>
        <w:t>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双方的权利和义务</w:t>
      </w:r>
    </w:p>
    <w:p w14:paraId="2F2554D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一、甲方的权利与义务</w:t>
      </w:r>
    </w:p>
    <w:p w14:paraId="3D4B49CC">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协助提供施工所需水、电、但具体费用由乙方承担；</w:t>
      </w:r>
    </w:p>
    <w:p w14:paraId="6EDA9BD7">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协助切断水、电源、为乙方创造必要的施工条件；</w:t>
      </w:r>
    </w:p>
    <w:p w14:paraId="0821B9B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按安全文明施工的规定，督促乙方落实安全施工、文明施工措施；</w:t>
      </w:r>
    </w:p>
    <w:p w14:paraId="6CC19410">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lang w:eastAsia="zh-CN"/>
        </w:rPr>
        <w:t>施工</w:t>
      </w:r>
      <w:r>
        <w:rPr>
          <w:rFonts w:hint="eastAsia" w:ascii="仿宋" w:hAnsi="仿宋" w:eastAsia="仿宋" w:cs="仿宋"/>
          <w:bCs/>
          <w:color w:val="auto"/>
          <w:sz w:val="24"/>
          <w:szCs w:val="24"/>
          <w:highlight w:val="none"/>
        </w:rPr>
        <w:t>工作提出指导性建议或意见促使施工顺利进行；</w:t>
      </w:r>
    </w:p>
    <w:p w14:paraId="2804B0DC">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rPr>
        <w:t>负责</w:t>
      </w:r>
      <w:r>
        <w:rPr>
          <w:rFonts w:hint="eastAsia" w:ascii="仿宋" w:hAnsi="仿宋" w:eastAsia="仿宋" w:cs="仿宋"/>
          <w:bCs/>
          <w:color w:val="auto"/>
          <w:sz w:val="24"/>
          <w:szCs w:val="24"/>
          <w:highlight w:val="none"/>
          <w:lang w:eastAsia="zh-CN"/>
        </w:rPr>
        <w:t>施工</w:t>
      </w:r>
      <w:r>
        <w:rPr>
          <w:rFonts w:hint="eastAsia" w:ascii="仿宋" w:hAnsi="仿宋" w:eastAsia="仿宋" w:cs="仿宋"/>
          <w:bCs/>
          <w:color w:val="auto"/>
          <w:sz w:val="24"/>
          <w:szCs w:val="24"/>
          <w:highlight w:val="none"/>
        </w:rPr>
        <w:t>现场工作的监督、检查；</w:t>
      </w:r>
    </w:p>
    <w:p w14:paraId="6387453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rPr>
        <w:t>负责组织相关力量对</w:t>
      </w:r>
      <w:r>
        <w:rPr>
          <w:rFonts w:hint="eastAsia" w:ascii="仿宋" w:hAnsi="仿宋" w:eastAsia="仿宋" w:cs="仿宋"/>
          <w:bCs/>
          <w:color w:val="auto"/>
          <w:sz w:val="24"/>
          <w:szCs w:val="24"/>
          <w:highlight w:val="none"/>
          <w:lang w:eastAsia="zh-CN"/>
        </w:rPr>
        <w:t>施工</w:t>
      </w:r>
      <w:r>
        <w:rPr>
          <w:rFonts w:hint="eastAsia" w:ascii="仿宋" w:hAnsi="仿宋" w:eastAsia="仿宋" w:cs="仿宋"/>
          <w:bCs/>
          <w:color w:val="auto"/>
          <w:sz w:val="24"/>
          <w:szCs w:val="24"/>
          <w:highlight w:val="none"/>
        </w:rPr>
        <w:t>工作结束后的场地进行验收</w:t>
      </w:r>
      <w:r>
        <w:rPr>
          <w:rFonts w:hint="eastAsia" w:ascii="仿宋" w:hAnsi="仿宋" w:eastAsia="仿宋" w:cs="仿宋"/>
          <w:bCs/>
          <w:color w:val="auto"/>
          <w:sz w:val="24"/>
          <w:szCs w:val="24"/>
          <w:highlight w:val="none"/>
          <w:lang w:val="en-US" w:eastAsia="zh-CN"/>
        </w:rPr>
        <w:t>;</w:t>
      </w:r>
    </w:p>
    <w:p w14:paraId="3E446F74">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约定支付工程款并索取相应的发票；</w:t>
      </w:r>
    </w:p>
    <w:p w14:paraId="5988F5E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8、</w:t>
      </w:r>
      <w:r>
        <w:rPr>
          <w:rFonts w:hint="eastAsia" w:ascii="仿宋" w:hAnsi="仿宋" w:eastAsia="仿宋" w:cs="仿宋"/>
          <w:bCs/>
          <w:color w:val="auto"/>
          <w:sz w:val="24"/>
          <w:szCs w:val="24"/>
          <w:highlight w:val="none"/>
        </w:rPr>
        <w:t>根据工程范围内的具体要求，安排乙方完成与上述工作有关的临时性任务。</w:t>
      </w:r>
    </w:p>
    <w:p w14:paraId="47E2F07D">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二、乙方的权利与义务</w:t>
      </w:r>
    </w:p>
    <w:p w14:paraId="72EFE3B6">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乙方应设置施工过程中必要的办公场所，并保证所有参与上述工作的人员必须统一着装，配挂“工作人员”胸牌;</w:t>
      </w:r>
    </w:p>
    <w:p w14:paraId="31A3BE7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每日向甲方提供进度计划，统计报表和工程事故报告，遵守有关部门对施工场地、交通、噪音等的管理规定;</w:t>
      </w:r>
    </w:p>
    <w:p w14:paraId="0EDCFEB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保证施工现场清洁，负责道路维护工作;</w:t>
      </w:r>
    </w:p>
    <w:p w14:paraId="12B28A3D">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按照国家政策、法规及甲方确认的施工组织设计或施工方案进行文明动员、文明</w:t>
      </w:r>
      <w:r>
        <w:rPr>
          <w:rFonts w:hint="eastAsia" w:ascii="仿宋" w:hAnsi="仿宋" w:eastAsia="仿宋" w:cs="仿宋"/>
          <w:b w:val="0"/>
          <w:bCs/>
          <w:color w:val="auto"/>
          <w:sz w:val="24"/>
          <w:szCs w:val="24"/>
          <w:highlight w:val="none"/>
          <w:lang w:eastAsia="zh-CN"/>
        </w:rPr>
        <w:t>施工</w:t>
      </w:r>
      <w:r>
        <w:rPr>
          <w:rFonts w:hint="eastAsia" w:ascii="仿宋" w:hAnsi="仿宋" w:eastAsia="仿宋" w:cs="仿宋"/>
          <w:b w:val="0"/>
          <w:bCs/>
          <w:color w:val="auto"/>
          <w:sz w:val="24"/>
          <w:szCs w:val="24"/>
          <w:highlight w:val="none"/>
        </w:rPr>
        <w:t>；</w:t>
      </w:r>
    </w:p>
    <w:p w14:paraId="19A9640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5</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遵守安全防护和文明施工的规定，建立健全安全防护和文明施工的制度，设专职安全员，负责维护施工现场安全，做到安全文明施工等;</w:t>
      </w:r>
    </w:p>
    <w:p w14:paraId="5CF5B065">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6</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完</w:t>
      </w:r>
      <w:r>
        <w:rPr>
          <w:rFonts w:hint="eastAsia" w:ascii="仿宋" w:hAnsi="仿宋" w:eastAsia="仿宋" w:cs="仿宋"/>
          <w:b w:val="0"/>
          <w:bCs/>
          <w:color w:val="auto"/>
          <w:sz w:val="24"/>
          <w:szCs w:val="24"/>
          <w:highlight w:val="none"/>
        </w:rPr>
        <w:t>善安全防护和文明施工条件，施工机械、设备须检验报告,严格按照安全防护和文明施工的规定组织施工，采取必要的安全防护措施，消除安全事故隐患;</w:t>
      </w:r>
    </w:p>
    <w:p w14:paraId="338E0677">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7</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51BFFB4">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按约定收取工程款并出具相应的发票;</w:t>
      </w:r>
    </w:p>
    <w:p w14:paraId="0CBBB3C1">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9</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工</w:t>
      </w:r>
      <w:r>
        <w:rPr>
          <w:rFonts w:hint="eastAsia" w:ascii="仿宋" w:hAnsi="仿宋" w:eastAsia="仿宋" w:cs="仿宋"/>
          <w:b w:val="0"/>
          <w:bCs/>
          <w:color w:val="auto"/>
          <w:sz w:val="24"/>
          <w:szCs w:val="24"/>
          <w:highlight w:val="none"/>
        </w:rPr>
        <w:t>作人员应服从甲方的领导、监督和管理，遵守工作制度和纪律，依法</w:t>
      </w:r>
      <w:r>
        <w:rPr>
          <w:rFonts w:hint="eastAsia" w:ascii="仿宋" w:hAnsi="仿宋" w:eastAsia="仿宋" w:cs="仿宋"/>
          <w:b w:val="0"/>
          <w:bCs/>
          <w:color w:val="auto"/>
          <w:sz w:val="24"/>
          <w:szCs w:val="24"/>
          <w:highlight w:val="none"/>
          <w:lang w:eastAsia="zh-CN"/>
        </w:rPr>
        <w:t>施工</w:t>
      </w:r>
      <w:r>
        <w:rPr>
          <w:rFonts w:hint="eastAsia" w:ascii="仿宋" w:hAnsi="仿宋" w:eastAsia="仿宋" w:cs="仿宋"/>
          <w:b w:val="0"/>
          <w:bCs/>
          <w:color w:val="auto"/>
          <w:sz w:val="24"/>
          <w:szCs w:val="24"/>
          <w:highlight w:val="none"/>
        </w:rPr>
        <w:t>，文明</w:t>
      </w:r>
      <w:r>
        <w:rPr>
          <w:rFonts w:hint="eastAsia" w:ascii="仿宋" w:hAnsi="仿宋" w:eastAsia="仿宋" w:cs="仿宋"/>
          <w:b w:val="0"/>
          <w:bCs/>
          <w:color w:val="auto"/>
          <w:sz w:val="24"/>
          <w:szCs w:val="24"/>
          <w:highlight w:val="none"/>
          <w:lang w:eastAsia="zh-CN"/>
        </w:rPr>
        <w:t>施工</w:t>
      </w:r>
      <w:r>
        <w:rPr>
          <w:rFonts w:hint="eastAsia" w:ascii="仿宋" w:hAnsi="仿宋" w:eastAsia="仿宋" w:cs="仿宋"/>
          <w:b w:val="0"/>
          <w:bCs/>
          <w:color w:val="auto"/>
          <w:sz w:val="24"/>
          <w:szCs w:val="24"/>
          <w:highlight w:val="none"/>
        </w:rPr>
        <w:t>;</w:t>
      </w:r>
    </w:p>
    <w:p w14:paraId="1CD7A849">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10</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施工过程中发生的各种不安全事故或人员伤亡，造成的责任、费用等由乙方完全承担;</w:t>
      </w:r>
    </w:p>
    <w:p w14:paraId="3BFFC2F8">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11</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指派专职项目经理负责联系和</w:t>
      </w:r>
      <w:r>
        <w:rPr>
          <w:rFonts w:hint="eastAsia" w:ascii="仿宋" w:hAnsi="仿宋" w:eastAsia="仿宋" w:cs="仿宋"/>
          <w:b w:val="0"/>
          <w:bCs/>
          <w:color w:val="auto"/>
          <w:sz w:val="24"/>
          <w:szCs w:val="24"/>
          <w:highlight w:val="none"/>
          <w:lang w:eastAsia="zh-CN"/>
        </w:rPr>
        <w:t>工程施工</w:t>
      </w:r>
      <w:r>
        <w:rPr>
          <w:rFonts w:hint="eastAsia" w:ascii="仿宋" w:hAnsi="仿宋" w:eastAsia="仿宋" w:cs="仿宋"/>
          <w:b w:val="0"/>
          <w:bCs/>
          <w:color w:val="auto"/>
          <w:sz w:val="24"/>
          <w:szCs w:val="24"/>
          <w:highlight w:val="none"/>
        </w:rPr>
        <w:t>工作的有关事项，参加协调会，协调合同执行过程中遇到的问题，并配备专职安全员每日巡视现场，安全员必须持证上岗;</w:t>
      </w:r>
    </w:p>
    <w:p w14:paraId="7FB52B13">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12</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乙方应严格执行市建尘治发</w:t>
      </w:r>
      <w:r>
        <w:rPr>
          <w:rFonts w:hint="eastAsia" w:ascii="仿宋" w:hAnsi="仿宋" w:eastAsia="仿宋" w:cs="仿宋"/>
          <w:b w:val="0"/>
          <w:color w:val="auto"/>
          <w:sz w:val="24"/>
          <w:szCs w:val="24"/>
          <w:highlight w:val="none"/>
          <w:shd w:val="clear" w:color="auto" w:fill="FFFFFF"/>
          <w:lang w:bidi="ar"/>
        </w:rPr>
        <w:t>〔2017〕</w:t>
      </w:r>
      <w:r>
        <w:rPr>
          <w:rFonts w:hint="eastAsia" w:ascii="仿宋" w:hAnsi="仿宋" w:eastAsia="仿宋" w:cs="仿宋"/>
          <w:b w:val="0"/>
          <w:bCs/>
          <w:color w:val="auto"/>
          <w:sz w:val="24"/>
          <w:szCs w:val="24"/>
          <w:highlight w:val="none"/>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p>
    <w:p w14:paraId="5198E54C">
      <w:pPr>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13</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及时向甲方汇报施工进度及安全情况;</w:t>
      </w:r>
    </w:p>
    <w:p w14:paraId="150B4BF3">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 w:val="0"/>
          <w:bCs/>
          <w:color w:val="auto"/>
          <w:sz w:val="24"/>
          <w:szCs w:val="24"/>
          <w:highlight w:val="none"/>
        </w:rPr>
        <w:t>14</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完</w:t>
      </w:r>
      <w:r>
        <w:rPr>
          <w:rFonts w:hint="eastAsia" w:ascii="仿宋" w:hAnsi="仿宋" w:eastAsia="仿宋" w:cs="仿宋"/>
          <w:b w:val="0"/>
          <w:bCs/>
          <w:color w:val="auto"/>
          <w:sz w:val="24"/>
          <w:szCs w:val="24"/>
          <w:highlight w:val="none"/>
        </w:rPr>
        <w:t>成甲方交办的与工程范围内有关的其它临时性工作。</w:t>
      </w:r>
    </w:p>
    <w:p w14:paraId="68E8BE59">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bCs/>
          <w:color w:val="auto"/>
          <w:kern w:val="0"/>
          <w:sz w:val="24"/>
          <w:szCs w:val="24"/>
          <w:highlight w:val="none"/>
        </w:rPr>
        <w:t>第</w:t>
      </w:r>
      <w:r>
        <w:rPr>
          <w:rFonts w:hint="eastAsia" w:ascii="仿宋" w:hAnsi="仿宋" w:eastAsia="仿宋" w:cs="仿宋"/>
          <w:b/>
          <w:bCs/>
          <w:color w:val="auto"/>
          <w:kern w:val="0"/>
          <w:sz w:val="24"/>
          <w:szCs w:val="24"/>
          <w:highlight w:val="none"/>
          <w:lang w:val="en-US" w:eastAsia="zh-CN"/>
        </w:rPr>
        <w:t>九</w:t>
      </w:r>
      <w:r>
        <w:rPr>
          <w:rFonts w:hint="eastAsia" w:ascii="仿宋" w:hAnsi="仿宋" w:eastAsia="仿宋" w:cs="仿宋"/>
          <w:b/>
          <w:bCs/>
          <w:color w:val="auto"/>
          <w:kern w:val="0"/>
          <w:sz w:val="24"/>
          <w:szCs w:val="24"/>
          <w:highlight w:val="none"/>
        </w:rPr>
        <w:t xml:space="preserve">条  </w:t>
      </w:r>
      <w:r>
        <w:rPr>
          <w:rFonts w:hint="eastAsia" w:ascii="仿宋" w:hAnsi="仿宋" w:eastAsia="仿宋" w:cs="仿宋"/>
          <w:b/>
          <w:color w:val="auto"/>
          <w:sz w:val="24"/>
          <w:szCs w:val="24"/>
          <w:highlight w:val="none"/>
        </w:rPr>
        <w:t>违约责任</w:t>
      </w:r>
    </w:p>
    <w:p w14:paraId="2FD197B5">
      <w:pPr>
        <w:keepNext w:val="0"/>
        <w:keepLines w:val="0"/>
        <w:pageBreakBefore w:val="0"/>
        <w:shd w:val="clear" w:color="auto" w:fill="auto"/>
        <w:wordWrap/>
        <w:overflowPunct/>
        <w:topLinePunct w:val="0"/>
        <w:bidi w:val="0"/>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、甲方的违约责任：</w:t>
      </w:r>
    </w:p>
    <w:p w14:paraId="1F12FAC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、未能按承包合同的约定履行自己应负的责任。除竣工日期得以顺延外，还应赔偿因此发生的实际损失</w:t>
      </w:r>
      <w:r>
        <w:rPr>
          <w:rFonts w:hint="eastAsia" w:ascii="仿宋" w:hAnsi="仿宋" w:eastAsia="仿宋" w:cs="仿宋"/>
          <w:bCs/>
          <w:color w:val="auto"/>
          <w:sz w:val="24"/>
          <w:szCs w:val="24"/>
          <w:highlight w:val="none"/>
          <w:lang w:eastAsia="zh-CN"/>
        </w:rPr>
        <w:t>。</w:t>
      </w:r>
    </w:p>
    <w:p w14:paraId="1AC3F01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2、工程中途停建、缓建或由于设计变更以及设计错误造成的返工，应采取措施弥补或减少损失。同时，赔偿乙方由此而造成的停工、窝工、返工、倒运、人员与机械设备调迁、材料与构件积压的实际损失</w:t>
      </w:r>
      <w:r>
        <w:rPr>
          <w:rFonts w:hint="eastAsia" w:ascii="仿宋" w:hAnsi="仿宋" w:eastAsia="仿宋" w:cs="仿宋"/>
          <w:bCs/>
          <w:color w:val="auto"/>
          <w:sz w:val="24"/>
          <w:szCs w:val="24"/>
          <w:highlight w:val="none"/>
          <w:lang w:eastAsia="zh-CN"/>
        </w:rPr>
        <w:t>。</w:t>
      </w:r>
    </w:p>
    <w:p w14:paraId="1B0A4CB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3、工程未经验收，甲方提前使用或擅自动用，因此而发生的质量或其它问题，由甲方承担责任</w:t>
      </w:r>
      <w:r>
        <w:rPr>
          <w:rFonts w:hint="eastAsia" w:ascii="仿宋" w:hAnsi="仿宋" w:eastAsia="仿宋" w:cs="仿宋"/>
          <w:bCs/>
          <w:color w:val="auto"/>
          <w:sz w:val="24"/>
          <w:szCs w:val="24"/>
          <w:highlight w:val="none"/>
          <w:lang w:eastAsia="zh-CN"/>
        </w:rPr>
        <w:t>。</w:t>
      </w:r>
    </w:p>
    <w:p w14:paraId="6A651E49">
      <w:pPr>
        <w:keepNext w:val="0"/>
        <w:keepLines w:val="0"/>
        <w:pageBreakBefore w:val="0"/>
        <w:shd w:val="clear" w:color="auto" w:fill="auto"/>
        <w:wordWrap/>
        <w:overflowPunct/>
        <w:topLinePunct w:val="0"/>
        <w:bidi w:val="0"/>
        <w:snapToGri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、乙方的违约责任：</w:t>
      </w:r>
    </w:p>
    <w:p w14:paraId="2F8EB70C">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2.1</w:t>
      </w:r>
      <w:r>
        <w:rPr>
          <w:rFonts w:hint="eastAsia" w:ascii="仿宋" w:hAnsi="仿宋" w:eastAsia="仿宋" w:cs="仿宋"/>
          <w:bCs/>
          <w:color w:val="auto"/>
          <w:sz w:val="24"/>
          <w:szCs w:val="24"/>
          <w:highlight w:val="none"/>
        </w:rPr>
        <w:t>、乙方未能按时完成</w:t>
      </w:r>
      <w:r>
        <w:rPr>
          <w:rFonts w:hint="eastAsia" w:ascii="仿宋" w:hAnsi="仿宋" w:eastAsia="仿宋" w:cs="仿宋"/>
          <w:bCs/>
          <w:color w:val="auto"/>
          <w:sz w:val="24"/>
          <w:szCs w:val="24"/>
          <w:highlight w:val="none"/>
          <w:lang w:eastAsia="zh-CN"/>
        </w:rPr>
        <w:t>本工程项目</w:t>
      </w:r>
      <w:r>
        <w:rPr>
          <w:rFonts w:hint="eastAsia" w:ascii="仿宋" w:hAnsi="仿宋" w:eastAsia="仿宋" w:cs="仿宋"/>
          <w:bCs/>
          <w:color w:val="auto"/>
          <w:sz w:val="24"/>
          <w:szCs w:val="24"/>
          <w:highlight w:val="none"/>
        </w:rPr>
        <w:t>任务的，每延期一日应按</w:t>
      </w:r>
      <w:r>
        <w:rPr>
          <w:rFonts w:hint="eastAsia" w:ascii="仿宋" w:hAnsi="仿宋" w:eastAsia="仿宋" w:cs="仿宋"/>
          <w:bCs/>
          <w:color w:val="auto"/>
          <w:sz w:val="24"/>
          <w:szCs w:val="24"/>
          <w:highlight w:val="none"/>
          <w:lang w:eastAsia="zh-CN"/>
        </w:rPr>
        <w:t>合同</w:t>
      </w:r>
      <w:r>
        <w:rPr>
          <w:rFonts w:hint="eastAsia" w:ascii="仿宋" w:hAnsi="仿宋" w:eastAsia="仿宋" w:cs="仿宋"/>
          <w:bCs/>
          <w:color w:val="auto"/>
          <w:sz w:val="24"/>
          <w:szCs w:val="24"/>
          <w:highlight w:val="none"/>
        </w:rPr>
        <w:t>价款</w:t>
      </w:r>
      <w:r>
        <w:rPr>
          <w:rFonts w:hint="eastAsia" w:ascii="仿宋" w:hAnsi="仿宋" w:eastAsia="仿宋" w:cs="仿宋"/>
          <w:bCs/>
          <w:color w:val="auto"/>
          <w:sz w:val="24"/>
          <w:szCs w:val="24"/>
          <w:highlight w:val="none"/>
          <w:lang w:eastAsia="zh-CN"/>
        </w:rPr>
        <w:t>（暂定）</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rPr>
        <w:t>％／天向甲方支付违约金（从工程款中直接扣除）；无故延期15日以上视为根本性违约，甲方有权解除本合同，乙方除应全额退还甲方已支付的工程款外，还应向甲方支付违约金。</w:t>
      </w:r>
    </w:p>
    <w:p w14:paraId="383A3422">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2.2、</w:t>
      </w:r>
      <w:r>
        <w:rPr>
          <w:rFonts w:hint="eastAsia" w:ascii="仿宋" w:hAnsi="仿宋" w:eastAsia="仿宋" w:cs="仿宋"/>
          <w:bCs/>
          <w:color w:val="auto"/>
          <w:sz w:val="24"/>
          <w:szCs w:val="24"/>
          <w:highlight w:val="none"/>
        </w:rPr>
        <w:t>工程出现质量问题视为乙方严重违约，视情节轻重乙方应按</w:t>
      </w:r>
      <w:r>
        <w:rPr>
          <w:rFonts w:hint="eastAsia" w:ascii="仿宋" w:hAnsi="仿宋" w:eastAsia="仿宋" w:cs="仿宋"/>
          <w:bCs/>
          <w:color w:val="auto"/>
          <w:sz w:val="24"/>
          <w:szCs w:val="24"/>
          <w:highlight w:val="none"/>
          <w:lang w:eastAsia="zh-CN"/>
        </w:rPr>
        <w:t>合同</w:t>
      </w:r>
      <w:r>
        <w:rPr>
          <w:rFonts w:hint="eastAsia" w:ascii="仿宋" w:hAnsi="仿宋" w:eastAsia="仿宋" w:cs="仿宋"/>
          <w:bCs/>
          <w:color w:val="auto"/>
          <w:sz w:val="24"/>
          <w:szCs w:val="24"/>
          <w:highlight w:val="none"/>
        </w:rPr>
        <w:t>价款</w:t>
      </w:r>
      <w:r>
        <w:rPr>
          <w:rFonts w:hint="eastAsia" w:ascii="仿宋" w:hAnsi="仿宋" w:eastAsia="仿宋" w:cs="仿宋"/>
          <w:bCs/>
          <w:color w:val="auto"/>
          <w:sz w:val="24"/>
          <w:szCs w:val="24"/>
          <w:highlight w:val="none"/>
          <w:lang w:eastAsia="zh-CN"/>
        </w:rPr>
        <w:t>（暂定）</w:t>
      </w:r>
      <w:r>
        <w:rPr>
          <w:rFonts w:hint="eastAsia" w:ascii="仿宋" w:hAnsi="仿宋" w:eastAsia="仿宋" w:cs="仿宋"/>
          <w:bCs/>
          <w:color w:val="auto"/>
          <w:sz w:val="24"/>
          <w:szCs w:val="24"/>
          <w:highlight w:val="none"/>
        </w:rPr>
        <w:t>的10%-30%向甲方支付违约金（可从工程款中直接扣除），此外应赔偿因此给甲方造成的损失。</w:t>
      </w:r>
    </w:p>
    <w:p w14:paraId="07FA35E6">
      <w:pPr>
        <w:keepNext w:val="0"/>
        <w:keepLines w:val="0"/>
        <w:pageBreakBefore w:val="0"/>
        <w:shd w:val="clear" w:color="auto" w:fill="auto"/>
        <w:wordWrap/>
        <w:overflowPunct/>
        <w:topLinePunct w:val="0"/>
        <w:bidi w:val="0"/>
        <w:snapToGrid w:val="0"/>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、协议一方擅自解除或终止本合同的，违约方应按</w:t>
      </w:r>
      <w:r>
        <w:rPr>
          <w:rFonts w:hint="eastAsia" w:ascii="仿宋" w:hAnsi="仿宋" w:eastAsia="仿宋" w:cs="仿宋"/>
          <w:b/>
          <w:color w:val="auto"/>
          <w:sz w:val="24"/>
          <w:szCs w:val="24"/>
          <w:highlight w:val="none"/>
          <w:lang w:eastAsia="zh-CN"/>
        </w:rPr>
        <w:t>合同暂定</w:t>
      </w:r>
      <w:r>
        <w:rPr>
          <w:rFonts w:hint="eastAsia" w:ascii="仿宋" w:hAnsi="仿宋" w:eastAsia="仿宋" w:cs="仿宋"/>
          <w:b/>
          <w:color w:val="auto"/>
          <w:sz w:val="24"/>
          <w:szCs w:val="24"/>
          <w:highlight w:val="none"/>
        </w:rPr>
        <w:t>价款的20%向守约方支付违约金。</w:t>
      </w:r>
    </w:p>
    <w:p w14:paraId="25DD663E">
      <w:pPr>
        <w:keepNext w:val="0"/>
        <w:keepLines w:val="0"/>
        <w:pageBreakBefore w:val="0"/>
        <w:widowControl/>
        <w:shd w:val="clear" w:color="auto" w:fill="auto"/>
        <w:wordWrap/>
        <w:overflowPunct/>
        <w:topLinePunct w:val="0"/>
        <w:bidi w:val="0"/>
        <w:snapToGrid w:val="0"/>
        <w:spacing w:line="360" w:lineRule="auto"/>
        <w:ind w:right="-197" w:rightChars="-94"/>
        <w:jc w:val="left"/>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第十条  争议解决</w:t>
      </w:r>
    </w:p>
    <w:p w14:paraId="3172B473">
      <w:pPr>
        <w:keepNext w:val="0"/>
        <w:keepLines w:val="0"/>
        <w:pageBreakBefore w:val="0"/>
        <w:widowControl/>
        <w:shd w:val="clear" w:color="auto" w:fill="auto"/>
        <w:wordWrap/>
        <w:overflowPunct/>
        <w:topLinePunct w:val="0"/>
        <w:bidi w:val="0"/>
        <w:snapToGrid w:val="0"/>
        <w:spacing w:line="360" w:lineRule="auto"/>
        <w:ind w:right="-197" w:rightChars="-94" w:firstLine="360" w:firstLineChars="15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双方本着友好合作的态度,对合同履行过程中发生的</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纠纷</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应及时协商解决,协商不成，向</w:t>
      </w:r>
      <w:r>
        <w:rPr>
          <w:rFonts w:hint="eastAsia" w:ascii="仿宋" w:hAnsi="仿宋" w:eastAsia="仿宋" w:cs="仿宋"/>
          <w:color w:val="auto"/>
          <w:kern w:val="0"/>
          <w:sz w:val="24"/>
          <w:szCs w:val="24"/>
          <w:highlight w:val="none"/>
          <w:lang w:val="en-US" w:eastAsia="zh-CN"/>
        </w:rPr>
        <w:t>项目</w:t>
      </w:r>
      <w:r>
        <w:rPr>
          <w:rFonts w:hint="eastAsia" w:ascii="仿宋" w:hAnsi="仿宋" w:eastAsia="仿宋" w:cs="仿宋"/>
          <w:color w:val="auto"/>
          <w:kern w:val="0"/>
          <w:sz w:val="24"/>
          <w:szCs w:val="24"/>
          <w:highlight w:val="none"/>
        </w:rPr>
        <w:t>所在地人民法院诉讼解决。</w:t>
      </w:r>
    </w:p>
    <w:p w14:paraId="39FB93B2">
      <w:pPr>
        <w:pStyle w:val="9"/>
        <w:keepNext w:val="0"/>
        <w:keepLines w:val="0"/>
        <w:pageBreakBefore w:val="0"/>
        <w:widowControl/>
        <w:shd w:val="clear" w:color="auto" w:fill="auto"/>
        <w:wordWrap/>
        <w:overflowPunct/>
        <w:topLinePunct w:val="0"/>
        <w:bidi w:val="0"/>
        <w:snapToGrid w:val="0"/>
        <w:spacing w:line="360" w:lineRule="auto"/>
        <w:ind w:firstLine="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w:t>
      </w:r>
      <w:r>
        <w:rPr>
          <w:rFonts w:hint="eastAsia" w:ascii="仿宋" w:hAnsi="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条  合同变更与终止</w:t>
      </w:r>
    </w:p>
    <w:p w14:paraId="2D5E6E69">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1、合同期间任何一方不得随意变更、终止合同。</w:t>
      </w:r>
    </w:p>
    <w:p w14:paraId="57CCF12E">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2、本合同规定的履行期限届满，合同自动终止。</w:t>
      </w:r>
    </w:p>
    <w:p w14:paraId="33C34548">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3、因双方机构撤并、职能调整等原因，确需终止合同的，双方可协商终止合同。</w:t>
      </w:r>
    </w:p>
    <w:p w14:paraId="26D2DD13">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4、乙方应自觉遵守甲方工作纪律、规章制度，服从甲方管理。因乙方原因给甲方造成严重后果，甲方可以单方面解除合同。</w:t>
      </w:r>
    </w:p>
    <w:p w14:paraId="731CBFD6">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合同继续履行将损害国家利益和社会公共利益的，双方应当变更或者终止合同，但变更的内容不得对磋商文件确定的事项和响应文件作实质性修改，有过错的一方应当承担赔偿责任，双方都有过错的，各自承担相应的责任。</w:t>
      </w:r>
    </w:p>
    <w:p w14:paraId="19E964B3">
      <w:pPr>
        <w:keepNext w:val="0"/>
        <w:keepLines w:val="0"/>
        <w:pageBreakBefore w:val="0"/>
        <w:widowControl/>
        <w:shd w:val="clear" w:color="auto" w:fill="auto"/>
        <w:wordWrap/>
        <w:overflowPunct/>
        <w:topLinePunct w:val="0"/>
        <w:bidi w:val="0"/>
        <w:snapToGrid w:val="0"/>
        <w:spacing w:line="360" w:lineRule="auto"/>
        <w:ind w:right="-197" w:rightChars="-94"/>
        <w:jc w:val="left"/>
        <w:rPr>
          <w:rFonts w:hint="eastAsia" w:ascii="仿宋" w:hAnsi="仿宋" w:eastAsia="仿宋" w:cs="仿宋"/>
          <w:b/>
          <w:bCs/>
          <w:color w:val="auto"/>
          <w:kern w:val="0"/>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b/>
          <w:bCs/>
          <w:color w:val="auto"/>
          <w:kern w:val="0"/>
          <w:sz w:val="24"/>
          <w:szCs w:val="24"/>
          <w:highlight w:val="none"/>
        </w:rPr>
        <w:t>不可抗力</w:t>
      </w:r>
      <w:r>
        <w:rPr>
          <w:rFonts w:hint="eastAsia" w:ascii="仿宋" w:hAnsi="仿宋" w:eastAsia="仿宋" w:cs="仿宋"/>
          <w:b/>
          <w:bCs/>
          <w:color w:val="auto"/>
          <w:kern w:val="0"/>
          <w:sz w:val="24"/>
          <w:szCs w:val="24"/>
          <w:highlight w:val="none"/>
        </w:rPr>
        <w:fldChar w:fldCharType="end"/>
      </w:r>
    </w:p>
    <w:p w14:paraId="1D5EF7A8">
      <w:pPr>
        <w:keepNext w:val="0"/>
        <w:keepLines w:val="0"/>
        <w:pageBreakBefore w:val="0"/>
        <w:widowControl/>
        <w:shd w:val="clear" w:color="auto" w:fill="auto"/>
        <w:wordWrap/>
        <w:overflowPunct/>
        <w:topLinePunct w:val="0"/>
        <w:bidi w:val="0"/>
        <w:snapToGrid w:val="0"/>
        <w:spacing w:line="360" w:lineRule="auto"/>
        <w:ind w:right="-197" w:rightChars="-94"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color w:val="auto"/>
          <w:kern w:val="0"/>
          <w:sz w:val="24"/>
          <w:szCs w:val="24"/>
          <w:highlight w:val="none"/>
        </w:rPr>
        <w:t>甲乙双方任何一方由于</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不可抗力</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原因不能履行合同时，应及时向对</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方通</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违约责任</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w:t>
      </w:r>
    </w:p>
    <w:p w14:paraId="7F0A361A">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条　监督和管理</w:t>
      </w:r>
    </w:p>
    <w:p w14:paraId="18D653C5">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88A05D8">
      <w:pPr>
        <w:keepNext w:val="0"/>
        <w:keepLines w:val="0"/>
        <w:pageBreakBefore w:val="0"/>
        <w:shd w:val="clear" w:color="auto" w:fill="auto"/>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2、甲乙双方均应自觉配合有关监督管理部门对合同履行情况的监督检查，如实反映情况，提供有关资料；否则，将对有关单位、当事人按照有关规定予以处罚。</w:t>
      </w:r>
    </w:p>
    <w:p w14:paraId="215D6010">
      <w:pPr>
        <w:keepNext w:val="0"/>
        <w:keepLines w:val="0"/>
        <w:pageBreakBefore w:val="0"/>
        <w:widowControl/>
        <w:shd w:val="clear" w:color="auto" w:fill="auto"/>
        <w:wordWrap/>
        <w:overflowPunct/>
        <w:topLinePunct w:val="0"/>
        <w:bidi w:val="0"/>
        <w:snapToGrid w:val="0"/>
        <w:spacing w:line="360" w:lineRule="auto"/>
        <w:ind w:right="-197" w:rightChars="-94"/>
        <w:jc w:val="left"/>
        <w:rPr>
          <w:rFonts w:hint="eastAsia" w:ascii="仿宋" w:hAnsi="仿宋" w:eastAsia="仿宋" w:cs="仿宋"/>
          <w:b/>
          <w:bCs/>
          <w:color w:val="auto"/>
          <w:kern w:val="0"/>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 xml:space="preserve">条  </w:t>
      </w:r>
      <w:r>
        <w:rPr>
          <w:rFonts w:hint="eastAsia" w:ascii="仿宋" w:hAnsi="仿宋" w:eastAsia="仿宋" w:cs="仿宋"/>
          <w:b/>
          <w:bCs/>
          <w:color w:val="auto"/>
          <w:kern w:val="0"/>
          <w:sz w:val="24"/>
          <w:szCs w:val="24"/>
          <w:highlight w:val="none"/>
        </w:rPr>
        <w:fldChar w:fldCharType="begin"/>
      </w:r>
      <w:r>
        <w:rPr>
          <w:rFonts w:hint="eastAsia" w:ascii="仿宋" w:hAnsi="仿宋" w:eastAsia="仿宋" w:cs="仿宋"/>
          <w:b/>
          <w:bCs/>
          <w:color w:val="auto"/>
          <w:kern w:val="0"/>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kern w:val="0"/>
          <w:sz w:val="24"/>
          <w:szCs w:val="24"/>
          <w:highlight w:val="none"/>
        </w:rPr>
        <w:fldChar w:fldCharType="separate"/>
      </w:r>
      <w:r>
        <w:rPr>
          <w:rFonts w:hint="eastAsia" w:ascii="仿宋" w:hAnsi="仿宋" w:eastAsia="仿宋" w:cs="仿宋"/>
          <w:b/>
          <w:bCs/>
          <w:color w:val="auto"/>
          <w:kern w:val="0"/>
          <w:sz w:val="24"/>
          <w:szCs w:val="24"/>
          <w:highlight w:val="none"/>
        </w:rPr>
        <w:t>无效合同</w:t>
      </w:r>
      <w:r>
        <w:rPr>
          <w:rFonts w:hint="eastAsia" w:ascii="仿宋" w:hAnsi="仿宋" w:eastAsia="仿宋" w:cs="仿宋"/>
          <w:b/>
          <w:bCs/>
          <w:color w:val="auto"/>
          <w:kern w:val="0"/>
          <w:sz w:val="24"/>
          <w:szCs w:val="24"/>
          <w:highlight w:val="none"/>
        </w:rPr>
        <w:fldChar w:fldCharType="end"/>
      </w:r>
    </w:p>
    <w:p w14:paraId="15BC8DF4">
      <w:pPr>
        <w:keepNext w:val="0"/>
        <w:keepLines w:val="0"/>
        <w:pageBreakBefore w:val="0"/>
        <w:widowControl/>
        <w:shd w:val="clear" w:color="auto" w:fill="auto"/>
        <w:wordWrap/>
        <w:overflowPunct/>
        <w:topLinePunct w:val="0"/>
        <w:bidi w:val="0"/>
        <w:snapToGrid w:val="0"/>
        <w:spacing w:line="360" w:lineRule="auto"/>
        <w:ind w:right="-197" w:rightChars="-94" w:firstLine="360" w:firstLineChars="15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甲乙双方如因违反政府采购法及相关法律法规的规定，被宣告</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kern w:val="0"/>
          <w:sz w:val="24"/>
          <w:szCs w:val="24"/>
          <w:highlight w:val="none"/>
        </w:rPr>
        <w:t>合同无效</w: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kern w:val="0"/>
          <w:sz w:val="24"/>
          <w:szCs w:val="24"/>
          <w:highlight w:val="none"/>
        </w:rPr>
        <w:t>的，一切责任概由过错方自行承担。</w:t>
      </w:r>
    </w:p>
    <w:p w14:paraId="2005CEA2">
      <w:pPr>
        <w:keepNext w:val="0"/>
        <w:keepLines w:val="0"/>
        <w:pageBreakBefore w:val="0"/>
        <w:widowControl/>
        <w:shd w:val="clear" w:color="auto" w:fill="auto"/>
        <w:wordWrap/>
        <w:overflowPunct/>
        <w:topLinePunct w:val="0"/>
        <w:bidi w:val="0"/>
        <w:snapToGrid w:val="0"/>
        <w:spacing w:line="360" w:lineRule="auto"/>
        <w:ind w:right="-197" w:rightChars="-94"/>
        <w:jc w:val="left"/>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第十</w:t>
      </w:r>
      <w:r>
        <w:rPr>
          <w:rFonts w:hint="eastAsia" w:ascii="仿宋" w:hAnsi="仿宋" w:eastAsia="仿宋" w:cs="仿宋"/>
          <w:b/>
          <w:bCs/>
          <w:color w:val="auto"/>
          <w:kern w:val="0"/>
          <w:sz w:val="24"/>
          <w:szCs w:val="24"/>
          <w:highlight w:val="none"/>
          <w:lang w:val="en-US" w:eastAsia="zh-CN"/>
        </w:rPr>
        <w:t>五</w:t>
      </w:r>
      <w:r>
        <w:rPr>
          <w:rFonts w:hint="eastAsia" w:ascii="仿宋" w:hAnsi="仿宋" w:eastAsia="仿宋" w:cs="仿宋"/>
          <w:b/>
          <w:bCs/>
          <w:color w:val="auto"/>
          <w:kern w:val="0"/>
          <w:sz w:val="24"/>
          <w:szCs w:val="24"/>
          <w:highlight w:val="none"/>
        </w:rPr>
        <w:t>条  信用融资（如有）</w:t>
      </w:r>
    </w:p>
    <w:p w14:paraId="2E4CAB4C">
      <w:pPr>
        <w:keepNext w:val="0"/>
        <w:keepLines w:val="0"/>
        <w:pageBreakBefore w:val="0"/>
        <w:widowControl/>
        <w:shd w:val="clear" w:color="auto" w:fill="auto"/>
        <w:wordWrap/>
        <w:overflowPunct/>
        <w:topLinePunct w:val="0"/>
        <w:bidi w:val="0"/>
        <w:snapToGrid w:val="0"/>
        <w:spacing w:line="360" w:lineRule="auto"/>
        <w:ind w:right="-197" w:rightChars="-94"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银行名称：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，收款账号：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501C8745">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条  附  则</w:t>
      </w:r>
    </w:p>
    <w:p w14:paraId="3512E4EE">
      <w:pPr>
        <w:keepNext w:val="0"/>
        <w:keepLines w:val="0"/>
        <w:pageBreakBefore w:val="0"/>
        <w:shd w:val="clear" w:color="auto" w:fill="auto"/>
        <w:wordWrap/>
        <w:overflowPunct/>
        <w:topLinePunct w:val="0"/>
        <w:bidi w:val="0"/>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一、甲方代表为</w:t>
      </w:r>
      <w:r>
        <w:rPr>
          <w:rFonts w:hint="eastAsia" w:ascii="仿宋" w:hAnsi="仿宋" w:eastAsia="仿宋" w:cs="仿宋"/>
          <w:bCs/>
          <w:color w:val="auto"/>
          <w:sz w:val="24"/>
          <w:szCs w:val="24"/>
          <w:highlight w:val="none"/>
          <w:u w:val="single"/>
        </w:rPr>
        <w:t>___________</w:t>
      </w:r>
      <w:r>
        <w:rPr>
          <w:rFonts w:hint="eastAsia" w:ascii="仿宋" w:hAnsi="仿宋" w:eastAsia="仿宋" w:cs="仿宋"/>
          <w:bCs/>
          <w:color w:val="auto"/>
          <w:sz w:val="24"/>
          <w:szCs w:val="24"/>
          <w:highlight w:val="none"/>
        </w:rPr>
        <w:t>，乙方代表为</w:t>
      </w:r>
      <w:r>
        <w:rPr>
          <w:rFonts w:hint="eastAsia" w:ascii="仿宋" w:hAnsi="仿宋" w:eastAsia="仿宋" w:cs="仿宋"/>
          <w:bCs/>
          <w:color w:val="auto"/>
          <w:sz w:val="24"/>
          <w:szCs w:val="24"/>
          <w:highlight w:val="none"/>
          <w:u w:val="single"/>
        </w:rPr>
        <w:t>___________</w:t>
      </w:r>
      <w:r>
        <w:rPr>
          <w:rFonts w:hint="eastAsia" w:ascii="仿宋" w:hAnsi="仿宋" w:eastAsia="仿宋" w:cs="仿宋"/>
          <w:bCs/>
          <w:color w:val="auto"/>
          <w:sz w:val="24"/>
          <w:szCs w:val="24"/>
          <w:highlight w:val="none"/>
        </w:rPr>
        <w:t>。</w:t>
      </w:r>
    </w:p>
    <w:p w14:paraId="1AD59711">
      <w:pPr>
        <w:keepNext w:val="0"/>
        <w:keepLines w:val="0"/>
        <w:pageBreakBefore w:val="0"/>
        <w:kinsoku/>
        <w:overflowPunct/>
        <w:topLinePunct w:val="0"/>
        <w:autoSpaceDE/>
        <w:autoSpaceDN/>
        <w:bidi w:val="0"/>
        <w:snapToGrid w:val="0"/>
        <w:spacing w:line="360" w:lineRule="auto"/>
        <w:ind w:firstLine="0" w:firstLineChars="0"/>
        <w:rPr>
          <w:rFonts w:hint="eastAsia" w:ascii="仿宋" w:hAnsi="仿宋" w:eastAsia="仿宋" w:cs="仿宋"/>
          <w:bCs/>
          <w:color w:val="auto"/>
          <w:sz w:val="24"/>
          <w:szCs w:val="24"/>
        </w:rPr>
      </w:pPr>
      <w:r>
        <w:rPr>
          <w:rFonts w:hint="eastAsia" w:ascii="仿宋" w:hAnsi="仿宋" w:eastAsia="仿宋" w:cs="仿宋"/>
          <w:bCs/>
          <w:color w:val="auto"/>
          <w:sz w:val="24"/>
          <w:szCs w:val="24"/>
          <w:highlight w:val="none"/>
        </w:rPr>
        <w:t>二、</w:t>
      </w:r>
      <w:r>
        <w:rPr>
          <w:rFonts w:hint="eastAsia" w:ascii="仿宋" w:hAnsi="仿宋" w:eastAsia="仿宋" w:cs="仿宋"/>
          <w:color w:val="auto"/>
          <w:kern w:val="0"/>
          <w:sz w:val="24"/>
          <w:szCs w:val="24"/>
          <w:highlight w:val="none"/>
        </w:rPr>
        <w:t>本合同一式陆份,甲乙双方各执两份,采购代理机构两份;</w:t>
      </w:r>
      <w:r>
        <w:rPr>
          <w:rFonts w:hint="eastAsia" w:ascii="仿宋" w:hAnsi="仿宋" w:eastAsia="仿宋" w:cs="仿宋"/>
          <w:bCs/>
          <w:color w:val="auto"/>
          <w:sz w:val="24"/>
          <w:szCs w:val="24"/>
          <w:highlight w:val="none"/>
        </w:rPr>
        <w:t>自双方代表签字，加盖双方公章或合同专用章后生效。</w:t>
      </w:r>
    </w:p>
    <w:p w14:paraId="74E58F9E">
      <w:pPr>
        <w:keepNext w:val="0"/>
        <w:keepLines w:val="0"/>
        <w:pageBreakBefore w:val="0"/>
        <w:widowControl w:val="0"/>
        <w:kinsoku/>
        <w:overflowPunct/>
        <w:topLinePunct w:val="0"/>
        <w:autoSpaceDE/>
        <w:autoSpaceDN/>
        <w:bidi w:val="0"/>
        <w:adjustRightInd/>
        <w:snapToGrid w:val="0"/>
        <w:spacing w:line="360" w:lineRule="auto"/>
        <w:textAlignment w:val="auto"/>
        <w:rPr>
          <w:rFonts w:hint="eastAsia" w:ascii="仿宋" w:hAnsi="仿宋" w:eastAsia="仿宋" w:cs="仿宋"/>
          <w:color w:val="auto"/>
          <w:sz w:val="24"/>
          <w:szCs w:val="24"/>
          <w:lang w:eastAsia="zh-CN"/>
        </w:rPr>
      </w:pPr>
    </w:p>
    <w:p w14:paraId="03519BA2">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采购人</w:t>
      </w:r>
      <w:r>
        <w:rPr>
          <w:rFonts w:hint="eastAsia" w:ascii="仿宋" w:hAnsi="仿宋" w:eastAsia="仿宋" w:cs="仿宋"/>
          <w:color w:val="auto"/>
          <w:sz w:val="24"/>
          <w:szCs w:val="24"/>
        </w:rPr>
        <w:t>(甲方)：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（公章）</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（公章）</w:t>
      </w:r>
    </w:p>
    <w:p w14:paraId="349AFB0E">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法定代表人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法定代表人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 xml:space="preserve">                  </w:t>
      </w:r>
    </w:p>
    <w:p w14:paraId="616A0C80">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委托代理人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eastAsia="zh-CN"/>
        </w:rPr>
        <w:t>（签字或盖章）或</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委托代理人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（签字或盖章）</w:t>
      </w:r>
    </w:p>
    <w:p w14:paraId="03E3BC48">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开户银行</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开户银行</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55ABAA62">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账</w:t>
      </w:r>
      <w:r>
        <w:rPr>
          <w:rFonts w:hint="eastAsia" w:ascii="仿宋" w:hAnsi="仿宋" w:eastAsia="仿宋" w:cs="仿宋"/>
          <w:color w:val="auto"/>
          <w:sz w:val="24"/>
          <w:szCs w:val="24"/>
        </w:rPr>
        <w:t xml:space="preserve">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账</w:t>
      </w:r>
      <w:r>
        <w:rPr>
          <w:rFonts w:hint="eastAsia" w:ascii="仿宋" w:hAnsi="仿宋" w:eastAsia="仿宋" w:cs="仿宋"/>
          <w:color w:val="auto"/>
          <w:sz w:val="24"/>
          <w:szCs w:val="24"/>
        </w:rPr>
        <w:t xml:space="preserve">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3FD906E7">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2CDA7B2B">
      <w:pPr>
        <w:keepNext w:val="0"/>
        <w:keepLines w:val="0"/>
        <w:pageBreakBefore w:val="0"/>
        <w:widowControl w:val="0"/>
        <w:kinsoku/>
        <w:overflowPunct/>
        <w:topLinePunct w:val="0"/>
        <w:autoSpaceDE/>
        <w:autoSpaceDN/>
        <w:bidi w:val="0"/>
        <w:adjustRightInd/>
        <w:snapToGrid w:val="0"/>
        <w:spacing w:line="360" w:lineRule="auto"/>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 xml:space="preserve">    </w:t>
      </w: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63D0514B">
      <w:pPr>
        <w:keepNext w:val="0"/>
        <w:keepLines w:val="0"/>
        <w:pageBreakBefore w:val="0"/>
        <w:kinsoku/>
        <w:overflowPunct/>
        <w:topLinePunct w:val="0"/>
        <w:autoSpaceDE/>
        <w:autoSpaceDN/>
        <w:bidi w:val="0"/>
        <w:snapToGrid/>
        <w:spacing w:line="240" w:lineRule="auto"/>
        <w:ind w:firstLine="254" w:firstLineChars="100"/>
        <w:outlineLvl w:val="9"/>
        <w:rPr>
          <w:rFonts w:hint="eastAsia"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rPr>
        <w:t xml:space="preserve">时    间：  年月日    </w:t>
      </w:r>
      <w:r>
        <w:rPr>
          <w:rFonts w:hint="eastAsia" w:ascii="仿宋" w:hAnsi="仿宋" w:eastAsia="仿宋" w:cs="仿宋"/>
          <w:color w:val="auto"/>
          <w:spacing w:val="7"/>
          <w:sz w:val="24"/>
          <w:szCs w:val="24"/>
          <w:lang w:eastAsia="zh-CN"/>
        </w:rPr>
        <w:t xml:space="preserve">    </w:t>
      </w:r>
      <w:r>
        <w:rPr>
          <w:rFonts w:hint="eastAsia" w:ascii="仿宋" w:hAnsi="仿宋" w:eastAsia="仿宋" w:cs="仿宋"/>
          <w:color w:val="auto"/>
          <w:spacing w:val="7"/>
          <w:sz w:val="24"/>
          <w:szCs w:val="24"/>
        </w:rPr>
        <w:t>时    间： 年月</w:t>
      </w:r>
      <w:r>
        <w:rPr>
          <w:rFonts w:hint="eastAsia" w:ascii="仿宋" w:hAnsi="仿宋" w:eastAsia="仿宋" w:cs="仿宋"/>
          <w:color w:val="auto"/>
          <w:spacing w:val="7"/>
          <w:sz w:val="24"/>
          <w:szCs w:val="24"/>
          <w:lang w:val="en-US" w:eastAsia="zh-CN"/>
        </w:rPr>
        <w:t>日</w:t>
      </w:r>
    </w:p>
    <w:p w14:paraId="5BF9ACF9">
      <w:pPr>
        <w:rPr>
          <w:rFonts w:hint="eastAsia"/>
          <w:color w:val="auto"/>
          <w:lang w:val="en-US" w:eastAsia="zh-CN"/>
        </w:rPr>
      </w:pPr>
    </w:p>
    <w:p w14:paraId="31155F6F"/>
    <w:sectPr>
      <w:pgSz w:w="11900" w:h="16840"/>
      <w:pgMar w:top="1134" w:right="1134" w:bottom="1134" w:left="1134" w:header="0" w:footer="0"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518A6A"/>
    <w:multiLevelType w:val="singleLevel"/>
    <w:tmpl w:val="1F518A6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2F4828"/>
    <w:rsid w:val="0F2F4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2025-10-16T06:59:00Z</dcterms:created>
  <dc:creator>唰唰</dc:creator>
  <cp:lastModifiedBy>唰唰</cp:lastModifiedBy>
  <dcterms:modified xsi:type="dcterms:W3CDTF">2025-10-16T06:59:36Z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D2E76950F801430AA411F5B7479EDB99_11</vt:lpwstr>
  </property>
  <property fmtid="{D5CDD505-2E9C-101B-9397-08002B2CF9AE}" pid="4" name="KSOTemplateDocerSaveRecord">
    <vt:lpwstr>eyJoZGlkIjoiMzk0ZmQyOWM0YzhmZTA0MzUxM2QxZGZiODk3MTllMDgiLCJ1c2VySWQiOiIzMTY1NDkwMjcifQ==</vt:lpwstr>
  </property>
</Properties>
</file>