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版本号：SXHC2025-27120251021001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派出所装修及信息化建设监理采购项目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SXHC2025-271</w:t>
      </w:r>
      <w:r>
        <w:br/>
      </w:r>
      <w:r>
        <w:br/>
      </w:r>
      <w:r>
        <w:br/>
      </w:r>
    </w:p>
    <w:p>
      <w:pPr>
        <w:pStyle w:val="null3"/>
        <w:jc w:val="center"/>
        <w:outlineLvl w:val="2"/>
      </w:pPr>
      <w:r>
        <w:rPr>
          <w:rFonts w:ascii="仿宋_GB2312" w:hAnsi="仿宋_GB2312" w:cs="仿宋_GB2312" w:eastAsia="仿宋_GB2312"/>
          <w:sz w:val="28"/>
          <w:b/>
        </w:rPr>
        <w:t>西安市公安局高新技术产业开发区分局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西安市公安局高新技术产业开发区分局</w:t>
      </w:r>
      <w:r>
        <w:rPr>
          <w:rFonts w:ascii="仿宋_GB2312" w:hAnsi="仿宋_GB2312" w:cs="仿宋_GB2312" w:eastAsia="仿宋_GB2312"/>
        </w:rPr>
        <w:t>委托，拟对</w:t>
      </w:r>
      <w:r>
        <w:rPr>
          <w:rFonts w:ascii="仿宋_GB2312" w:hAnsi="仿宋_GB2312" w:cs="仿宋_GB2312" w:eastAsia="仿宋_GB2312"/>
        </w:rPr>
        <w:t>派出所装修及信息化建设监理采购项目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SXHC2025-271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派出所装修及信息化建设监理采购项目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安局高新技术产业开发区分局软件新城派出所，建设地点位于陕西省西安市高新区鱼化寨天谷雅舍9号楼；结构是砖墙框架结构共5层，层高首层4.5米，二层4.2米，三～五层4米；建筑面积4197.63平方米。工作内容包含：室内、室外及外立面拆除工程、室内装饰工程、家具、室外装饰工程、消防及火灾报警改造工程、通风空调工程、信息化工程、室外工程、公安标准化外立面。 西安市公安局高新技术产业开发区分局西太南路派出所，建设地点位于西安电子谷A区1号楼；结构是玻璃幕墙框架结构，共4层，一、二层层高6米。三、四层层高4.5米，建筑面积3578.8平方米，搭建完成后装饰施工面积：3988.8平方米，工作内容包含：室内、室外及外立面拆除工程、加固工程、室内装饰工程、家具、消防及火灾报警改造工程、通风空调工程、暖通工程、信息化工程、室外装饰工程、公安标准化外立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采购包1（派出所装修及信息化建设监理采购项目）：属于专门面向中小企业采购。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3、企业资质：供应商须具备工程监理综合资质或房屋建筑工程监理乙级及以上资质。</w:t>
      </w:r>
    </w:p>
    <w:p>
      <w:pPr>
        <w:pStyle w:val="null3"/>
      </w:pPr>
      <w:r>
        <w:rPr>
          <w:rFonts w:ascii="仿宋_GB2312" w:hAnsi="仿宋_GB2312" w:cs="仿宋_GB2312" w:eastAsia="仿宋_GB2312"/>
        </w:rPr>
        <w:t>4、项目负责人资质：拟派项目总监理工程师具备房屋建筑工程专业注册监理工程师执业资格，须在本单位注册，且未同时担任其他项目总监理工程师（提供承诺书）。</w:t>
      </w:r>
    </w:p>
    <w:p>
      <w:pPr>
        <w:pStyle w:val="null3"/>
      </w:pPr>
      <w:r>
        <w:rPr>
          <w:rFonts w:ascii="仿宋_GB2312" w:hAnsi="仿宋_GB2312" w:cs="仿宋_GB2312" w:eastAsia="仿宋_GB2312"/>
        </w:rPr>
        <w:t>5、信誉要求：供应商未列入“失信被执行人”、“重大税收违法案件当事人名单”和“政府采购严重违法失信行为记录名单”。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西安市公安局高新技术产业开发区分局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西安市高新区丈八六路金盾大厦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029-86753939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王丹妮、赵凡、张聪聪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采购包1：677,045.55元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 标代理服务收费管理暂行办法&gt;的通知》（计价格〔2002〕1980号）及《国家发 改委关于降低 部分建设项目收费标准规范收费行为等有关问题的通知》（发改价格〔2011〕534号） 规定按标准收取，若按照标准收取不足6000元，按6000元计取。2、招标代理服务费可以采取现金、支票、银行汇票、电汇、网银等方式缴纳。 3、招标代理服务费缴纳信息： 银行户名：陕西华采招标有限公司 开户银行：招商银行陕西自贸试验区西安高新科技支行 账号：1299 0594 2210 666 联系人：韩工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西安市公安局高新技术产业开发区分局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西安市公安局高新技术产业开发区分局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西安市公安局高新技术产业开发区分局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联系电话：029-68255920-808</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安局高新技术产业开发区分局软件新城派出所，建设地点位于陕西省西安市高新区鱼化寨天谷雅舍9号楼；结构是砖墙框架结构共5层，层高首层4.5米，二层4.2米，三～五层4米；建筑面积4197.63平方米。工作内容包含：室内、室外及外立面拆除工程、室内装饰工程、家具、室外装饰工程、消防及火灾报警改造工程、通风空调工程、信息化工程、室外工程、公安标准化外立面。 西安市公安局高新技术产业开发区分局西太南路派出所，建设地点位于西安电子谷A区1号楼；结构是玻璃幕墙框架结构，共4层，一、二层层高6米。三、四层层高4.5米，建筑面积3578.8平方米，搭建完成后装饰施工面积：3988.8平方米，工作内容包含：室内、室外及外立面拆除工程、加固工程、室内装饰工程、家具、消防及火灾报警改造工程、通风空调工程、暖通工程、信息化工程、室外装饰工程、公安标准化外立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677,045.55</w:t>
      </w:r>
    </w:p>
    <w:p>
      <w:pPr>
        <w:pStyle w:val="null3"/>
      </w:pPr>
      <w:r>
        <w:rPr>
          <w:rFonts w:ascii="仿宋_GB2312" w:hAnsi="仿宋_GB2312" w:cs="仿宋_GB2312" w:eastAsia="仿宋_GB2312"/>
        </w:rPr>
        <w:t>采购包最高限价（元）: 677,045.55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派出所装修及信息化建设监理采购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677,045.55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标的名称：派出所装修及信息化建设监理采购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630" w:firstLine="482"/>
            </w:pPr>
            <w:r>
              <w:rPr>
                <w:rFonts w:ascii="仿宋_GB2312" w:hAnsi="仿宋_GB2312" w:cs="仿宋_GB2312" w:eastAsia="仿宋_GB2312"/>
                <w:b/>
              </w:rPr>
              <w:t>一、采购内容</w:t>
            </w:r>
          </w:p>
          <w:p>
            <w:pPr>
              <w:pStyle w:val="null3"/>
              <w:ind w:right="630" w:firstLine="480"/>
            </w:pPr>
            <w:r>
              <w:rPr>
                <w:rFonts w:ascii="仿宋_GB2312" w:hAnsi="仿宋_GB2312" w:cs="仿宋_GB2312" w:eastAsia="仿宋_GB2312"/>
              </w:rPr>
              <w:t>（一）项目概况</w:t>
            </w:r>
          </w:p>
          <w:p>
            <w:pPr>
              <w:pStyle w:val="null3"/>
              <w:ind w:right="630" w:firstLine="480"/>
            </w:pPr>
            <w:r>
              <w:rPr>
                <w:rFonts w:ascii="仿宋_GB2312" w:hAnsi="仿宋_GB2312" w:cs="仿宋_GB2312" w:eastAsia="仿宋_GB2312"/>
              </w:rPr>
              <w:t>西安市公安局高新分局软件新城派出所，建设地点位于陕西省西安市高新区鱼化寨天谷雅舍9号楼；结构是砖墙框架结构共5层，层高首层4.5米，二层4.2米，三～五层4米；建筑面积4197.63平方米。工作内容包含：室内、室外及外立面拆除工程、室内装饰工程、家具、室外装饰工程、消防及火灾报警改造工程、通风空调工程、信息化工程、室外工程、公安标准化外立面。</w:t>
            </w:r>
          </w:p>
          <w:p>
            <w:pPr>
              <w:pStyle w:val="null3"/>
              <w:ind w:right="630" w:firstLine="480"/>
            </w:pPr>
            <w:r>
              <w:rPr>
                <w:rFonts w:ascii="仿宋_GB2312" w:hAnsi="仿宋_GB2312" w:cs="仿宋_GB2312" w:eastAsia="仿宋_GB2312"/>
              </w:rPr>
              <w:t>西安市公安局高新分局西太南路派出所，建设地点位于西安电子谷A区1号楼；结构是玻璃幕墙框架结构，共4层，一、二层层高6米。三、四层层高4.5米，建筑面积3578.8平方米，搭建完成后装饰施工面积：3988.8平方米，工作内容包含：室内、室外及外立面拆除工程、加固工程、室内装饰工程、家具、消防及火灾报警改造工程、通风空调工程、暖通工程、信息化工程、室外装饰工程、公安标准化外立面。</w:t>
            </w:r>
          </w:p>
          <w:p>
            <w:pPr>
              <w:pStyle w:val="null3"/>
              <w:ind w:right="630" w:firstLine="482"/>
            </w:pPr>
            <w:r>
              <w:rPr>
                <w:rFonts w:ascii="仿宋_GB2312" w:hAnsi="仿宋_GB2312" w:cs="仿宋_GB2312" w:eastAsia="仿宋_GB2312"/>
                <w:b/>
              </w:rPr>
              <w:t>二、采购需求</w:t>
            </w:r>
          </w:p>
          <w:p>
            <w:pPr>
              <w:pStyle w:val="null3"/>
              <w:ind w:right="630" w:firstLine="480"/>
            </w:pPr>
            <w:r>
              <w:rPr>
                <w:rFonts w:ascii="仿宋_GB2312" w:hAnsi="仿宋_GB2312" w:cs="仿宋_GB2312" w:eastAsia="仿宋_GB2312"/>
              </w:rPr>
              <w:t>（一）总体监理内容</w:t>
            </w:r>
          </w:p>
          <w:p>
            <w:pPr>
              <w:pStyle w:val="null3"/>
              <w:ind w:right="630" w:firstLine="480"/>
            </w:pPr>
            <w:r>
              <w:rPr>
                <w:rFonts w:ascii="仿宋_GB2312" w:hAnsi="仿宋_GB2312" w:cs="仿宋_GB2312" w:eastAsia="仿宋_GB2312"/>
              </w:rPr>
              <w:t>1.工程项目的三大控制、两管理、一协调、文明施工、施工安全、技术咨询、环境保护、技术报告及审核竣工文件的编制、归档等。</w:t>
            </w:r>
          </w:p>
          <w:p>
            <w:pPr>
              <w:pStyle w:val="null3"/>
              <w:ind w:right="630" w:firstLine="480"/>
            </w:pPr>
            <w:r>
              <w:rPr>
                <w:rFonts w:ascii="仿宋_GB2312" w:hAnsi="仿宋_GB2312" w:cs="仿宋_GB2312" w:eastAsia="仿宋_GB2312"/>
              </w:rPr>
              <w:t>2.编制监理细则。</w:t>
            </w:r>
          </w:p>
          <w:p>
            <w:pPr>
              <w:pStyle w:val="null3"/>
              <w:ind w:right="630" w:firstLine="480"/>
            </w:pPr>
            <w:r>
              <w:rPr>
                <w:rFonts w:ascii="仿宋_GB2312" w:hAnsi="仿宋_GB2312" w:cs="仿宋_GB2312" w:eastAsia="仿宋_GB2312"/>
              </w:rPr>
              <w:t>3.按国家、地方、行业有关建设工程监理条例、规范执行。</w:t>
            </w:r>
          </w:p>
          <w:p>
            <w:pPr>
              <w:pStyle w:val="null3"/>
              <w:ind w:right="630" w:firstLine="480"/>
            </w:pPr>
            <w:r>
              <w:rPr>
                <w:rFonts w:ascii="仿宋_GB2312" w:hAnsi="仿宋_GB2312" w:cs="仿宋_GB2312" w:eastAsia="仿宋_GB2312"/>
              </w:rPr>
              <w:t>4.根据所监理工程内容具备在现场完成检测试验的条件，并负责组织和参与工程验收。</w:t>
            </w:r>
          </w:p>
          <w:p>
            <w:pPr>
              <w:pStyle w:val="null3"/>
              <w:ind w:right="630" w:firstLine="480"/>
            </w:pPr>
            <w:r>
              <w:rPr>
                <w:rFonts w:ascii="仿宋_GB2312" w:hAnsi="仿宋_GB2312" w:cs="仿宋_GB2312" w:eastAsia="仿宋_GB2312"/>
              </w:rPr>
              <w:t>5.负责监理第三方检测或其他专项检测工作。</w:t>
            </w:r>
          </w:p>
          <w:p>
            <w:pPr>
              <w:pStyle w:val="null3"/>
              <w:ind w:right="630" w:firstLine="480"/>
            </w:pPr>
            <w:r>
              <w:rPr>
                <w:rFonts w:ascii="仿宋_GB2312" w:hAnsi="仿宋_GB2312" w:cs="仿宋_GB2312" w:eastAsia="仿宋_GB2312"/>
              </w:rPr>
              <w:t>6.其他监理规范约定的相关内容。</w:t>
            </w:r>
          </w:p>
          <w:p>
            <w:pPr>
              <w:pStyle w:val="null3"/>
              <w:ind w:right="630" w:firstLine="480"/>
            </w:pPr>
            <w:r>
              <w:rPr>
                <w:rFonts w:ascii="仿宋_GB2312" w:hAnsi="仿宋_GB2312" w:cs="仿宋_GB2312" w:eastAsia="仿宋_GB2312"/>
              </w:rPr>
              <w:t>（二）监理依据</w:t>
            </w:r>
          </w:p>
          <w:p>
            <w:pPr>
              <w:pStyle w:val="null3"/>
              <w:ind w:right="630" w:firstLine="480"/>
            </w:pPr>
            <w:r>
              <w:rPr>
                <w:rFonts w:ascii="仿宋_GB2312" w:hAnsi="仿宋_GB2312" w:cs="仿宋_GB2312" w:eastAsia="仿宋_GB2312"/>
              </w:rPr>
              <w:t>1.适用的法律、行政法规及部门规章；</w:t>
            </w:r>
          </w:p>
          <w:p>
            <w:pPr>
              <w:pStyle w:val="null3"/>
              <w:ind w:right="630" w:firstLine="480"/>
            </w:pPr>
            <w:r>
              <w:rPr>
                <w:rFonts w:ascii="仿宋_GB2312" w:hAnsi="仿宋_GB2312" w:cs="仿宋_GB2312" w:eastAsia="仿宋_GB2312"/>
              </w:rPr>
              <w:t>2.与工程有关的标准；</w:t>
            </w:r>
          </w:p>
          <w:p>
            <w:pPr>
              <w:pStyle w:val="null3"/>
              <w:ind w:right="630" w:firstLine="480"/>
            </w:pPr>
            <w:r>
              <w:rPr>
                <w:rFonts w:ascii="仿宋_GB2312" w:hAnsi="仿宋_GB2312" w:cs="仿宋_GB2312" w:eastAsia="仿宋_GB2312"/>
              </w:rPr>
              <w:t>3.工程设计及有关文件；</w:t>
            </w:r>
          </w:p>
          <w:p>
            <w:pPr>
              <w:pStyle w:val="null3"/>
              <w:ind w:right="630" w:firstLine="480"/>
            </w:pPr>
            <w:r>
              <w:rPr>
                <w:rFonts w:ascii="仿宋_GB2312" w:hAnsi="仿宋_GB2312" w:cs="仿宋_GB2312" w:eastAsia="仿宋_GB2312"/>
              </w:rPr>
              <w:t>（三）监理人员和试验检测仪器设备要求</w:t>
            </w:r>
          </w:p>
          <w:p>
            <w:pPr>
              <w:pStyle w:val="null3"/>
              <w:ind w:right="630" w:firstLine="480"/>
            </w:pPr>
            <w:r>
              <w:rPr>
                <w:rFonts w:ascii="仿宋_GB2312" w:hAnsi="仿宋_GB2312" w:cs="仿宋_GB2312" w:eastAsia="仿宋_GB2312"/>
              </w:rPr>
              <w:t>1.对监理人员的基本要求：</w:t>
            </w:r>
          </w:p>
          <w:p>
            <w:pPr>
              <w:pStyle w:val="null3"/>
              <w:ind w:right="630" w:firstLine="480"/>
            </w:pPr>
            <w:r>
              <w:rPr>
                <w:rFonts w:ascii="仿宋_GB2312" w:hAnsi="仿宋_GB2312" w:cs="仿宋_GB2312" w:eastAsia="仿宋_GB2312"/>
              </w:rPr>
              <w:t>（1）监理人员数量应足够满足本工程监理的工作任务，重要部位、工序应保证旁站跟踪监理。</w:t>
            </w:r>
          </w:p>
          <w:p>
            <w:pPr>
              <w:pStyle w:val="null3"/>
              <w:ind w:right="630" w:firstLine="480"/>
            </w:pPr>
            <w:r>
              <w:rPr>
                <w:rFonts w:ascii="仿宋_GB2312" w:hAnsi="仿宋_GB2312" w:cs="仿宋_GB2312" w:eastAsia="仿宋_GB2312"/>
              </w:rPr>
              <w:t>（2）监理人员从事工程建设监理活动，应当遵纪守法、诚信、公正、科学的准则，应有良好的执业道德和严谨的工作作风。在监理过程中不得向被监理方介绍、指定分包商。</w:t>
            </w:r>
          </w:p>
          <w:p>
            <w:pPr>
              <w:pStyle w:val="null3"/>
              <w:ind w:right="630" w:firstLine="480"/>
            </w:pPr>
            <w:r>
              <w:rPr>
                <w:rFonts w:ascii="仿宋_GB2312" w:hAnsi="仿宋_GB2312" w:cs="仿宋_GB2312" w:eastAsia="仿宋_GB2312"/>
              </w:rPr>
              <w:t>（3）监理工程师需具有丰富的工程建设实践经验、良好的品德、较高的学历和多学科专业知识、健康的体魄和充沛的精力。</w:t>
            </w:r>
          </w:p>
          <w:p>
            <w:pPr>
              <w:pStyle w:val="null3"/>
              <w:ind w:right="630" w:firstLine="480"/>
            </w:pPr>
            <w:r>
              <w:rPr>
                <w:rFonts w:ascii="仿宋_GB2312" w:hAnsi="仿宋_GB2312" w:cs="仿宋_GB2312" w:eastAsia="仿宋_GB2312"/>
              </w:rPr>
              <w:t>2.对监理程序及技术的基本要求：严格按照《建设工程监理规范》执行。</w:t>
            </w:r>
          </w:p>
          <w:p>
            <w:pPr>
              <w:pStyle w:val="null3"/>
              <w:ind w:right="630" w:firstLine="480"/>
            </w:pPr>
            <w:r>
              <w:rPr>
                <w:rFonts w:ascii="仿宋_GB2312" w:hAnsi="仿宋_GB2312" w:cs="仿宋_GB2312" w:eastAsia="仿宋_GB2312"/>
              </w:rPr>
              <w:t>（四）监理目标</w:t>
            </w:r>
          </w:p>
          <w:p>
            <w:pPr>
              <w:pStyle w:val="null3"/>
              <w:ind w:right="630" w:firstLine="480"/>
            </w:pPr>
            <w:r>
              <w:rPr>
                <w:rFonts w:ascii="仿宋_GB2312" w:hAnsi="仿宋_GB2312" w:cs="仿宋_GB2312" w:eastAsia="仿宋_GB2312"/>
              </w:rPr>
              <w:t>根据监理大纲要求，监理控制目标包括三控两管一协调，质量、进度、投资控制，合同、安全、信息管理，各方组织协调。</w:t>
            </w:r>
          </w:p>
          <w:p>
            <w:pPr>
              <w:pStyle w:val="null3"/>
              <w:ind w:right="630" w:firstLine="480"/>
            </w:pPr>
            <w:r>
              <w:rPr>
                <w:rFonts w:ascii="仿宋_GB2312" w:hAnsi="仿宋_GB2312" w:cs="仿宋_GB2312" w:eastAsia="仿宋_GB2312"/>
              </w:rPr>
              <w:t>1.投资控制目标：实际投资额不超过批复的初步设计概算，严格执行签证制度，对工程进度款、工程决算、设计变更严格把关。</w:t>
            </w:r>
          </w:p>
          <w:p>
            <w:pPr>
              <w:pStyle w:val="null3"/>
              <w:ind w:right="630" w:firstLine="480"/>
            </w:pPr>
            <w:r>
              <w:rPr>
                <w:rFonts w:ascii="仿宋_GB2312" w:hAnsi="仿宋_GB2312" w:cs="仿宋_GB2312" w:eastAsia="仿宋_GB2312"/>
              </w:rPr>
              <w:t>2.合同信息管理目标：收集法规信息、市场信息、产品信息、价格信息，协助业主拟定各有关合同，应业主要求参与谈判，处理纠纷与索赔事宜，督促各项目合同的全面履行。</w:t>
            </w:r>
          </w:p>
          <w:p>
            <w:pPr>
              <w:pStyle w:val="null3"/>
              <w:ind w:right="630" w:firstLine="480"/>
            </w:pPr>
            <w:r>
              <w:rPr>
                <w:rFonts w:ascii="仿宋_GB2312" w:hAnsi="仿宋_GB2312" w:cs="仿宋_GB2312" w:eastAsia="仿宋_GB2312"/>
              </w:rPr>
              <w:t>3.监理进度控制目标：竣工验收后三个月以内完成工程结算工作。</w:t>
            </w:r>
          </w:p>
          <w:p>
            <w:pPr>
              <w:pStyle w:val="null3"/>
              <w:ind w:right="630" w:firstLine="480"/>
            </w:pPr>
            <w:r>
              <w:rPr>
                <w:rFonts w:ascii="仿宋_GB2312" w:hAnsi="仿宋_GB2312" w:cs="仿宋_GB2312" w:eastAsia="仿宋_GB2312"/>
              </w:rPr>
              <w:t>4.监理质量控制目标：按设计标准完成工程，达到国家质量验收合格标准。</w:t>
            </w:r>
          </w:p>
          <w:p>
            <w:pPr>
              <w:pStyle w:val="null3"/>
              <w:ind w:right="630" w:firstLine="480"/>
            </w:pPr>
            <w:r>
              <w:rPr>
                <w:rFonts w:ascii="仿宋_GB2312" w:hAnsi="仿宋_GB2312" w:cs="仿宋_GB2312" w:eastAsia="仿宋_GB2312"/>
              </w:rPr>
              <w:t>5.安全、文明施工目标：</w:t>
            </w:r>
          </w:p>
          <w:p>
            <w:pPr>
              <w:pStyle w:val="null3"/>
              <w:ind w:right="630" w:firstLine="480"/>
            </w:pPr>
            <w:r>
              <w:rPr>
                <w:rFonts w:ascii="仿宋_GB2312" w:hAnsi="仿宋_GB2312" w:cs="仿宋_GB2312" w:eastAsia="仿宋_GB2312"/>
              </w:rPr>
              <w:t>（1）不发生重大安全事故。</w:t>
            </w:r>
          </w:p>
          <w:p>
            <w:pPr>
              <w:pStyle w:val="null3"/>
              <w:ind w:right="630" w:firstLine="480"/>
            </w:pPr>
            <w:r>
              <w:rPr>
                <w:rFonts w:ascii="仿宋_GB2312" w:hAnsi="仿宋_GB2312" w:cs="仿宋_GB2312" w:eastAsia="仿宋_GB2312"/>
              </w:rPr>
              <w:t>（2）不发生挖断地下管网、电缆事故。</w:t>
            </w:r>
          </w:p>
          <w:p>
            <w:pPr>
              <w:pStyle w:val="null3"/>
              <w:ind w:right="630" w:firstLine="480"/>
            </w:pPr>
            <w:r>
              <w:rPr>
                <w:rFonts w:ascii="仿宋_GB2312" w:hAnsi="仿宋_GB2312" w:cs="仿宋_GB2312" w:eastAsia="仿宋_GB2312"/>
              </w:rPr>
              <w:t>（3）其他。</w:t>
            </w:r>
          </w:p>
          <w:p>
            <w:pPr>
              <w:pStyle w:val="null3"/>
              <w:ind w:right="630" w:firstLine="482"/>
            </w:pPr>
            <w:r>
              <w:rPr>
                <w:rFonts w:ascii="仿宋_GB2312" w:hAnsi="仿宋_GB2312" w:cs="仿宋_GB2312" w:eastAsia="仿宋_GB2312"/>
                <w:b/>
              </w:rPr>
              <w:t>三、商务要求</w:t>
            </w:r>
          </w:p>
          <w:p>
            <w:pPr>
              <w:pStyle w:val="null3"/>
              <w:ind w:right="630" w:firstLine="480"/>
            </w:pPr>
            <w:r>
              <w:rPr>
                <w:rFonts w:ascii="仿宋_GB2312" w:hAnsi="仿宋_GB2312" w:cs="仿宋_GB2312" w:eastAsia="仿宋_GB2312"/>
              </w:rPr>
              <w:t>1.服务期限：自监理合同签订之日起至工程竣工验收合格为止。</w:t>
            </w:r>
          </w:p>
          <w:p>
            <w:pPr>
              <w:pStyle w:val="null3"/>
              <w:ind w:right="630" w:firstLine="480"/>
            </w:pPr>
            <w:r>
              <w:rPr>
                <w:rFonts w:ascii="仿宋_GB2312" w:hAnsi="仿宋_GB2312" w:cs="仿宋_GB2312" w:eastAsia="仿宋_GB2312"/>
                <w:color w:val="000000"/>
              </w:rPr>
              <w:t>2.服务地点：陕西省西安市高新区鱼化寨天谷雅舍9号楼、西安电子谷A区1号楼，具体以采购人要求为准。</w:t>
            </w:r>
          </w:p>
          <w:p>
            <w:pPr>
              <w:pStyle w:val="null3"/>
            </w:pPr>
            <w:r>
              <w:rPr>
                <w:rFonts w:ascii="仿宋_GB2312" w:hAnsi="仿宋_GB2312" w:cs="仿宋_GB2312" w:eastAsia="仿宋_GB2312"/>
                <w:color w:val="000000"/>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（1）监理人员数量应足够满足本工程监理的工作任务，重要部位、工序应保证旁站跟踪监理。 （2）监理人员从事工程建设监理活动，应当遵纪守法、诚信、公正、科学的准则，应有良好的执业道德和严谨的工作作风。在监理过程中不得向被监理方介绍、指定分包商。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自监理合同签订之日起至工程竣工验收合格为止。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陕西省西安市高新区鱼化寨天谷雅舍9号楼、西安电子谷A区1号楼，具体以采购人要求为准。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合同签订一个月内</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项目服务期结束且经甲方验收合格后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供应商须具备工程监理综合资质或房屋建筑工程监理乙级及以上资质。</w:t>
            </w:r>
          </w:p>
        </w:tc>
        <w:tc>
          <w:tcPr>
            <w:tcW w:type="dxa" w:w="1661"/>
          </w:tcPr>
          <w:p>
            <w:pPr>
              <w:pStyle w:val="null3"/>
            </w:pPr>
            <w:r>
              <w:rPr>
                <w:rFonts w:ascii="仿宋_GB2312" w:hAnsi="仿宋_GB2312" w:cs="仿宋_GB2312" w:eastAsia="仿宋_GB2312"/>
              </w:rPr>
              <w:t>企业资质要求.docx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拟派项目总监理工程师具备房屋建筑工程专业注册监理工程师执业资格，须在本单位注册，且未同时担任其他项目总监理工程师（提供承诺书）。</w:t>
            </w:r>
          </w:p>
        </w:tc>
        <w:tc>
          <w:tcPr>
            <w:tcW w:type="dxa" w:w="1661"/>
          </w:tcPr>
          <w:p>
            <w:pPr>
              <w:pStyle w:val="null3"/>
            </w:pPr>
            <w:r>
              <w:rPr>
                <w:rFonts w:ascii="仿宋_GB2312" w:hAnsi="仿宋_GB2312" w:cs="仿宋_GB2312" w:eastAsia="仿宋_GB2312"/>
              </w:rPr>
              <w:t>项目负责人资质要求.docx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监理实施方案</w:t>
            </w:r>
          </w:p>
        </w:tc>
        <w:tc>
          <w:tcPr>
            <w:tcW w:type="dxa" w:w="2492"/>
          </w:tcPr>
          <w:p>
            <w:pPr>
              <w:pStyle w:val="null3"/>
            </w:pPr>
            <w:r>
              <w:rPr>
                <w:rFonts w:ascii="仿宋_GB2312" w:hAnsi="仿宋_GB2312" w:cs="仿宋_GB2312" w:eastAsia="仿宋_GB2312"/>
              </w:rPr>
              <w:t>监理实施方案内容至少包括①对项目的理解分析；②监理总体的工作目标；③监理内容；④服务方式；⑤监理流程等。以上内容专门针对本项目且符合本项目实际需求的得25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项目整体控制措施</w:t>
            </w:r>
          </w:p>
        </w:tc>
        <w:tc>
          <w:tcPr>
            <w:tcW w:type="dxa" w:w="2492"/>
          </w:tcPr>
          <w:p>
            <w:pPr>
              <w:pStyle w:val="null3"/>
            </w:pPr>
            <w:r>
              <w:rPr>
                <w:rFonts w:ascii="仿宋_GB2312" w:hAnsi="仿宋_GB2312" w:cs="仿宋_GB2312" w:eastAsia="仿宋_GB2312"/>
              </w:rPr>
              <w:t>项目整体控制措施内容至少包括①项目进度保障措施；②项质量控制的方法和措施；③人员作业安全措施；④变更控制的方法和措施；⑤投资控制的方法和措施。以上内容专门针对本项目且符合本项目实际需求的得25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拟投入本项目的监理现场设施配备</w:t>
            </w:r>
          </w:p>
        </w:tc>
        <w:tc>
          <w:tcPr>
            <w:tcW w:type="dxa" w:w="2492"/>
          </w:tcPr>
          <w:p>
            <w:pPr>
              <w:pStyle w:val="null3"/>
            </w:pPr>
            <w:r>
              <w:rPr>
                <w:rFonts w:ascii="仿宋_GB2312" w:hAnsi="仿宋_GB2312" w:cs="仿宋_GB2312" w:eastAsia="仿宋_GB2312"/>
              </w:rPr>
              <w:t>拟投入本项目的监理现场设施配备内容至少包括①设备、仪器种类；②设备、仪器使用年限；③设备、仪器可行性；④设备品牌等。以上内容专门针对本项目且符合本项目实际需求的得10分，每缺一项内容扣2.5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应急处置方案内容至少包括①应急组织机构；②应急响应时间；③应急保障措施；④调动人员的数量等。以上内容专门针对本项目且符合本项目实际需求的得8分，每缺一项内容扣2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项目团队配置-项目负责人</w:t>
            </w:r>
          </w:p>
        </w:tc>
        <w:tc>
          <w:tcPr>
            <w:tcW w:type="dxa" w:w="2492"/>
          </w:tcPr>
          <w:p>
            <w:pPr>
              <w:pStyle w:val="null3"/>
            </w:pPr>
            <w:r>
              <w:rPr>
                <w:rFonts w:ascii="仿宋_GB2312" w:hAnsi="仿宋_GB2312" w:cs="仿宋_GB2312" w:eastAsia="仿宋_GB2312"/>
              </w:rPr>
              <w:t>拟派项目的总监理工程师具备高级工程师（相关专业）职称证的得2分，具备中级工程师（相关专业）职称证的得1分；否则不得分。注：须提供总监理工程师的简历、职称证书及身份证。（上述证明材料均需提供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项目团队配置-团队成员</w:t>
            </w:r>
          </w:p>
        </w:tc>
        <w:tc>
          <w:tcPr>
            <w:tcW w:type="dxa" w:w="2492"/>
          </w:tcPr>
          <w:p>
            <w:pPr>
              <w:pStyle w:val="null3"/>
            </w:pPr>
            <w:r>
              <w:rPr>
                <w:rFonts w:ascii="仿宋_GB2312" w:hAnsi="仿宋_GB2312" w:cs="仿宋_GB2312" w:eastAsia="仿宋_GB2312"/>
              </w:rPr>
              <w:t>除项目负责人之外，项目组团队具有相应工作技能，须提供证明材料（包括且不限于职业资格证书或技能证书或培训合格证书）每提供一份计 1 分，满分4分，未提供或所提供证明材料不齐全的本项不得分。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项目团队配置-项目团队人员管理</w:t>
            </w:r>
          </w:p>
        </w:tc>
        <w:tc>
          <w:tcPr>
            <w:tcW w:type="dxa" w:w="2492"/>
          </w:tcPr>
          <w:p>
            <w:pPr>
              <w:pStyle w:val="null3"/>
            </w:pPr>
            <w:r>
              <w:rPr>
                <w:rFonts w:ascii="仿宋_GB2312" w:hAnsi="仿宋_GB2312" w:cs="仿宋_GB2312" w:eastAsia="仿宋_GB2312"/>
              </w:rPr>
              <w:t>针对本项目团队人员配备有具体方案内容至少包括①人员配备数量及清单②人员职责与分工明确等。以上内容专门针对本项目且符合本项目实际需求的得6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供应商具有2022年1月1日至今（以合同签订时间为准）类似项目业绩，响应文件中提供合同扫描件并加盖公章，每提供一个得2分，最高得10分。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采用低价优先法计算，即满足磋商文件内容及技术要求且磋商报价最低的投标价为评标基准价，其价格分为满分。 磋商报价得分=（评标基准价／磋商报价）×价格权值×100。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详见附件：企业资质要求.docx</w:t>
      </w:r>
    </w:p>
    <w:p>
      <w:pPr>
        <w:pStyle w:val="null3"/>
        <w:ind w:firstLine="960"/>
      </w:pPr>
      <w:r>
        <w:rPr>
          <w:rFonts w:ascii="仿宋_GB2312" w:hAnsi="仿宋_GB2312" w:cs="仿宋_GB2312" w:eastAsia="仿宋_GB2312"/>
        </w:rPr>
        <w:t>详见附件：项目负责人资质要求.docx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