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4C3C6">
      <w:pPr>
        <w:kinsoku/>
        <w:outlineLvl w:val="1"/>
        <w:rPr>
          <w:rFonts w:hint="eastAsia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31"/>
          <w:szCs w:val="31"/>
          <w:highlight w:val="none"/>
          <w:lang w:val="en-US" w:eastAsia="zh-CN"/>
        </w:rPr>
        <w:t>工程量清单</w:t>
      </w:r>
    </w:p>
    <w:tbl>
      <w:tblPr>
        <w:tblStyle w:val="3"/>
        <w:tblpPr w:leftFromText="180" w:rightFromText="180" w:vertAnchor="text" w:horzAnchor="page" w:tblpX="872" w:tblpY="569"/>
        <w:tblOverlap w:val="never"/>
        <w:tblW w:w="101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826"/>
        <w:gridCol w:w="4224"/>
        <w:gridCol w:w="1159"/>
        <w:gridCol w:w="889"/>
        <w:gridCol w:w="1239"/>
      </w:tblGrid>
      <w:tr w14:paraId="40B36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F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8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项目清单</w:t>
            </w:r>
          </w:p>
          <w:p w14:paraId="05041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1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3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估算工程量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5A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0C4E9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0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B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供水管道</w:t>
            </w:r>
          </w:p>
          <w:p w14:paraId="44ADE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维修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D693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1C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3858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94D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058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D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8E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75PE管道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1F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管沟开挖、细沙垫（10CM）、管道铺设（75PE)、人工回填）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C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4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C4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58F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C2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C9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40PE管道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5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管沟开挖、细沙垫（10CM）、管道铺设（40PE)、人工回填）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4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A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10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2000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F4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F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25PE管道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722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管沟开挖、细沙垫（10CM）、管道铺设（40PE)、人工回填）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8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B2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1300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070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6AAA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A6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5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管道冲洗井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8C7A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2A9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863B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8176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7D0A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9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7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干管道冲洗井（D=800）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2D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竖井开挖、3:7灰土、1：3水泥砂浆底座、井体砌砖、井体墙帽、球墨铸铁井盖、人工回填、冲洗龙带（6米）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A9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16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33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90EF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18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支管道冲洗井（D=500）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4C0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竖井开挖、3:7灰土、1：3水泥砂浆底座、井体砌砖、井体墙帽、球墨铸铁井盖、人工回填、冲洗龙带（6米）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6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座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A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81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CFC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7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7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管道冲洗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4F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技工、普工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F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500m/条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A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5A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F123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混凝土路面施工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B2A2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AE9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0EA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B274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E0CB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A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8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混凝土路面破除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8B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1.材质:20cm厚C20水泥混凝土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2.拆除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F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m²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C3F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6D6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03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0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混凝土路面恢复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60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1.材质:20cm厚C20水泥混凝土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2.混凝土浇筑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3.养生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5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m²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2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17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917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91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F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余方弃置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33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1.废弃料品种:拆除垃圾、余土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2.运距:自行考虑(余方点运料至弃置点,含装车、运输、卸车、弃置费等)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A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m³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9C8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CB2F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7E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管件安装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A113F"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A1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661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8B7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D1E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56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AD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PE三通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CD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1.管件类型:PE三通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2.管径、壁厚:DN50*25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0A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CB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C2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5CF9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E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CE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PE三通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A7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1.管件类型:PE三通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2.管径、壁厚:DN50*50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2A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DB2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C10C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6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11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PE三通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0C1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1.管件类型:PE三通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2.管径、壁厚:DN80*50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EA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63C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048D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3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BE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PE三通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5A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1.管件类型:PE三通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2.管径、壁厚:DN80*80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6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82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97E8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2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1B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PE弯头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2C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1.管件类型:PE弯头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2.管径、壁厚:DN50*90°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3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5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064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54C3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3B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6B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PE弯头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2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1.管件类型:PE弯头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2.管径、壁厚:DN80*90°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65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A0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81BF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B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1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闸阀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4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1.公称直径:DN50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2.阀门类型:闸阀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3.法兰连接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8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93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C58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584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0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7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闸阀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BA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1.公称直径:DN80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2.阀门类型:闸阀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3.法兰连接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8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3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2FFB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21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99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PE管道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E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1.管道材料名称:PE聚乙烯管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2.管材规格:DN50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0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F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2F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C41BE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9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A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PE管道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AE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1.管道材料名称:PE聚乙烯管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2.管材规格:DN80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3.连接方式:热熔连接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4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D97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344E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B4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82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57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哈夫节</w:t>
            </w:r>
          </w:p>
        </w:tc>
        <w:tc>
          <w:tcPr>
            <w:tcW w:w="4224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A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1.类型:铸铁哈夫节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2.规格:DN50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3.接口形式:胶圈接口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E9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85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034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01B7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0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F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哈夫节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4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1.类型:铸铁哈夫节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2.规格:DN80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3.接口形式:胶圈接口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9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2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6C5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4502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0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00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七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A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消毒机安装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21B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89B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7F4D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41B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7BEA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A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2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电解次氯酸钠发生器（消毒机）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5D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L-50型（工程量暂估，据实结算。）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75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0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B1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41F1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28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E8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电解次氯酸钠发生器（消毒机）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1F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L-100型（工程量暂估，据实结算。）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8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1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E33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B1A5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C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消毒机维护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08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ED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A9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23B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12A1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2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D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计量泵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734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AKS800  803（工程量暂估，据实结算。）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69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9CD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62E5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59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0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风机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A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180W（工程量暂估，据实结算。）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3B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台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5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9C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带配套软管</w:t>
            </w:r>
          </w:p>
        </w:tc>
      </w:tr>
      <w:tr w14:paraId="787BF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6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F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加药软管、药箱盐箱配交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9A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3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0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BF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配套</w:t>
            </w:r>
          </w:p>
        </w:tc>
      </w:tr>
      <w:tr w14:paraId="2F3A1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1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42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耐腐蚀电解槽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E38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TA1纯钛基材;钌铱贵金属氧化物颗粒涂层，阳极强化寿命&gt;200hr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0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B3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602D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4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1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整流电源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5DB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输入电源:220VAC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输出额定电压:20V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输出额定电流:15A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额定功率:300W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（工程量暂估，据实结算。）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6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D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69E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47BD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F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5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技术服务费</w:t>
            </w:r>
          </w:p>
        </w:tc>
        <w:tc>
          <w:tcPr>
            <w:tcW w:w="4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3171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0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C6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97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人工费、差旅费</w:t>
            </w:r>
          </w:p>
        </w:tc>
      </w:tr>
    </w:tbl>
    <w:p w14:paraId="61A6D8CA">
      <w:pPr>
        <w:shd w:val="clear" w:color="auto" w:fill="auto"/>
        <w:kinsoku/>
        <w:autoSpaceDE/>
        <w:autoSpaceDN/>
        <w:bidi w:val="0"/>
        <w:adjustRightInd/>
        <w:snapToGrid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0" w:name="_Toc5352"/>
      <w:r>
        <w:rPr>
          <w:rFonts w:hint="eastAsia"/>
          <w:b/>
          <w:bCs/>
          <w:color w:val="auto"/>
          <w:sz w:val="36"/>
          <w:szCs w:val="36"/>
          <w:highlight w:val="none"/>
          <w:lang w:val="en-US" w:eastAsia="zh-CN"/>
        </w:rPr>
        <w:t>图纸</w:t>
      </w:r>
      <w:bookmarkStart w:id="1" w:name="_GoBack"/>
      <w:bookmarkEnd w:id="1"/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6"/>
      </w:tblGrid>
      <w:tr w14:paraId="0FD88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1A091B61">
            <w:pPr>
              <w:widowControl w:val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5428615" cy="3957955"/>
                  <wp:effectExtent l="0" t="0" r="635" b="444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8615" cy="3957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3A9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164374A5">
            <w:pPr>
              <w:widowControl w:val="0"/>
              <w:jc w:val="center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5544820" cy="4029075"/>
                  <wp:effectExtent l="0" t="0" r="17780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4820" cy="402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837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23DDB74D">
            <w:pPr>
              <w:widowControl w:val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5323205" cy="3739515"/>
                  <wp:effectExtent l="0" t="0" r="10795" b="1333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3205" cy="373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E234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19EFCE91">
            <w:pPr>
              <w:widowControl w:val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6207760" cy="4019550"/>
                  <wp:effectExtent l="0" t="0" r="254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07760" cy="401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3C3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28DA7350">
            <w:pPr>
              <w:widowControl w:val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6562725" cy="4509135"/>
                  <wp:effectExtent l="0" t="0" r="9525" b="571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2725" cy="4509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D24D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</w:tcPr>
          <w:p w14:paraId="7783ED42">
            <w:pPr>
              <w:widowControl w:val="0"/>
              <w:jc w:val="center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5831840" cy="3791585"/>
                  <wp:effectExtent l="0" t="0" r="16510" b="1841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1840" cy="379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797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2" w:hRule="atLeast"/>
        </w:trPr>
        <w:tc>
          <w:tcPr>
            <w:tcW w:w="14174" w:type="dxa"/>
          </w:tcPr>
          <w:p w14:paraId="654837F7">
            <w:pPr>
              <w:widowControl w:val="0"/>
              <w:jc w:val="center"/>
            </w:pPr>
          </w:p>
          <w:p w14:paraId="6C0CC657">
            <w:pPr>
              <w:widowControl w:val="0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6087745" cy="4210050"/>
                  <wp:effectExtent l="0" t="0" r="825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7745" cy="421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ADE94B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0" w:line="360" w:lineRule="auto"/>
        <w:textAlignment w:val="baseline"/>
        <w:rPr>
          <w:rFonts w:hint="eastAsia" w:ascii="仿宋" w:hAnsi="仿宋" w:eastAsia="仿宋" w:cs="仿宋"/>
          <w:bCs/>
          <w:color w:val="auto"/>
          <w:sz w:val="24"/>
          <w:szCs w:val="24"/>
          <w:highlight w:val="yellow"/>
          <w:lang w:val="en-US" w:eastAsia="zh-CN"/>
        </w:rPr>
      </w:pPr>
    </w:p>
    <w:p w14:paraId="640B3604"/>
    <w:sectPr>
      <w:headerReference r:id="rId3" w:type="default"/>
      <w:footerReference r:id="rId4" w:type="default"/>
      <w:pgSz w:w="11900" w:h="16840"/>
      <w:pgMar w:top="1417" w:right="1020" w:bottom="1134" w:left="1020" w:header="0" w:footer="0" w:gutter="0"/>
      <w:pgNumType w:fmt="decimal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58D79">
    <w:pPr>
      <w:pStyle w:val="2"/>
      <w:rPr>
        <w:rFonts w:hint="default" w:ascii="仿宋" w:hAnsi="仿宋" w:eastAsia="仿宋" w:cs="仿宋"/>
        <w:b/>
        <w:bCs/>
        <w:lang w:val="en-US"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476DB">
    <w:pPr>
      <w:keepNext w:val="0"/>
      <w:keepLines w:val="0"/>
      <w:pageBreakBefore w:val="0"/>
      <w:widowControl w:val="0"/>
      <w:numPr>
        <w:ilvl w:val="0"/>
        <w:numId w:val="0"/>
      </w:numPr>
      <w:kinsoku/>
      <w:wordWrap/>
      <w:overflowPunct/>
      <w:topLinePunct w:val="0"/>
      <w:autoSpaceDE w:val="0"/>
      <w:autoSpaceDN w:val="0"/>
      <w:bidi w:val="0"/>
      <w:adjustRightInd/>
      <w:snapToGrid w:val="0"/>
      <w:spacing w:before="0" w:line="360" w:lineRule="auto"/>
      <w:ind w:right="0" w:firstLine="0"/>
      <w:jc w:val="left"/>
      <w:textAlignment w:val="auto"/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83244"/>
    <w:rsid w:val="68D8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rFonts w:hint="eastAsia" w:ascii="宋体" w:hAnsi="宋体" w:eastAsia="仿宋" w:cs="宋体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2025-10-24T01:15:00Z</dcterms:created>
  <dc:creator>七安</dc:creator>
  <cp:lastModifiedBy>七安</cp:lastModifiedBy>
  <dcterms:modified xsi:type="dcterms:W3CDTF">2025-10-24T01:15:52Z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0164025074074DAE98472AF6030F40BF_11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