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版本号：LZBB2025-1784（XDZ2025-338-J-97）20251023001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西安高新区光夏路雨污水管道建设项目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LZBB2025-1784（XDZ2025-338-J-97）</w:t>
      </w:r>
      <w:r>
        <w:br/>
      </w:r>
      <w:r>
        <w:br/>
      </w:r>
      <w:r>
        <w:br/>
      </w:r>
    </w:p>
    <w:p>
      <w:pPr>
        <w:pStyle w:val="null3"/>
        <w:jc w:val="center"/>
        <w:outlineLvl w:val="2"/>
      </w:pPr>
      <w:r>
        <w:rPr>
          <w:rFonts w:ascii="仿宋_GB2312" w:hAnsi="仿宋_GB2312" w:cs="仿宋_GB2312" w:eastAsia="仿宋_GB2312"/>
          <w:sz w:val="28"/>
          <w:b/>
        </w:rPr>
        <w:t>西安高新技术产业开发区农业农村和水务局</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西安高新技术产业开发区农业农村和水务局</w:t>
      </w:r>
      <w:r>
        <w:rPr>
          <w:rFonts w:ascii="仿宋_GB2312" w:hAnsi="仿宋_GB2312" w:cs="仿宋_GB2312" w:eastAsia="仿宋_GB2312"/>
        </w:rPr>
        <w:t>委托，拟对</w:t>
      </w:r>
      <w:r>
        <w:rPr>
          <w:rFonts w:ascii="仿宋_GB2312" w:hAnsi="仿宋_GB2312" w:cs="仿宋_GB2312" w:eastAsia="仿宋_GB2312"/>
        </w:rPr>
        <w:t>西安高新区光夏路雨污水管道建设项目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LZBB2025-1784（XDZ2025-338-J-97）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西安高新区光夏路雨污水管道建设项目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西安高新区光夏路雨污水管道建设项目，具体详见磋商文件及工程量清单等内容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w:t>
      </w:r>
    </w:p>
    <w:p>
      <w:pPr>
        <w:pStyle w:val="null3"/>
      </w:pPr>
      <w:r>
        <w:rPr>
          <w:rFonts w:ascii="仿宋_GB2312" w:hAnsi="仿宋_GB2312" w:cs="仿宋_GB2312" w:eastAsia="仿宋_GB2312"/>
        </w:rPr>
        <w:t>2、税收缴纳及社保缴纳证明：提供2024年至今任意一个月的税收缴纳凭证及社会保险缴纳的凭证。依法免税或不需要缴纳社会保障资金的供应商，应提供相应文件证明其依法免税或不需要缴纳社会保障资金。此项可提供基本资格条件承诺函</w:t>
      </w:r>
    </w:p>
    <w:p>
      <w:pPr>
        <w:pStyle w:val="null3"/>
      </w:pPr>
      <w:r>
        <w:rPr>
          <w:rFonts w:ascii="仿宋_GB2312" w:hAnsi="仿宋_GB2312" w:cs="仿宋_GB2312" w:eastAsia="仿宋_GB2312"/>
        </w:rPr>
        <w:t>3、财务状况报告：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此项可提供基本资格条件承诺函</w:t>
      </w:r>
    </w:p>
    <w:p>
      <w:pPr>
        <w:pStyle w:val="null3"/>
      </w:pPr>
      <w:r>
        <w:rPr>
          <w:rFonts w:ascii="仿宋_GB2312" w:hAnsi="仿宋_GB2312" w:cs="仿宋_GB2312" w:eastAsia="仿宋_GB2312"/>
        </w:rPr>
        <w:t>4、企业资质：具备建设行政主管部门颁发的市政公用工程施工总承包三级及以上资质，且具有有效的安全生产许可证</w:t>
      </w:r>
    </w:p>
    <w:p>
      <w:pPr>
        <w:pStyle w:val="null3"/>
      </w:pPr>
      <w:r>
        <w:rPr>
          <w:rFonts w:ascii="仿宋_GB2312" w:hAnsi="仿宋_GB2312" w:cs="仿宋_GB2312" w:eastAsia="仿宋_GB2312"/>
        </w:rPr>
        <w:t>5、拟派项目负责人资质和专业要求：证书等级：二级及以上 专业：注册建造师执业资格（市政公用工程专业） 补充说明：具有有效的安全生产考核合格证（建安B证），在本单位注册，且未担任其他在建工程项目的项目经理</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其中：重大违法记录是指供应商因违法经营受到刑事处罚或者责令停产停业、吊销许可证或者执照、较大数额罚款等行政处罚；此项可提供基本资格条件承诺函</w:t>
      </w:r>
    </w:p>
    <w:p>
      <w:pPr>
        <w:pStyle w:val="null3"/>
      </w:pPr>
      <w:r>
        <w:rPr>
          <w:rFonts w:ascii="仿宋_GB2312" w:hAnsi="仿宋_GB2312" w:cs="仿宋_GB2312" w:eastAsia="仿宋_GB2312"/>
        </w:rPr>
        <w:t>7、履行合同所必需的设备和专业技术能力书面声明函：履行合同所必需的设备和专业技术能力书面声明函；此项可提供基本资格条件承诺函；</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9、授权委托书：被授权人参与磋商时须提供法定代表人授权书、被授权人身份证明及开标前三个月任意一个月本单位的社会保险缴纳证明；法定代表人直接参加磋商的须提供其法定代表人身份证明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西安高新技术产业开发区农业农村和水务局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陕西省西安市丝路创智谷5号楼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029-81159181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 xml:space="preserve"> 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采购包1：1,106,300.00元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代理服务费收费标准：成交供应商向代理机构参照国家计委关于印发《招标代理服务收费管理暂行办法》的通知（计价格〔2002〕1980号）的有关依据收取。以成交金额为基数。缴纳方式： 采用现金或转账方式缴纳（账号信息如下）。 开户名称：龙寰项目管理咨询有限公司 开 户 行：平安银行西安高新路支行 账号：30201278017713转账事由：LZBB2025-1784招标代理服务费。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西安高新技术产业开发区农业农村和水务局</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西安高新技术产业开发区农业农村和水务局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西安高新技术产业开发区农业农村和水务局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联系人：高维、王飞、张波</w:t>
      </w:r>
    </w:p>
    <w:p>
      <w:pPr>
        <w:pStyle w:val="null3"/>
      </w:pPr>
      <w:r>
        <w:rPr>
          <w:rFonts w:ascii="仿宋_GB2312" w:hAnsi="仿宋_GB2312" w:cs="仿宋_GB2312" w:eastAsia="仿宋_GB2312"/>
        </w:rPr>
        <w:t>联系电话：029-88228899-625</w:t>
      </w:r>
    </w:p>
    <w:p>
      <w:pPr>
        <w:pStyle w:val="null3"/>
      </w:pPr>
      <w:r>
        <w:rPr>
          <w:rFonts w:ascii="仿宋_GB2312" w:hAnsi="仿宋_GB2312" w:cs="仿宋_GB2312" w:eastAsia="仿宋_GB2312"/>
        </w:rPr>
        <w:t>地址：陕西省西安市太白南路181号西部电子社区A座A区501室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1,106,300.00</w:t>
      </w:r>
    </w:p>
    <w:p>
      <w:pPr>
        <w:pStyle w:val="null3"/>
      </w:pPr>
      <w:r>
        <w:rPr>
          <w:rFonts w:ascii="仿宋_GB2312" w:hAnsi="仿宋_GB2312" w:cs="仿宋_GB2312" w:eastAsia="仿宋_GB2312"/>
        </w:rPr>
        <w:t>采购包最高限价（元）: 1,106,300.00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西安高新区光夏路雨污水管道建设项目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1,106,300.00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标的名称：西安高新区光夏路雨污水管道建设项目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一、基本要求</w:t>
            </w:r>
          </w:p>
          <w:p>
            <w:pPr>
              <w:pStyle w:val="null3"/>
            </w:pPr>
            <w:r>
              <w:rPr>
                <w:rFonts w:ascii="仿宋_GB2312" w:hAnsi="仿宋_GB2312" w:cs="仿宋_GB2312" w:eastAsia="仿宋_GB2312"/>
              </w:rPr>
              <w:t>1、项目概况：</w:t>
            </w:r>
          </w:p>
          <w:p>
            <w:pPr>
              <w:pStyle w:val="null3"/>
            </w:pPr>
            <w:r>
              <w:rPr>
                <w:rFonts w:ascii="仿宋_GB2312" w:hAnsi="仿宋_GB2312" w:cs="仿宋_GB2312" w:eastAsia="仿宋_GB2312"/>
              </w:rPr>
              <w:t>本工程为</w:t>
            </w:r>
            <w:r>
              <w:rPr>
                <w:rFonts w:ascii="仿宋_GB2312" w:hAnsi="仿宋_GB2312" w:cs="仿宋_GB2312" w:eastAsia="仿宋_GB2312"/>
              </w:rPr>
              <w:t>西安高新区光夏路雨污水管道建设项目</w:t>
            </w:r>
            <w:r>
              <w:rPr>
                <w:rFonts w:ascii="仿宋_GB2312" w:hAnsi="仿宋_GB2312" w:cs="仿宋_GB2312" w:eastAsia="仿宋_GB2312"/>
              </w:rPr>
              <w:t>，本次计划新建污水管道及雨水管道，具体包含：将光夏路现状雨水管道终点管段做为污水管道利用；在接入高新四路污水管道前一处检查井重新新建一趟雨水管道，向西接入高新四路</w:t>
            </w:r>
            <w:r>
              <w:rPr>
                <w:rFonts w:ascii="仿宋_GB2312" w:hAnsi="仿宋_GB2312" w:cs="仿宋_GB2312" w:eastAsia="仿宋_GB2312"/>
              </w:rPr>
              <w:t>d1200mm雨水管道，设计管径dn560mm，管道长度约34m。本次设计的污水管道起自亮丽电力设备有限公司，污水由东向西敷设，终点接入现状光夏路雨水管道终点，设计管径dn400mm，管道长度124m。沿线向高新环卫公司预留污水管道。</w:t>
            </w:r>
          </w:p>
          <w:p>
            <w:pPr>
              <w:pStyle w:val="null3"/>
            </w:pPr>
            <w:r>
              <w:rPr>
                <w:rFonts w:ascii="仿宋_GB2312" w:hAnsi="仿宋_GB2312" w:cs="仿宋_GB2312" w:eastAsia="仿宋_GB2312"/>
              </w:rPr>
              <w:t>2、工期：合同签订之日起60日历日。</w:t>
            </w:r>
          </w:p>
          <w:p>
            <w:pPr>
              <w:pStyle w:val="null3"/>
            </w:pPr>
            <w:r>
              <w:rPr>
                <w:rFonts w:ascii="仿宋_GB2312" w:hAnsi="仿宋_GB2312" w:cs="仿宋_GB2312" w:eastAsia="仿宋_GB2312"/>
              </w:rPr>
              <w:t>3、工程地点：采购人指定地点。</w:t>
            </w:r>
          </w:p>
          <w:p>
            <w:pPr>
              <w:pStyle w:val="null3"/>
            </w:pPr>
            <w:r>
              <w:rPr>
                <w:rFonts w:ascii="仿宋_GB2312" w:hAnsi="仿宋_GB2312" w:cs="仿宋_GB2312" w:eastAsia="仿宋_GB2312"/>
              </w:rPr>
              <w:t>二、需执行的国家相关标准、行业标准、地方标准或者其他标准、规范标准</w:t>
            </w:r>
          </w:p>
          <w:p>
            <w:pPr>
              <w:pStyle w:val="null3"/>
            </w:pPr>
            <w:r>
              <w:rPr>
                <w:rFonts w:ascii="仿宋_GB2312" w:hAnsi="仿宋_GB2312" w:cs="仿宋_GB2312" w:eastAsia="仿宋_GB2312"/>
              </w:rPr>
              <w:t>（</w:t>
            </w:r>
            <w:r>
              <w:rPr>
                <w:rFonts w:ascii="仿宋_GB2312" w:hAnsi="仿宋_GB2312" w:cs="仿宋_GB2312" w:eastAsia="仿宋_GB2312"/>
              </w:rPr>
              <w:t>1）《中华人民共和国建筑法》</w:t>
            </w:r>
          </w:p>
          <w:p>
            <w:pPr>
              <w:pStyle w:val="null3"/>
            </w:pPr>
            <w:r>
              <w:rPr>
                <w:rFonts w:ascii="仿宋_GB2312" w:hAnsi="仿宋_GB2312" w:cs="仿宋_GB2312" w:eastAsia="仿宋_GB2312"/>
              </w:rPr>
              <w:t>（</w:t>
            </w:r>
            <w:r>
              <w:rPr>
                <w:rFonts w:ascii="仿宋_GB2312" w:hAnsi="仿宋_GB2312" w:cs="仿宋_GB2312" w:eastAsia="仿宋_GB2312"/>
              </w:rPr>
              <w:t>2）《给水排水管道工程施工及验收规范》（GB50268-2008）</w:t>
            </w:r>
          </w:p>
          <w:p>
            <w:pPr>
              <w:pStyle w:val="null3"/>
            </w:pPr>
            <w:r>
              <w:rPr>
                <w:rFonts w:ascii="仿宋_GB2312" w:hAnsi="仿宋_GB2312" w:cs="仿宋_GB2312" w:eastAsia="仿宋_GB2312"/>
              </w:rPr>
              <w:t>（</w:t>
            </w:r>
            <w:r>
              <w:rPr>
                <w:rFonts w:ascii="仿宋_GB2312" w:hAnsi="仿宋_GB2312" w:cs="仿宋_GB2312" w:eastAsia="仿宋_GB2312"/>
              </w:rPr>
              <w:t>3）《建设工程质量管理条例》（国务院279号）</w:t>
            </w:r>
          </w:p>
          <w:p>
            <w:pPr>
              <w:pStyle w:val="null3"/>
            </w:pPr>
            <w:r>
              <w:rPr>
                <w:rFonts w:ascii="仿宋_GB2312" w:hAnsi="仿宋_GB2312" w:cs="仿宋_GB2312" w:eastAsia="仿宋_GB2312"/>
              </w:rPr>
              <w:t>（</w:t>
            </w:r>
            <w:r>
              <w:rPr>
                <w:rFonts w:ascii="仿宋_GB2312" w:hAnsi="仿宋_GB2312" w:cs="仿宋_GB2312" w:eastAsia="仿宋_GB2312"/>
              </w:rPr>
              <w:t>4）《建设工程安全生产管理条例》（国务院393号）</w:t>
            </w:r>
          </w:p>
          <w:p>
            <w:pPr>
              <w:pStyle w:val="null3"/>
            </w:pPr>
            <w:r>
              <w:rPr>
                <w:rFonts w:ascii="仿宋_GB2312" w:hAnsi="仿宋_GB2312" w:cs="仿宋_GB2312" w:eastAsia="仿宋_GB2312"/>
              </w:rPr>
              <w:t>备注：凡涉及的相关规范，国家有最新标准的以最新标准为准。</w:t>
            </w:r>
          </w:p>
          <w:p>
            <w:pPr>
              <w:pStyle w:val="null3"/>
            </w:pPr>
            <w:r>
              <w:rPr>
                <w:rFonts w:ascii="仿宋_GB2312" w:hAnsi="仿宋_GB2312" w:cs="仿宋_GB2312" w:eastAsia="仿宋_GB2312"/>
              </w:rPr>
              <w:t>三、工程指标的具体要求：</w:t>
            </w:r>
          </w:p>
          <w:p>
            <w:pPr>
              <w:pStyle w:val="null3"/>
            </w:pPr>
            <w:r>
              <w:rPr>
                <w:rFonts w:ascii="仿宋_GB2312" w:hAnsi="仿宋_GB2312" w:cs="仿宋_GB2312" w:eastAsia="仿宋_GB2312"/>
              </w:rPr>
              <w:t>1、质量标准：达到国家、省市或相关行业规范“合格”标准要求。</w:t>
            </w:r>
          </w:p>
          <w:p>
            <w:pPr>
              <w:pStyle w:val="null3"/>
            </w:pPr>
            <w:r>
              <w:rPr>
                <w:rFonts w:ascii="仿宋_GB2312" w:hAnsi="仿宋_GB2312" w:cs="仿宋_GB2312" w:eastAsia="仿宋_GB2312"/>
              </w:rPr>
              <w:t>2、工程项目建设相关要求:满足</w:t>
            </w:r>
            <w:r>
              <w:rPr>
                <w:rFonts w:ascii="仿宋_GB2312" w:hAnsi="仿宋_GB2312" w:cs="仿宋_GB2312" w:eastAsia="仿宋_GB2312"/>
              </w:rPr>
              <w:t>西安高新区光夏路雨污水管道建设项目</w:t>
            </w:r>
            <w:r>
              <w:rPr>
                <w:rFonts w:ascii="仿宋_GB2312" w:hAnsi="仿宋_GB2312" w:cs="仿宋_GB2312" w:eastAsia="仿宋_GB2312"/>
              </w:rPr>
              <w:t>安全运行要求，提前预防事故，最终达到安全管理的目的。</w:t>
            </w:r>
          </w:p>
          <w:p>
            <w:pPr>
              <w:pStyle w:val="null3"/>
            </w:pPr>
            <w:r>
              <w:rPr>
                <w:rFonts w:ascii="仿宋_GB2312" w:hAnsi="仿宋_GB2312" w:cs="仿宋_GB2312" w:eastAsia="仿宋_GB2312"/>
              </w:rPr>
              <w:t>四、拟投入本项目的预算</w:t>
            </w:r>
          </w:p>
          <w:p>
            <w:pPr>
              <w:pStyle w:val="null3"/>
            </w:pPr>
            <w:r>
              <w:rPr>
                <w:rFonts w:ascii="仿宋_GB2312" w:hAnsi="仿宋_GB2312" w:cs="仿宋_GB2312" w:eastAsia="仿宋_GB2312"/>
              </w:rPr>
              <w:t>本项目采购预算：</w:t>
            </w:r>
            <w:r>
              <w:rPr>
                <w:rFonts w:ascii="仿宋_GB2312" w:hAnsi="仿宋_GB2312" w:cs="仿宋_GB2312" w:eastAsia="仿宋_GB2312"/>
              </w:rPr>
              <w:t>110.63</w:t>
            </w:r>
            <w:r>
              <w:rPr>
                <w:rFonts w:ascii="仿宋_GB2312" w:hAnsi="仿宋_GB2312" w:cs="仿宋_GB2312" w:eastAsia="仿宋_GB2312"/>
              </w:rPr>
              <w:t>00万</w:t>
            </w:r>
            <w:r>
              <w:rPr>
                <w:rFonts w:ascii="仿宋_GB2312" w:hAnsi="仿宋_GB2312" w:cs="仿宋_GB2312" w:eastAsia="仿宋_GB2312"/>
              </w:rPr>
              <w:t>元</w:t>
            </w:r>
          </w:p>
          <w:p>
            <w:pPr>
              <w:pStyle w:val="null3"/>
            </w:pPr>
            <w:r>
              <w:rPr>
                <w:rFonts w:ascii="仿宋_GB2312" w:hAnsi="仿宋_GB2312" w:cs="仿宋_GB2312" w:eastAsia="仿宋_GB2312"/>
              </w:rPr>
              <w:t>五、质量标准</w:t>
            </w:r>
            <w:r>
              <w:rPr>
                <w:rFonts w:ascii="仿宋_GB2312" w:hAnsi="仿宋_GB2312" w:cs="仿宋_GB2312" w:eastAsia="仿宋_GB2312"/>
              </w:rPr>
              <w:t>、效率等要求</w:t>
            </w:r>
          </w:p>
          <w:p>
            <w:pPr>
              <w:pStyle w:val="null3"/>
            </w:pPr>
            <w:r>
              <w:rPr>
                <w:rFonts w:ascii="仿宋_GB2312" w:hAnsi="仿宋_GB2312" w:cs="仿宋_GB2312" w:eastAsia="仿宋_GB2312"/>
              </w:rPr>
              <w:t>质量标准：达到国家、省市或相关行业规范</w:t>
            </w:r>
            <w:r>
              <w:rPr>
                <w:rFonts w:ascii="仿宋_GB2312" w:hAnsi="仿宋_GB2312" w:cs="仿宋_GB2312" w:eastAsia="仿宋_GB2312"/>
              </w:rPr>
              <w:t>“合格”标准要求。</w:t>
            </w:r>
          </w:p>
          <w:p>
            <w:pPr>
              <w:pStyle w:val="null3"/>
            </w:pPr>
            <w:r>
              <w:rPr>
                <w:rFonts w:ascii="仿宋_GB2312" w:hAnsi="仿宋_GB2312" w:cs="仿宋_GB2312" w:eastAsia="仿宋_GB2312"/>
              </w:rPr>
              <w:t>效率：按时保质保量完成采购合同规定的全部工程内容。</w:t>
            </w:r>
          </w:p>
          <w:p>
            <w:pPr>
              <w:pStyle w:val="null3"/>
            </w:pPr>
            <w:r>
              <w:rPr>
                <w:rFonts w:ascii="仿宋_GB2312" w:hAnsi="仿宋_GB2312" w:cs="仿宋_GB2312" w:eastAsia="仿宋_GB2312"/>
              </w:rPr>
              <w:t>六、付款方式</w:t>
            </w:r>
          </w:p>
          <w:p>
            <w:pPr>
              <w:pStyle w:val="null3"/>
            </w:pPr>
            <w:r>
              <w:rPr>
                <w:rFonts w:ascii="仿宋_GB2312" w:hAnsi="仿宋_GB2312" w:cs="仿宋_GB2312" w:eastAsia="仿宋_GB2312"/>
              </w:rPr>
              <w:t>1）合同签订后30日内支付合同价款的30%作为预付款。</w:t>
            </w:r>
          </w:p>
          <w:p>
            <w:pPr>
              <w:pStyle w:val="null3"/>
            </w:pPr>
            <w:r>
              <w:rPr>
                <w:rFonts w:ascii="仿宋_GB2312" w:hAnsi="仿宋_GB2312" w:cs="仿宋_GB2312" w:eastAsia="仿宋_GB2312"/>
              </w:rPr>
              <w:t>2）工程全部完工并由采购人验收合格、结算审核完成后支付至结算金额的</w:t>
            </w:r>
            <w:r>
              <w:rPr>
                <w:rFonts w:ascii="仿宋_GB2312" w:hAnsi="仿宋_GB2312" w:cs="仿宋_GB2312" w:eastAsia="仿宋_GB2312"/>
              </w:rPr>
              <w:t>100</w:t>
            </w:r>
            <w:r>
              <w:rPr>
                <w:rFonts w:ascii="仿宋_GB2312" w:hAnsi="仿宋_GB2312" w:cs="仿宋_GB2312" w:eastAsia="仿宋_GB2312"/>
              </w:rPr>
              <w:t>%。</w:t>
            </w:r>
          </w:p>
          <w:p>
            <w:pPr>
              <w:pStyle w:val="null3"/>
            </w:pPr>
            <w:r>
              <w:rPr>
                <w:rFonts w:ascii="仿宋_GB2312" w:hAnsi="仿宋_GB2312" w:cs="仿宋_GB2312" w:eastAsia="仿宋_GB2312"/>
              </w:rPr>
              <w:t>七、验收标准</w:t>
            </w:r>
          </w:p>
          <w:p>
            <w:pPr>
              <w:pStyle w:val="null3"/>
            </w:pPr>
            <w:r>
              <w:rPr>
                <w:rFonts w:ascii="仿宋_GB2312" w:hAnsi="仿宋_GB2312" w:cs="仿宋_GB2312" w:eastAsia="仿宋_GB2312"/>
              </w:rPr>
              <w:t>1、本工程应按要求完成工程全部内容。</w:t>
            </w:r>
          </w:p>
          <w:p>
            <w:pPr>
              <w:pStyle w:val="null3"/>
            </w:pPr>
            <w:r>
              <w:rPr>
                <w:rFonts w:ascii="仿宋_GB2312" w:hAnsi="仿宋_GB2312" w:cs="仿宋_GB2312" w:eastAsia="仿宋_GB2312"/>
              </w:rPr>
              <w:t>2、本工程验收标准应符合国家相关工程管理规定及行业标准要求。</w:t>
            </w:r>
          </w:p>
          <w:p>
            <w:pPr>
              <w:pStyle w:val="null3"/>
              <w:jc w:val="both"/>
            </w:pPr>
            <w:r>
              <w:rPr>
                <w:rFonts w:ascii="仿宋_GB2312" w:hAnsi="仿宋_GB2312" w:cs="仿宋_GB2312" w:eastAsia="仿宋_GB2312"/>
                <w:sz w:val="21"/>
              </w:rPr>
              <w:t>3、本工程验收标准应达到国家、省市或相关行业规范“合格”标准要求。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国家、省市或相关行业规范“合格”标准要求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务必在开标截止时间30分钟前，通过项目电子化交易系统进行签到，如未进行签到，产生的一切后果由供应商自行承担。（2）供应商的磋商报价包括施工机械使用费、人工费、材料与设备费、维护费、其他（运杂费、质检费、安装费、缺陷修复费、保险费，以及合同明示或暗示的风险、责任和义务等），以及管理费、税金、利润、采购代理服务费等所有费用，并符合建设工程计价规则。 （3）签名是指手写签名或者加盖签名章，盖章是指加盖单位印章。（4）采购标的对应的中小企业划分标准所属行业为建筑业。建筑业的划型标准为：营业收入80000万元以下或资产总额80000万元以下的为中小微型企业。其中，营业收入6000 万元及以上，且资产总额5000万元及以上的为中型企业；营业收入300万元及以上，且资产总额300万元及以上的为小型企 业；营业收入300万元以下或资产总额300万元以下的为微型企业。（5）需要落实的政府采购政策：1）、《国务院办公 厅关于建立政府强制采购节能产品制度的通知》（国办发〔2007〕51号）；2）、《财政部 司法部关于政府采购支持监狱 企业发展有关问题的通知》（财库〔2014〕68号）；3）、《三部门联合发布关于促进残疾人就业政府采购政策的通知》 （财库〔2017〕141号）；4）、《财政部 发展改革委 生态环境部 市场监管总局关于调整优化节能产品、环境标志产品政 府采购执行机制的通知》（财库〔2019〕9号）；5）、《关于运用政府采购政策支持乡村产业振兴的通知》（财库 〔2021〕19号）；6）、《政府采购促进中小企业发展管理办法》（财库〔2020〕46号）；7）、陕西省财政厅关于印 发《陕西省中小企业政府采购信用融资办法》（陕财办采〔2018〕23号）；8）、《关于进一步加大政府采购支持中小企 业力度的通知》（财库〔2022〕19号）；9）、《关于扩大政府采购支持绿色建材促进建筑品质提升政策实施范围的通 知》（财库〔2022〕35号）。（6）因系统设置限制实际支付方式为：1）合同签订后30日内支付合同价款的30%作为预付款；2）工程全部完工并由采购人验收合格、结算审核完成后支付至结算金额的100%。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税收缴纳及社保缴纳证明</w:t>
            </w:r>
          </w:p>
        </w:tc>
        <w:tc>
          <w:tcPr>
            <w:tcW w:type="dxa" w:w="3322"/>
          </w:tcPr>
          <w:p>
            <w:pPr>
              <w:pStyle w:val="null3"/>
            </w:pPr>
            <w:r>
              <w:rPr>
                <w:rFonts w:ascii="仿宋_GB2312" w:hAnsi="仿宋_GB2312" w:cs="仿宋_GB2312" w:eastAsia="仿宋_GB2312"/>
              </w:rPr>
              <w:t>提供2024年至今任意一个月的税收缴纳凭证及社会保险缴纳的凭证。依法免税或不需要缴纳社会保障资金的供应商，应提供相应文件证明其依法免税或不需要缴纳社会保障资金。此项可提供基本资格条件承诺函</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此项可提供基本资格条件承诺函</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具备建设行政主管部门颁发的市政公用工程施工总承包三级及以上资质，且具有有效的安全生产许可证</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专业：注册建造师执业资格（市政公用工程专业） 补充说明：具有有效的安全生产考核合格证（建安B证），在本单位注册，且未担任其他在建工程项目的项目经理</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此项可提供基本资格条件承诺函</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履行合同所必需的设备和专业技术能力书面声明函；此项可提供基本资格条件承诺函；</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被授权人参与磋商时须提供法定代表人授权书、被授权人身份证明及开标前三个月任意一个月本单位的社会保险缴纳证明；法定代表人直接参加磋商的须提供其法定代表人身份证明</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供应商名称与获取竞争性磋商文件登记的单位名称一致</w:t>
            </w:r>
          </w:p>
        </w:tc>
        <w:tc>
          <w:tcPr>
            <w:tcW w:type="dxa" w:w="1661"/>
          </w:tcPr>
          <w:p>
            <w:pPr>
              <w:pStyle w:val="null3"/>
            </w:pPr>
            <w:r>
              <w:rPr>
                <w:rFonts w:ascii="仿宋_GB2312" w:hAnsi="仿宋_GB2312" w:cs="仿宋_GB2312" w:eastAsia="仿宋_GB2312"/>
              </w:rPr>
              <w:t>响应文件封面 已标价工程量清单 项目管理机构组成表 服务方案响应.docx 其他响应格式.docx 中小企业声明函 残疾人福利性单位声明函 供应商类似项目业绩一览表 法定代表人（或负责人）授权书.docx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已标价工程量清单 项目管理机构组成表 服务方案响应.docx 其他响应格式.docx 中小企业声明函 残疾人福利性单位声明函 供应商类似项目业绩一览表 法定代表人（或负责人）授权书.docx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已标价工程量清单 项目管理机构组成表 服务方案响应.docx 其他响应格式.docx 中小企业声明函 残疾人福利性单位声明函 供应商类似项目业绩一览表 法定代表人（或负责人）授权书.docx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报价唯一，未超采购预算或最高限价</w:t>
            </w:r>
          </w:p>
        </w:tc>
        <w:tc>
          <w:tcPr>
            <w:tcW w:type="dxa" w:w="1661"/>
          </w:tcPr>
          <w:p>
            <w:pPr>
              <w:pStyle w:val="null3"/>
            </w:pPr>
            <w:r>
              <w:rPr>
                <w:rFonts w:ascii="仿宋_GB2312" w:hAnsi="仿宋_GB2312" w:cs="仿宋_GB2312" w:eastAsia="仿宋_GB2312"/>
              </w:rPr>
              <w:t>响应文件封面 已标价工程量清单 项目管理机构组成表 服务方案响应.docx 其他响应格式.docx 中小企业声明函 残疾人福利性单位声明函 供应商类似项目业绩一览表 法定代表人（或负责人）授权书.docx 响应函 资格证明文件.docx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方案专门针对本项目编制，符合项目实际情况及实施要求，内容详尽且涵盖角度全面，合理性和可行性强，能够保障项目顺利实施的，得8分; 方案能够针对本项目编制，符合项目实际情况及实施要求，内容详尽且涵盖角度基本全面，有一定的合理性和可行性的，得6分; 方案基本能够针对本项目编制，基本符合项目实际情况及实施要求，内容较宽泛，涵盖角度不够全面，内容基本合理可行的，得4分; 具有方案内容但内容未贴合本项目，内容涵盖角度不够全面且实施有难度的，得3分; 具有方案内容但内容未针对本项目，内容空洞宽泛，基本不具有可实施性，得2分；具有不完整或缺项的措施内容，得1分；未提供措施内容不得分。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措施内容专门针对本项目编制，符合项目实际情况及实施要求，内容详尽且涵盖角度全面，合理性和可行性强，能够保障项目顺利实施的，得8分; 措施内容能够针对本项目编制，符合项目实际情况及实施要求，内容详尽且涵盖角度基本全面，有一定的合理性和可行性的，得6分; 措施内容基本能够针对本项目编制，基本符合项目实际情况及实施要求，内容较详细，涵盖角度较全面，基本合理可行的，得4分; 具有措施内容但措施内容未贴合本项目，措施内容涵盖角度不全面且实施有难度的，得3分；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确保环境保护措施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措施内容专门针对本项目编制，符合项目实际情况及实施要求，内容详尽且涵盖角度全面，合理性和可行性强，能够保障项目顺利实施的，得8分; 措施内容能够针对本项目编制，符合项目实际情况及实施要求，内容详尽且涵盖角度基本全面，有一定的合理性和可行性的，得6分; 措施内容基本能够针对本项目编制，基本符合项目实际情况及实施要求，内容较详细，涵盖角度较全面，基本合理可行的，得4分; 具有措施内容但措施内容未贴合本项目，措施内容涵盖角度不全面且实施有难度的，得3分; 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措施内容专门针对本项目编制，符合项目实际情况及实施要求，内容详尽且涵盖角度全面，合理性和可行性强，能够保障项目顺利实施的，得8分; 措施内容能够针对本项目编制，符合项目实际情况及实施要求，内容详尽且涵盖角度基本全面，有一定的合理性和可行性的，得6分; 措施内容基本能够针对本项目编制，基本符合项目实际情况及实施要求，内容较详细，涵盖角度较全面，基本合理可行的，得4分; 具有措施内容但措施内容未贴合本项目，措施内容涵盖角度不全面且实施有难度的，得3分; 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措施内容专门针对本项目编制，符合项目实际情况及实施要求，内容详尽且涵盖角度全面，合理性和可行性强，能够保障项目顺利实施的，得8分; 措施内容能够针对本项目编制，符合项目实际情况及实施要求，内容详尽且涵盖角度基本全面，有一定的合理性和可行性的，得6分; 措施内容基本能够针对本项目编制，基本符合项目实际情况及实施要求，内容较详细，涵盖角度较全面，基本合理可行的，得4分; 具有措施内容但措施内容未贴合本项目，措施内容涵盖角度不全面且实施有难度的，得3分; 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措施内容专门针对本项目编制，符合项目实际情况及实施要求，内容详尽且涵盖角度全面，合理性和可行性强，能够保障项目顺利实施的，得8分; 措施内容能够针对本项目编制，符合项目实际情况及实施要求，内容详尽且涵盖角度基本全面，有一定的合理性和可行性的，得6分; 措施内容基本能够针对本项目编制，基本符合项目实际情况及实施要求，内容较详细，涵盖角度较全面，基本合理可行的，得4分; 具有措施内容但措施内容未贴合本项目，措施内容涵盖角度不全面且实施有难度的，得3分; 具有措施内容但内容未针对本项目，内容空洞宽泛，可实施性不强，得2分；具有不完整或缺项的措施内容，得1分；未提供措施内容不得分。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项目部拟派人员</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8分；项目部组成基本合理、人员表配置基本齐全，具有人员配置清单，有一定的针对性，能够满足项目需求，得6分；提供项目部组成情况，配置基本合理但组成不全面得4分；项目部组成人员缺乏科学合理性，无人员配置清单，无法满足项目需求，得3分； 项目部组成内容简单笼统得2分；项目部只有人员无其他得1分；未提供项目部组成不得分。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设备配备根据各供应商单位对本项 目配置的施工机械及工器具的配备情况，机械、设备工具数量及条件搭配。机械、设备工具数量及条件搭配科学、合理完全满足需求 得8分；机械、设备工具数量及条件搭配基本科学、合理得6分；机械、设备工具数量满足但搭配不合理得4分；机械、设备工具搭配合理但数量不足得3分；机械、设备工具数量及条件搭配不合理得2分；机械、设备工具数量及条件搭配都不足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应急保障措施的可行性</w:t>
            </w:r>
          </w:p>
        </w:tc>
        <w:tc>
          <w:tcPr>
            <w:tcW w:type="dxa" w:w="2492"/>
          </w:tcPr>
          <w:p>
            <w:pPr>
              <w:pStyle w:val="null3"/>
            </w:pPr>
            <w:r>
              <w:rPr>
                <w:rFonts w:ascii="仿宋_GB2312" w:hAnsi="仿宋_GB2312" w:cs="仿宋_GB2312" w:eastAsia="仿宋_GB2312"/>
              </w:rPr>
              <w:t>根据供应商针对突发事件应急保障措施的可行性（包含恶劣天气影响、自然灾害等特殊情况制定应急处置方案等）。 应急保障措施详尽、内容详尽且涵盖角度全面，合理性和可行性强，保障充分，得8分; 应急保障措施能够针对本项目编制，符合项目实际情况及实施要求，内容详尽且涵盖角度基本全面，有一定的合理性和可行性的，得6分；应急保障措施内容基本能够针对本项目编制，基本符合项目实际情况及实施要求，内容较详细，涵盖角度较全面，基本合理可行的，得4分; 具有应急保障措施内容但内容未贴合本项目，应急保障措施内容涵盖角度不全面且实施有难度的，得3分; 具有应急保障措施内容但内容未针对本项目，内容空洞宽泛，可实施性不强，得2分；具有不完整或缺项的措施内容，得1分；未提供措施内容不得分。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项目完工后的维修服 务及保修承诺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承诺方案专门针对本项目编制，符合项目实际情况及实施要求，内容详尽且涵盖角度全面，合理性和可行性强，保障充分，得8分; 承诺方案能够针对本项目编制，符合项目实际情况及实施要求，内容详尽且涵盖角度基本全面，有一定的合理性和可行性的，得6分；承诺方案内容基本能够针对本项目编制，基本符合项目实际情况及实施要求，内容较详细，涵盖角度较全面，基本合理可行的，得4分; 具有承诺内容但内容未贴合本项目，承诺内容涵盖角度不全面且实施有难度的，得3分; 具有承诺内容但内容未针对本项目，内容空洞宽泛，可实施性不强，得2分；具有不完整或缺项的措施内容，得1分；未提供措施内容不得分。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供应商单位提供自2022年1月1日 以来类似项目业绩，每提供1份得 2分，满分10分。 注：须提供合同 （协议），以 合同（协议）签订时间为准。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服务方案响应.docx</w:t>
            </w:r>
          </w:p>
          <w:p>
            <w:pPr>
              <w:pStyle w:val="null3"/>
            </w:pPr>
            <w:r>
              <w:rPr>
                <w:rFonts w:ascii="仿宋_GB2312" w:hAnsi="仿宋_GB2312" w:cs="仿宋_GB2312" w:eastAsia="仿宋_GB2312"/>
              </w:rPr>
              <w:t>其他响应格式.docx</w:t>
            </w:r>
          </w:p>
          <w:p>
            <w:pPr>
              <w:pStyle w:val="null3"/>
            </w:pPr>
            <w:r>
              <w:rPr>
                <w:rFonts w:ascii="仿宋_GB2312" w:hAnsi="仿宋_GB2312" w:cs="仿宋_GB2312" w:eastAsia="仿宋_GB2312"/>
              </w:rPr>
              <w:t>法定代表人（或负责人）授权书.docx</w:t>
            </w:r>
          </w:p>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服务方案响应.docx 其他响应格式.docx 中小企业声明函 资格证明文件.docx 响应文件封面 项目管理机构组成表 残疾人福利性单位声明函 报价函 标的清单 供应商类似项目业绩一览表 法定代表人（或负责人）授权书.docx 响应函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详见附件：服务方案响应.docx</w:t>
      </w:r>
    </w:p>
    <w:p>
      <w:pPr>
        <w:pStyle w:val="null3"/>
        <w:ind w:firstLine="960"/>
      </w:pPr>
      <w:r>
        <w:rPr>
          <w:rFonts w:ascii="仿宋_GB2312" w:hAnsi="仿宋_GB2312" w:cs="仿宋_GB2312" w:eastAsia="仿宋_GB2312"/>
        </w:rPr>
        <w:t>详见附件：其他响应格式.docx</w:t>
      </w:r>
    </w:p>
    <w:p>
      <w:pPr>
        <w:pStyle w:val="null3"/>
        <w:ind w:firstLine="960"/>
      </w:pPr>
      <w:r>
        <w:rPr>
          <w:rFonts w:ascii="仿宋_GB2312" w:hAnsi="仿宋_GB2312" w:cs="仿宋_GB2312" w:eastAsia="仿宋_GB2312"/>
        </w:rPr>
        <w:t>详见附件：法定代表人（或负责人）授权书.docx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