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版本号：SXHC2025-26520251011001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西安高新区管委会机房运维服务项目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SXHC2025-265</w:t>
      </w:r>
      <w:r>
        <w:br/>
      </w:r>
      <w:r>
        <w:br/>
      </w:r>
      <w:r>
        <w:br/>
      </w:r>
    </w:p>
    <w:p>
      <w:pPr>
        <w:pStyle w:val="null3"/>
        <w:jc w:val="center"/>
        <w:outlineLvl w:val="2"/>
      </w:pPr>
      <w:r>
        <w:rPr>
          <w:rFonts w:ascii="仿宋_GB2312" w:hAnsi="仿宋_GB2312" w:cs="仿宋_GB2312" w:eastAsia="仿宋_GB2312"/>
          <w:sz w:val="28"/>
          <w:b/>
        </w:rPr>
        <w:t>西安高新技术产业开发区工业和信息化局</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西安高新技术产业开发区工业和信息化局</w:t>
      </w:r>
      <w:r>
        <w:rPr>
          <w:rFonts w:ascii="仿宋_GB2312" w:hAnsi="仿宋_GB2312" w:cs="仿宋_GB2312" w:eastAsia="仿宋_GB2312"/>
        </w:rPr>
        <w:t>委托，拟对</w:t>
      </w:r>
      <w:r>
        <w:rPr>
          <w:rFonts w:ascii="仿宋_GB2312" w:hAnsi="仿宋_GB2312" w:cs="仿宋_GB2312" w:eastAsia="仿宋_GB2312"/>
        </w:rPr>
        <w:t>西安高新区管委会机房运维服务项目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SXHC2025-265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西安高新区管委会机房运维服务项目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强化机房硬件基础方面的可靠性与安全性，完善和提高现有设备的使用效率和管理水平，亟需引入专业数据中心运维管理服务供应商，通过其提供的专业化、规范化运维服务，有效优化网络系统性能，增强安全性、可靠性和可维护性；延长设备使用寿命，提高资源利用率；降低系统故障率与整体维护成本。</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采购包1（西安高新管委会机房运维服务项目）：属于专门面向中小企业采购。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西安高新技术产业开发区工业和信息化局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西安高新区成章路丝路创智谷5号楼6层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029-88333822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潘聪、张聪聪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成交金额为基数，参考《国家计委关于印发&lt;招标代理服务收费管理暂行办法&gt;的通知》（计价格〔2002〕1980号）及《国家发改委关于降低部分建设项目收费标准规范收费行为等有关问题的通知（发改价格〔2011〕534号）规定按标准收取。 （2）招标代理服务费可以采取现金、支票、银行汇票、电汇、网银等方式缴纳。 （3）招标代理服务费缴纳信息： 银行户名：陕西华采招标有限公司 开户银行：招商银行陕西自贸试验区西安高新科技支行 账 号：1299 0594 2210 666 联 系人：韩工 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西安高新技术产业开发区工业和信息化局</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西安高新技术产业开发区工业和信息化局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西安高新技术产业开发区工业和信息化局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联系电话：029-68255920转806</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加强管委会机房硬件基础设施的可靠性与安全性，提高现有设备的使用效率和管理水平。通过引入专业的数据中心运维管理服务供应商，其提供专业化、规范化运维服务，优化现有网络系统性能，增强安全性、可靠性和可维护性；延长设备使用寿命，提高资源利用率；降低系统故障率与整体维护成本。</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1,810,000.00</w:t>
      </w:r>
    </w:p>
    <w:p>
      <w:pPr>
        <w:pStyle w:val="null3"/>
      </w:pPr>
      <w:r>
        <w:rPr>
          <w:rFonts w:ascii="仿宋_GB2312" w:hAnsi="仿宋_GB2312" w:cs="仿宋_GB2312" w:eastAsia="仿宋_GB2312"/>
        </w:rPr>
        <w:t>采购包最高限价（元）: 1,810,000.00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西安高新区管委会机房运维服务项目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标的名称：西安高新区管委会机房运维服务项目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pPr>
            <w:r>
              <w:rPr>
                <w:rFonts w:ascii="仿宋_GB2312" w:hAnsi="仿宋_GB2312" w:cs="仿宋_GB2312" w:eastAsia="仿宋_GB2312"/>
                <w:sz w:val="16"/>
                <w:b/>
              </w:rPr>
              <w:t>一、项目概述</w:t>
            </w:r>
          </w:p>
          <w:p>
            <w:pPr>
              <w:pStyle w:val="null3"/>
              <w:ind w:firstLine="560"/>
            </w:pPr>
            <w:r>
              <w:rPr>
                <w:rFonts w:ascii="仿宋_GB2312" w:hAnsi="仿宋_GB2312" w:cs="仿宋_GB2312" w:eastAsia="仿宋_GB2312"/>
                <w:sz w:val="16"/>
              </w:rPr>
              <w:t>（一）项目背景</w:t>
            </w:r>
          </w:p>
          <w:p>
            <w:pPr>
              <w:pStyle w:val="null3"/>
              <w:ind w:firstLine="560"/>
            </w:pPr>
            <w:r>
              <w:rPr>
                <w:rFonts w:ascii="仿宋_GB2312" w:hAnsi="仿宋_GB2312" w:cs="仿宋_GB2312" w:eastAsia="仿宋_GB2312"/>
              </w:rPr>
              <w:t>西安高新区管委会目前有软件新城机房和都市之门机房， 机房自投入使用以来，为IT设备的运行提供了可靠稳定的运行环境，随着设备精密性不断提高，各业务对IT技术的依赖不断增强，对机房供配电系统及基础环境的稳定性提出更高的要求，不仅要求IT服务持续不间断地支持业务运营，而且要求IT服务能够挖掘甚至创造更多新机遇，助力业务目标达成。当前，高新区管委会配套机房的日常运营管理及运维保障工作，由管委会自行管理，需要持续投入专业技术人力、较高资金及时间成本以维持平台的运转和服务提供。这样不仅增加了用户自行管理难度，也降低了数据中心资源利用率，同时，非专业的管理和运维会增加设备故障风险，可能造成严重损失。为强化机房硬件基础方面的可靠性与安全性，完善和提高现有设备的使用效率和管理水平，亟需引入专业数据中心运维管理服务供应商，通过其提供的专业化、规范化运维服务，有效优化网络系统性能，增强安全性、可靠性和可维护性；延长设备使用寿命，提高资源利用率；降低系统故障率与整体维护成本。</w:t>
            </w:r>
          </w:p>
          <w:p>
            <w:pPr>
              <w:pStyle w:val="null3"/>
              <w:ind w:firstLine="560"/>
            </w:pPr>
            <w:r>
              <w:rPr>
                <w:rFonts w:ascii="仿宋_GB2312" w:hAnsi="仿宋_GB2312" w:cs="仿宋_GB2312" w:eastAsia="仿宋_GB2312"/>
              </w:rPr>
              <w:t>（二）服务目标</w:t>
            </w:r>
          </w:p>
          <w:p>
            <w:pPr>
              <w:pStyle w:val="null3"/>
              <w:ind w:firstLine="560"/>
            </w:pPr>
            <w:r>
              <w:rPr>
                <w:rFonts w:ascii="仿宋_GB2312" w:hAnsi="仿宋_GB2312" w:cs="仿宋_GB2312" w:eastAsia="仿宋_GB2312"/>
              </w:rPr>
              <w:t>结合高新区管委会的实际业务情况，最终实现并提供：高新区管委会都市之门机房、软件新城机房的动力环境设备维保服务，软件新城机房的业务平台设备的维保服务以及机房基础运维服务。</w:t>
            </w:r>
          </w:p>
          <w:p>
            <w:pPr>
              <w:pStyle w:val="null3"/>
              <w:ind w:firstLine="560"/>
            </w:pPr>
            <w:r>
              <w:rPr>
                <w:rFonts w:ascii="仿宋_GB2312" w:hAnsi="仿宋_GB2312" w:cs="仿宋_GB2312" w:eastAsia="仿宋_GB2312"/>
              </w:rPr>
              <w:t>（三）机房业务现状</w:t>
            </w:r>
          </w:p>
          <w:p>
            <w:pPr>
              <w:pStyle w:val="null3"/>
              <w:ind w:firstLine="560"/>
            </w:pPr>
            <w:r>
              <w:rPr>
                <w:rFonts w:ascii="仿宋_GB2312" w:hAnsi="仿宋_GB2312" w:cs="仿宋_GB2312" w:eastAsia="仿宋_GB2312"/>
              </w:rPr>
              <w:t>1、机房基本概况</w:t>
            </w:r>
          </w:p>
          <w:p>
            <w:pPr>
              <w:pStyle w:val="null3"/>
              <w:ind w:firstLine="560"/>
            </w:pPr>
            <w:r>
              <w:rPr>
                <w:rFonts w:ascii="仿宋_GB2312" w:hAnsi="仿宋_GB2312" w:cs="仿宋_GB2312" w:eastAsia="仿宋_GB2312"/>
              </w:rPr>
              <w:t>软件新城机房位于西安市高新区天谷八路。软件新城机房与管委会都市之门现有机房、科技二路软件园机房形成光缆环网，互为备份，作为管委会网络和应用系统的同城灾备机房，同时，机房也作为软件新城区域两个核心汇接机房之一，为软件新城的中小企业提供服务器托管、应用系统平台和互联网接入等服务，机房以高质量、高度安全性、高可靠性、并具有灵活扩展特性，成为高新区信息化综合服务的主要平台之一。</w:t>
            </w:r>
          </w:p>
          <w:p>
            <w:pPr>
              <w:pStyle w:val="null3"/>
              <w:ind w:firstLine="560"/>
            </w:pPr>
            <w:r>
              <w:rPr>
                <w:rFonts w:ascii="仿宋_GB2312" w:hAnsi="仿宋_GB2312" w:cs="仿宋_GB2312" w:eastAsia="仿宋_GB2312"/>
              </w:rPr>
              <w:t>2、机房网络接入</w:t>
            </w:r>
          </w:p>
          <w:p>
            <w:pPr>
              <w:pStyle w:val="null3"/>
              <w:ind w:firstLine="560"/>
            </w:pPr>
            <w:r>
              <w:rPr>
                <w:rFonts w:ascii="仿宋_GB2312" w:hAnsi="仿宋_GB2312" w:cs="仿宋_GB2312" w:eastAsia="仿宋_GB2312"/>
              </w:rPr>
              <w:t>为解决多运营商网络之间互访不畅等问题，整合现有资源。充分发挥“高新技术领先”的优势，数据中心引入BGP以承载各业务平台。目前为万兆BGP双路接入，限速500M带宽。</w:t>
            </w:r>
          </w:p>
          <w:p>
            <w:pPr>
              <w:pStyle w:val="null3"/>
              <w:ind w:firstLine="560"/>
            </w:pPr>
            <w:r>
              <w:rPr>
                <w:rFonts w:ascii="仿宋_GB2312" w:hAnsi="仿宋_GB2312" w:cs="仿宋_GB2312" w:eastAsia="仿宋_GB2312"/>
              </w:rPr>
              <w:t>3、机房业务平台</w:t>
            </w:r>
          </w:p>
          <w:p>
            <w:pPr>
              <w:pStyle w:val="null3"/>
              <w:ind w:firstLine="560"/>
            </w:pPr>
            <w:r>
              <w:rPr>
                <w:rFonts w:ascii="仿宋_GB2312" w:hAnsi="仿宋_GB2312" w:cs="仿宋_GB2312" w:eastAsia="仿宋_GB2312"/>
              </w:rPr>
              <w:t>目前，高新区管委会电子政务云平台运行在软件新城机房，平台包含:计算资源池，存储资源池，网络资源池，备份资源池等业务板块，依赖底层大量的服务器、存储、网络、安全等设备支持，这些设备的日常管理、运维以及维保服务等存在大量运维工作。</w:t>
            </w:r>
          </w:p>
          <w:p>
            <w:pPr>
              <w:pStyle w:val="null3"/>
              <w:ind w:firstLine="560"/>
            </w:pPr>
            <w:r>
              <w:rPr>
                <w:rFonts w:ascii="仿宋_GB2312" w:hAnsi="仿宋_GB2312" w:cs="仿宋_GB2312" w:eastAsia="仿宋_GB2312"/>
              </w:rPr>
              <w:t>4、机房网络安全</w:t>
            </w:r>
          </w:p>
          <w:p>
            <w:pPr>
              <w:pStyle w:val="null3"/>
              <w:ind w:firstLine="560"/>
            </w:pPr>
            <w:r>
              <w:rPr>
                <w:rFonts w:ascii="仿宋_GB2312" w:hAnsi="仿宋_GB2312" w:cs="仿宋_GB2312" w:eastAsia="仿宋_GB2312"/>
              </w:rPr>
              <w:t>数据中心通过网络为政务部门用户、企业用户、社会公众提供服务，面临来自互联网及政务外网的安全威胁，如各种类型的DdoS攻击和用户数据遭窃听和篡改等，建立整体安全防御系统，从物理和逻辑层面抵御这些安全威胁，是数据中心安全可靠运营的前提保障。数据中心从“网络隔离、攻击防护、传输安全、应用安全和管理安全”等多个安全角度考虑，为用户打造安全的数据中心网络。</w:t>
            </w:r>
          </w:p>
          <w:p>
            <w:pPr>
              <w:pStyle w:val="null3"/>
              <w:ind w:firstLine="560"/>
            </w:pPr>
            <w:r>
              <w:rPr>
                <w:rFonts w:ascii="仿宋_GB2312" w:hAnsi="仿宋_GB2312" w:cs="仿宋_GB2312" w:eastAsia="仿宋_GB2312"/>
              </w:rPr>
              <w:t>根据数据中心不同业务功能区域之间的隔离需求，将数据中心的网络按照功能的不同分成多个业务区域，各业务区域之间实现网络的不同程度隔离。</w:t>
            </w:r>
          </w:p>
          <w:p>
            <w:pPr>
              <w:pStyle w:val="null3"/>
              <w:ind w:firstLine="560"/>
            </w:pPr>
            <w:r>
              <w:rPr>
                <w:rFonts w:ascii="仿宋_GB2312" w:hAnsi="仿宋_GB2312" w:cs="仿宋_GB2312" w:eastAsia="仿宋_GB2312"/>
              </w:rPr>
              <w:t>5、机房动环系统概况</w:t>
            </w:r>
          </w:p>
          <w:p>
            <w:pPr>
              <w:pStyle w:val="null3"/>
              <w:ind w:firstLine="560"/>
            </w:pPr>
            <w:r>
              <w:rPr>
                <w:rFonts w:ascii="仿宋_GB2312" w:hAnsi="仿宋_GB2312" w:cs="仿宋_GB2312" w:eastAsia="仿宋_GB2312"/>
              </w:rPr>
              <w:t>目前，软件新城机房与管委会都市之门机房都建立有完备的动力环境系统，包含：空调系统、机房新风排烟系统、低压配电设备系统、消防系统、门禁系统、监控视频系统、UPS系统、监控动环系统。</w:t>
            </w:r>
          </w:p>
          <w:p>
            <w:pPr>
              <w:pStyle w:val="null3"/>
              <w:ind w:firstLine="562"/>
            </w:pPr>
            <w:r>
              <w:rPr>
                <w:rFonts w:ascii="仿宋_GB2312" w:hAnsi="仿宋_GB2312" w:cs="仿宋_GB2312" w:eastAsia="仿宋_GB2312"/>
                <w:b/>
              </w:rPr>
              <w:t>二、运维服务需求</w:t>
            </w:r>
          </w:p>
          <w:p>
            <w:pPr>
              <w:pStyle w:val="null3"/>
              <w:ind w:firstLine="560"/>
            </w:pPr>
            <w:r>
              <w:rPr>
                <w:rFonts w:ascii="仿宋_GB2312" w:hAnsi="仿宋_GB2312" w:cs="仿宋_GB2312" w:eastAsia="仿宋_GB2312"/>
              </w:rPr>
              <w:t>（一）总体需求</w:t>
            </w:r>
          </w:p>
          <w:p>
            <w:pPr>
              <w:pStyle w:val="null3"/>
              <w:ind w:firstLine="560"/>
            </w:pPr>
            <w:r>
              <w:rPr>
                <w:rFonts w:ascii="仿宋_GB2312" w:hAnsi="仿宋_GB2312" w:cs="仿宋_GB2312" w:eastAsia="仿宋_GB2312"/>
              </w:rPr>
              <w:t>西安高新区管委会机房，服务对象包括高新区各个委办局、街道办与社区,拥有先进网络设备与稳定的机房环境是必不可少的基础。</w:t>
            </w:r>
          </w:p>
          <w:p>
            <w:pPr>
              <w:pStyle w:val="null3"/>
              <w:ind w:firstLine="560"/>
            </w:pPr>
            <w:r>
              <w:rPr>
                <w:rFonts w:ascii="仿宋_GB2312" w:hAnsi="仿宋_GB2312" w:cs="仿宋_GB2312" w:eastAsia="仿宋_GB2312"/>
              </w:rPr>
              <w:t>通过专业化、规范化管理，保证机房整体的稳定运转，增加其安全性、可靠性和可维护性；延长系统设备的使用寿命，降低系统的故障率和维护成本；使其发挥更大的价值。</w:t>
            </w:r>
          </w:p>
          <w:p>
            <w:pPr>
              <w:pStyle w:val="null3"/>
              <w:ind w:firstLine="560"/>
            </w:pPr>
            <w:r>
              <w:rPr>
                <w:rFonts w:ascii="仿宋_GB2312" w:hAnsi="仿宋_GB2312" w:cs="仿宋_GB2312" w:eastAsia="仿宋_GB2312"/>
              </w:rPr>
              <w:t>1、确保高新区都市之门机房和软件新城机房正常运作，通过对机房环境设备定期检测、网络系统和服务器、存储等设备的定期维护保养，保障机房各设备运行稳定，延长设备生命周期，降低故障率。</w:t>
            </w:r>
          </w:p>
          <w:p>
            <w:pPr>
              <w:pStyle w:val="null3"/>
              <w:ind w:firstLine="560"/>
            </w:pPr>
            <w:r>
              <w:rPr>
                <w:rFonts w:ascii="仿宋_GB2312" w:hAnsi="仿宋_GB2312" w:cs="仿宋_GB2312" w:eastAsia="仿宋_GB2312"/>
              </w:rPr>
              <w:t>2、西安高新区管委会政务云平台的基础软硬件设备正常运行下，确保可及时得到设备生产厂家或供应商的产品维修和技术支持，并快速解决故障。</w:t>
            </w:r>
          </w:p>
          <w:p>
            <w:pPr>
              <w:pStyle w:val="null3"/>
              <w:ind w:firstLine="560"/>
            </w:pPr>
            <w:r>
              <w:rPr>
                <w:rFonts w:ascii="仿宋_GB2312" w:hAnsi="仿宋_GB2312" w:cs="仿宋_GB2312" w:eastAsia="仿宋_GB2312"/>
              </w:rPr>
              <w:t>3、对西安高新区管委会数据中心进行科学合理的管理，从而保证机房日常提供服务的能力，并能够满足不断增长的应用需要。</w:t>
            </w:r>
          </w:p>
          <w:p>
            <w:pPr>
              <w:pStyle w:val="null3"/>
              <w:ind w:firstLine="560"/>
            </w:pPr>
            <w:r>
              <w:rPr>
                <w:rFonts w:ascii="仿宋_GB2312" w:hAnsi="仿宋_GB2312" w:cs="仿宋_GB2312" w:eastAsia="仿宋_GB2312"/>
              </w:rPr>
              <w:t>（二）业务平台软硬件设备运维服务需求</w:t>
            </w:r>
          </w:p>
          <w:p>
            <w:pPr>
              <w:pStyle w:val="null3"/>
              <w:ind w:firstLine="562"/>
            </w:pPr>
            <w:r>
              <w:rPr>
                <w:rFonts w:ascii="仿宋_GB2312" w:hAnsi="仿宋_GB2312" w:cs="仿宋_GB2312" w:eastAsia="仿宋_GB2312"/>
                <w:b/>
              </w:rPr>
              <w:t>1、业务平台设备维保需求</w:t>
            </w:r>
          </w:p>
          <w:p>
            <w:pPr>
              <w:pStyle w:val="null3"/>
              <w:ind w:firstLine="560"/>
            </w:pPr>
            <w:r>
              <w:rPr>
                <w:rFonts w:ascii="仿宋_GB2312" w:hAnsi="仿宋_GB2312" w:cs="仿宋_GB2312" w:eastAsia="仿宋_GB2312"/>
              </w:rPr>
              <w:t>基于现有业务平台的软硬件资源,需要运维服务提供商提供整个业务平台支撑设备的维保服务：包括各类软硬件设备的维保续保服务，保证提供原厂的专业服务为设备提供技术支持。</w:t>
            </w:r>
          </w:p>
          <w:p>
            <w:pPr>
              <w:pStyle w:val="null3"/>
              <w:ind w:firstLine="562"/>
            </w:pPr>
            <w:r>
              <w:rPr>
                <w:rFonts w:ascii="仿宋_GB2312" w:hAnsi="仿宋_GB2312" w:cs="仿宋_GB2312" w:eastAsia="仿宋_GB2312"/>
                <w:b/>
              </w:rPr>
              <w:t>运维设备</w:t>
            </w:r>
            <w:r>
              <w:rPr>
                <w:rFonts w:ascii="仿宋_GB2312" w:hAnsi="仿宋_GB2312" w:cs="仿宋_GB2312" w:eastAsia="仿宋_GB2312"/>
                <w:b/>
              </w:rPr>
              <w:t>清单：</w:t>
            </w:r>
          </w:p>
          <w:tbl>
            <w:tblPr>
              <w:tblBorders>
                <w:top w:val="none" w:color="000000" w:sz="4"/>
                <w:left w:val="none" w:color="000000" w:sz="4"/>
                <w:bottom w:val="none" w:color="000000" w:sz="4"/>
                <w:right w:val="none" w:color="000000" w:sz="4"/>
                <w:insideH w:val="none"/>
                <w:insideV w:val="none"/>
              </w:tblBorders>
            </w:tblPr>
            <w:tblGrid>
              <w:gridCol w:w="233"/>
              <w:gridCol w:w="538"/>
              <w:gridCol w:w="1526"/>
              <w:gridCol w:w="249"/>
              <w:gridCol w:w="249"/>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分类</w:t>
                  </w:r>
                </w:p>
              </w:tc>
              <w:tc>
                <w:tcPr>
                  <w:tcW w:type="dxa" w:w="5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运维服务对象</w:t>
                  </w:r>
                </w:p>
              </w:tc>
              <w:tc>
                <w:tcPr>
                  <w:tcW w:type="dxa" w:w="15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运维服务内容</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单位</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数量</w:t>
                  </w:r>
                </w:p>
              </w:tc>
            </w:tr>
            <w:tr>
              <w:tc>
                <w:tcPr>
                  <w:tcW w:type="dxa" w:w="2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云平台</w:t>
                  </w:r>
                  <w:r>
                    <w:br/>
                  </w:r>
                  <w:r>
                    <w:rPr>
                      <w:rFonts w:ascii="仿宋_GB2312" w:hAnsi="仿宋_GB2312" w:cs="仿宋_GB2312" w:eastAsia="仿宋_GB2312"/>
                      <w:sz w:val="19"/>
                      <w:b/>
                      <w:color w:val="000000"/>
                    </w:rPr>
                    <w:t>设备</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刀片服务器</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曙光TC4600T G3设备一年维保及原厂服务。</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233"/>
                  <w:vMerge/>
                  <w:tcBorders>
                    <w:top w:val="none" w:color="000000" w:sz="4"/>
                    <w:left w:val="single" w:color="000000" w:sz="4"/>
                    <w:bottom w:val="single" w:color="000000" w:sz="4"/>
                    <w:right w:val="single" w:color="000000" w:sz="4"/>
                  </w:tcBorders>
                </w:tc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刀片服务器</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曙光CX50-G35设备一年维保及原厂服务。</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r>
            <w:tr>
              <w:tc>
                <w:tcPr>
                  <w:tcW w:type="dxa" w:w="233"/>
                  <w:vMerge/>
                  <w:tcBorders>
                    <w:top w:val="none" w:color="000000" w:sz="4"/>
                    <w:left w:val="single" w:color="000000" w:sz="4"/>
                    <w:bottom w:val="single" w:color="000000" w:sz="4"/>
                    <w:right w:val="single" w:color="000000" w:sz="4"/>
                  </w:tcBorders>
                </w:tc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阵列存储</w:t>
                  </w:r>
                </w:p>
                <w:p>
                  <w:pPr>
                    <w:pStyle w:val="null3"/>
                    <w:jc w:val="center"/>
                  </w:pPr>
                  <w:r>
                    <w:rPr>
                      <w:rFonts w:ascii="仿宋_GB2312" w:hAnsi="仿宋_GB2312" w:cs="仿宋_GB2312" w:eastAsia="仿宋_GB2312"/>
                      <w:sz w:val="19"/>
                      <w:color w:val="000000"/>
                    </w:rPr>
                    <w:t>设备</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曙光DS800-G30H设备一年维保及原厂服务。</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233"/>
                  <w:vMerge/>
                  <w:tcBorders>
                    <w:top w:val="none" w:color="000000" w:sz="4"/>
                    <w:left w:val="single" w:color="000000" w:sz="4"/>
                    <w:bottom w:val="single" w:color="000000" w:sz="4"/>
                    <w:right w:val="single" w:color="000000" w:sz="4"/>
                  </w:tcBorders>
                </w:tc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云平台软件</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深信服云平台软件一年的升级维保及原厂服务。</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r>
            <w:tr>
              <w:tc>
                <w:tcPr>
                  <w:tcW w:type="dxa" w:w="233"/>
                  <w:vMerge/>
                  <w:tcBorders>
                    <w:top w:val="none" w:color="000000" w:sz="4"/>
                    <w:left w:val="single" w:color="000000" w:sz="4"/>
                    <w:bottom w:val="single" w:color="000000" w:sz="4"/>
                    <w:right w:val="single" w:color="000000" w:sz="4"/>
                  </w:tcBorders>
                </w:tcP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虚拟化软件</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深信服虚拟化软件一年的升级维保及原厂服务。</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r>
          </w:tbl>
          <w:p>
            <w:pPr>
              <w:pStyle w:val="null3"/>
              <w:ind w:firstLine="562"/>
            </w:pPr>
            <w:r>
              <w:rPr>
                <w:rFonts w:ascii="仿宋_GB2312" w:hAnsi="仿宋_GB2312" w:cs="仿宋_GB2312" w:eastAsia="仿宋_GB2312"/>
                <w:b/>
              </w:rPr>
              <w:t>2、安全设备维保需求</w:t>
            </w:r>
          </w:p>
          <w:p>
            <w:pPr>
              <w:pStyle w:val="null3"/>
              <w:ind w:firstLine="560"/>
            </w:pPr>
            <w:r>
              <w:rPr>
                <w:rFonts w:ascii="仿宋_GB2312" w:hAnsi="仿宋_GB2312" w:cs="仿宋_GB2312" w:eastAsia="仿宋_GB2312"/>
              </w:rPr>
              <w:t>基于现有业务平台的网络安全资源，对机房及云平台的安全设备提供维保服务，保证政务云平台的网络安全、主机安全、云管理平台安全以及业务安全。</w:t>
            </w:r>
          </w:p>
          <w:p>
            <w:pPr>
              <w:pStyle w:val="null3"/>
              <w:ind w:firstLine="562"/>
            </w:pPr>
            <w:r>
              <w:rPr>
                <w:rFonts w:ascii="仿宋_GB2312" w:hAnsi="仿宋_GB2312" w:cs="仿宋_GB2312" w:eastAsia="仿宋_GB2312"/>
                <w:b/>
              </w:rPr>
              <w:t>运维设备</w:t>
            </w:r>
            <w:r>
              <w:rPr>
                <w:rFonts w:ascii="仿宋_GB2312" w:hAnsi="仿宋_GB2312" w:cs="仿宋_GB2312" w:eastAsia="仿宋_GB2312"/>
                <w:b/>
              </w:rPr>
              <w:t>清单：</w:t>
            </w:r>
          </w:p>
          <w:tbl>
            <w:tblPr>
              <w:tblBorders>
                <w:top w:val="none" w:color="000000" w:sz="4"/>
                <w:left w:val="none" w:color="000000" w:sz="4"/>
                <w:bottom w:val="none" w:color="000000" w:sz="4"/>
                <w:right w:val="none" w:color="000000" w:sz="4"/>
                <w:insideH w:val="none"/>
                <w:insideV w:val="none"/>
              </w:tblBorders>
            </w:tblPr>
            <w:tblGrid>
              <w:gridCol w:w="242"/>
              <w:gridCol w:w="544"/>
              <w:gridCol w:w="1513"/>
              <w:gridCol w:w="258"/>
              <w:gridCol w:w="242"/>
            </w:tblGrid>
            <w:tr>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分类</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运维服务对象</w:t>
                  </w:r>
                </w:p>
              </w:tc>
              <w:tc>
                <w:tcPr>
                  <w:tcW w:type="dxa" w:w="15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运维服务内容</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单位</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数量</w:t>
                  </w:r>
                </w:p>
              </w:tc>
            </w:tr>
            <w:tr>
              <w:tc>
                <w:tcPr>
                  <w:tcW w:type="dxa" w:w="2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安全</w:t>
                  </w:r>
                  <w:r>
                    <w:br/>
                  </w:r>
                  <w:r>
                    <w:rPr>
                      <w:rFonts w:ascii="仿宋_GB2312" w:hAnsi="仿宋_GB2312" w:cs="仿宋_GB2312" w:eastAsia="仿宋_GB2312"/>
                      <w:sz w:val="19"/>
                      <w:b/>
                      <w:color w:val="000000"/>
                    </w:rPr>
                    <w:t>设备</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抗DDOS防护设备</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出口DDOS防护设备中新金盾ZX-DMS 5240一年的软硬件升级维保及原厂服务。</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242"/>
                  <w:vMerge/>
                  <w:tcBorders>
                    <w:top w:val="none" w:color="000000" w:sz="4"/>
                    <w:left w:val="single" w:color="000000" w:sz="4"/>
                    <w:bottom w:val="singl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防火墙</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下一代防火墙中新金盾 ZXFW-8220AC一年的软硬件升级维保及原厂服务。</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242"/>
                  <w:vMerge/>
                  <w:tcBorders>
                    <w:top w:val="none" w:color="000000" w:sz="4"/>
                    <w:left w:val="single" w:color="000000" w:sz="4"/>
                    <w:bottom w:val="singl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负载均衡</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负载均衡设备深信服AD-1000-G642一年的软硬件升级维保及原厂服务。</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bl>
          <w:p>
            <w:pPr>
              <w:pStyle w:val="null3"/>
              <w:ind w:firstLine="562"/>
            </w:pPr>
            <w:r>
              <w:rPr>
                <w:rFonts w:ascii="仿宋_GB2312" w:hAnsi="仿宋_GB2312" w:cs="仿宋_GB2312" w:eastAsia="仿宋_GB2312"/>
                <w:b/>
              </w:rPr>
              <w:t>3、网络设备维保需求</w:t>
            </w:r>
          </w:p>
          <w:p>
            <w:pPr>
              <w:pStyle w:val="null3"/>
              <w:ind w:firstLine="560"/>
            </w:pPr>
            <w:r>
              <w:rPr>
                <w:rFonts w:ascii="仿宋_GB2312" w:hAnsi="仿宋_GB2312" w:cs="仿宋_GB2312" w:eastAsia="仿宋_GB2312"/>
              </w:rPr>
              <w:t>基于现有业务平台的网络接入设备及网络带宽资源，需要运维服务提供商提供BGP网络接入线路的日常运维服务及维保。并且随着业务需求的不断增长，接入带宽需具有后期扩展的能力，高速率访问。</w:t>
            </w:r>
          </w:p>
          <w:p>
            <w:pPr>
              <w:pStyle w:val="null3"/>
              <w:ind w:firstLine="562"/>
            </w:pPr>
            <w:r>
              <w:rPr>
                <w:rFonts w:ascii="仿宋_GB2312" w:hAnsi="仿宋_GB2312" w:cs="仿宋_GB2312" w:eastAsia="仿宋_GB2312"/>
                <w:b/>
              </w:rPr>
              <w:t>运维设备</w:t>
            </w:r>
            <w:r>
              <w:rPr>
                <w:rFonts w:ascii="仿宋_GB2312" w:hAnsi="仿宋_GB2312" w:cs="仿宋_GB2312" w:eastAsia="仿宋_GB2312"/>
                <w:b/>
              </w:rPr>
              <w:t>清单：</w:t>
            </w:r>
          </w:p>
          <w:tbl>
            <w:tblPr>
              <w:tblBorders>
                <w:top w:val="none" w:color="000000" w:sz="4"/>
                <w:left w:val="none" w:color="000000" w:sz="4"/>
                <w:bottom w:val="none" w:color="000000" w:sz="4"/>
                <w:right w:val="none" w:color="000000" w:sz="4"/>
                <w:insideH w:val="none"/>
                <w:insideV w:val="none"/>
              </w:tblBorders>
            </w:tblPr>
            <w:tblGrid>
              <w:gridCol w:w="252"/>
              <w:gridCol w:w="569"/>
              <w:gridCol w:w="1479"/>
              <w:gridCol w:w="273"/>
              <w:gridCol w:w="235"/>
            </w:tblGrid>
            <w:tr>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分类</w:t>
                  </w:r>
                </w:p>
              </w:tc>
              <w:tc>
                <w:tcPr>
                  <w:tcW w:type="dxa" w:w="5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运维服务对象</w:t>
                  </w:r>
                </w:p>
              </w:tc>
              <w:tc>
                <w:tcPr>
                  <w:tcW w:type="dxa" w:w="14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运维服务内容</w:t>
                  </w:r>
                </w:p>
              </w:tc>
              <w:tc>
                <w:tcPr>
                  <w:tcW w:type="dxa" w:w="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单位</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数量</w:t>
                  </w:r>
                </w:p>
              </w:tc>
            </w:tr>
            <w:tr>
              <w:tc>
                <w:tcPr>
                  <w:tcW w:type="dxa" w:w="25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网络</w:t>
                  </w:r>
                </w:p>
                <w:p>
                  <w:pPr>
                    <w:pStyle w:val="null3"/>
                    <w:jc w:val="center"/>
                  </w:pPr>
                  <w:r>
                    <w:rPr>
                      <w:rFonts w:ascii="仿宋_GB2312" w:hAnsi="仿宋_GB2312" w:cs="仿宋_GB2312" w:eastAsia="仿宋_GB2312"/>
                      <w:sz w:val="19"/>
                      <w:b/>
                      <w:color w:val="000000"/>
                    </w:rPr>
                    <w:t>设备</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核心</w:t>
                  </w:r>
                </w:p>
                <w:p>
                  <w:pPr>
                    <w:pStyle w:val="null3"/>
                    <w:jc w:val="center"/>
                  </w:pPr>
                  <w:r>
                    <w:rPr>
                      <w:rFonts w:ascii="仿宋_GB2312" w:hAnsi="仿宋_GB2312" w:cs="仿宋_GB2312" w:eastAsia="仿宋_GB2312"/>
                      <w:sz w:val="19"/>
                      <w:color w:val="000000"/>
                    </w:rPr>
                    <w:t>交换机</w:t>
                  </w:r>
                </w:p>
              </w:tc>
              <w:tc>
                <w:tcPr>
                  <w:tcW w:type="dxa" w:w="1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华为S12808S,设备一年的维保及原厂服务。</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252"/>
                  <w:vMerge/>
                  <w:tcBorders>
                    <w:top w:val="none" w:color="000000" w:sz="4"/>
                    <w:left w:val="single" w:color="000000" w:sz="4"/>
                    <w:bottom w:val="none" w:color="000000" w:sz="4"/>
                    <w:right w:val="single" w:color="000000" w:sz="4"/>
                  </w:tcBorders>
                </w:tcP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光纤</w:t>
                  </w:r>
                </w:p>
                <w:p>
                  <w:pPr>
                    <w:pStyle w:val="null3"/>
                    <w:jc w:val="center"/>
                  </w:pPr>
                  <w:r>
                    <w:rPr>
                      <w:rFonts w:ascii="仿宋_GB2312" w:hAnsi="仿宋_GB2312" w:cs="仿宋_GB2312" w:eastAsia="仿宋_GB2312"/>
                      <w:sz w:val="19"/>
                      <w:color w:val="000000"/>
                    </w:rPr>
                    <w:t>交换机</w:t>
                  </w:r>
                </w:p>
              </w:tc>
              <w:tc>
                <w:tcPr>
                  <w:tcW w:type="dxa" w:w="1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博科G610,设备一年的维保及原厂服务。</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252"/>
                  <w:vMerge/>
                  <w:tcBorders>
                    <w:top w:val="none" w:color="000000" w:sz="4"/>
                    <w:left w:val="single" w:color="000000" w:sz="4"/>
                    <w:bottom w:val="none" w:color="000000" w:sz="4"/>
                    <w:right w:val="single" w:color="000000" w:sz="4"/>
                  </w:tcBorders>
                </w:tcP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带宽</w:t>
                  </w:r>
                </w:p>
              </w:tc>
              <w:tc>
                <w:tcPr>
                  <w:tcW w:type="dxa" w:w="1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万兆BGP双路接入，限速500M，一年服务及维保。</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bl>
          <w:p>
            <w:pPr>
              <w:pStyle w:val="null3"/>
              <w:ind w:firstLine="560"/>
            </w:pPr>
            <w:r>
              <w:rPr>
                <w:rFonts w:ascii="仿宋_GB2312" w:hAnsi="仿宋_GB2312" w:cs="仿宋_GB2312" w:eastAsia="仿宋_GB2312"/>
              </w:rPr>
              <w:t>（三）机房动力环境设备运维服务需求</w:t>
            </w:r>
          </w:p>
          <w:p>
            <w:pPr>
              <w:pStyle w:val="null3"/>
              <w:ind w:firstLine="560"/>
            </w:pPr>
            <w:r>
              <w:rPr>
                <w:rFonts w:ascii="仿宋_GB2312" w:hAnsi="仿宋_GB2312" w:cs="仿宋_GB2312" w:eastAsia="仿宋_GB2312"/>
              </w:rPr>
              <w:t>1、软件新城机房</w:t>
            </w:r>
          </w:p>
          <w:p>
            <w:pPr>
              <w:pStyle w:val="null3"/>
              <w:ind w:firstLine="560"/>
            </w:pPr>
            <w:r>
              <w:rPr>
                <w:rFonts w:ascii="仿宋_GB2312" w:hAnsi="仿宋_GB2312" w:cs="仿宋_GB2312" w:eastAsia="仿宋_GB2312"/>
              </w:rPr>
              <w:t>基于现有软件新城机房动力环境的设备，需要运维服务提供商提供如下的管理及运维服务：</w:t>
            </w:r>
          </w:p>
          <w:p>
            <w:pPr>
              <w:pStyle w:val="null3"/>
              <w:ind w:firstLine="560"/>
            </w:pPr>
            <w:r>
              <w:rPr>
                <w:rFonts w:ascii="仿宋_GB2312" w:hAnsi="仿宋_GB2312" w:cs="仿宋_GB2312" w:eastAsia="仿宋_GB2312"/>
              </w:rPr>
              <w:t>（1）供配电系统日常使用、检查、维保；</w:t>
            </w:r>
          </w:p>
          <w:p>
            <w:pPr>
              <w:pStyle w:val="null3"/>
              <w:ind w:firstLine="560"/>
            </w:pPr>
            <w:r>
              <w:rPr>
                <w:rFonts w:ascii="仿宋_GB2312" w:hAnsi="仿宋_GB2312" w:cs="仿宋_GB2312" w:eastAsia="仿宋_GB2312"/>
              </w:rPr>
              <w:t>（2）开关、线缆、防雷、灯具、墙面、地板等日常使用、检查、维保；</w:t>
            </w:r>
          </w:p>
          <w:p>
            <w:pPr>
              <w:pStyle w:val="null3"/>
              <w:ind w:firstLine="560"/>
            </w:pPr>
            <w:r>
              <w:rPr>
                <w:rFonts w:ascii="仿宋_GB2312" w:hAnsi="仿宋_GB2312" w:cs="仿宋_GB2312" w:eastAsia="仿宋_GB2312"/>
              </w:rPr>
              <w:t>（3）监控视频系统日常使用、检查、维保；</w:t>
            </w:r>
          </w:p>
          <w:p>
            <w:pPr>
              <w:pStyle w:val="null3"/>
              <w:ind w:firstLine="560"/>
            </w:pPr>
            <w:r>
              <w:rPr>
                <w:rFonts w:ascii="仿宋_GB2312" w:hAnsi="仿宋_GB2312" w:cs="仿宋_GB2312" w:eastAsia="仿宋_GB2312"/>
              </w:rPr>
              <w:t>（4）UPS供电系统日常使用、检查、维保；</w:t>
            </w:r>
          </w:p>
          <w:p>
            <w:pPr>
              <w:pStyle w:val="null3"/>
              <w:ind w:firstLine="560"/>
            </w:pPr>
            <w:r>
              <w:rPr>
                <w:rFonts w:ascii="仿宋_GB2312" w:hAnsi="仿宋_GB2312" w:cs="仿宋_GB2312" w:eastAsia="仿宋_GB2312"/>
              </w:rPr>
              <w:t>（5）机房空调系统日常使用、检查、维保；</w:t>
            </w:r>
          </w:p>
          <w:p>
            <w:pPr>
              <w:pStyle w:val="null3"/>
              <w:ind w:firstLine="560"/>
            </w:pPr>
            <w:r>
              <w:rPr>
                <w:rFonts w:ascii="仿宋_GB2312" w:hAnsi="仿宋_GB2312" w:cs="仿宋_GB2312" w:eastAsia="仿宋_GB2312"/>
              </w:rPr>
              <w:t>（6）消防系统日常使用、检查、维保；</w:t>
            </w:r>
          </w:p>
          <w:p>
            <w:pPr>
              <w:pStyle w:val="null3"/>
              <w:ind w:firstLine="560"/>
            </w:pPr>
            <w:r>
              <w:rPr>
                <w:rFonts w:ascii="仿宋_GB2312" w:hAnsi="仿宋_GB2312" w:cs="仿宋_GB2312" w:eastAsia="仿宋_GB2312"/>
              </w:rPr>
              <w:t>（7）新风排风系统日常使用、检查、维保；</w:t>
            </w:r>
          </w:p>
          <w:p>
            <w:pPr>
              <w:pStyle w:val="null3"/>
              <w:ind w:firstLine="560"/>
            </w:pPr>
            <w:r>
              <w:rPr>
                <w:rFonts w:ascii="仿宋_GB2312" w:hAnsi="仿宋_GB2312" w:cs="仿宋_GB2312" w:eastAsia="仿宋_GB2312"/>
              </w:rPr>
              <w:t>（8）机房门禁系统日常使用、检查、维保；</w:t>
            </w:r>
          </w:p>
          <w:p>
            <w:pPr>
              <w:pStyle w:val="null3"/>
              <w:ind w:firstLine="560"/>
            </w:pPr>
            <w:r>
              <w:rPr>
                <w:rFonts w:ascii="仿宋_GB2312" w:hAnsi="仿宋_GB2312" w:cs="仿宋_GB2312" w:eastAsia="仿宋_GB2312"/>
              </w:rPr>
              <w:t>（9）其它需要各系统联调、改造或更新。</w:t>
            </w:r>
          </w:p>
          <w:p>
            <w:pPr>
              <w:pStyle w:val="null3"/>
              <w:ind w:firstLine="560"/>
            </w:pPr>
            <w:r>
              <w:rPr>
                <w:rFonts w:ascii="仿宋_GB2312" w:hAnsi="仿宋_GB2312" w:cs="仿宋_GB2312" w:eastAsia="仿宋_GB2312"/>
              </w:rPr>
              <w:t>2、都市之门机房</w:t>
            </w:r>
          </w:p>
          <w:p>
            <w:pPr>
              <w:pStyle w:val="null3"/>
              <w:ind w:firstLine="560"/>
            </w:pPr>
            <w:r>
              <w:rPr>
                <w:rFonts w:ascii="仿宋_GB2312" w:hAnsi="仿宋_GB2312" w:cs="仿宋_GB2312" w:eastAsia="仿宋_GB2312"/>
              </w:rPr>
              <w:t>基于现有高新区都市之门机房动力环境的设备，需要运维服务提供商提供如下的管理及运维服务：</w:t>
            </w:r>
          </w:p>
          <w:p>
            <w:pPr>
              <w:pStyle w:val="null3"/>
              <w:ind w:firstLine="560"/>
            </w:pPr>
            <w:r>
              <w:rPr>
                <w:rFonts w:ascii="仿宋_GB2312" w:hAnsi="仿宋_GB2312" w:cs="仿宋_GB2312" w:eastAsia="仿宋_GB2312"/>
              </w:rPr>
              <w:t>（1）供配电系统日常使用、检查、维保；</w:t>
            </w:r>
          </w:p>
          <w:p>
            <w:pPr>
              <w:pStyle w:val="null3"/>
              <w:ind w:firstLine="560"/>
            </w:pPr>
            <w:r>
              <w:rPr>
                <w:rFonts w:ascii="仿宋_GB2312" w:hAnsi="仿宋_GB2312" w:cs="仿宋_GB2312" w:eastAsia="仿宋_GB2312"/>
              </w:rPr>
              <w:t>（2）开关、线缆、防雷、灯具、墙面、地板等日常使用、检查、维保；</w:t>
            </w:r>
          </w:p>
          <w:p>
            <w:pPr>
              <w:pStyle w:val="null3"/>
              <w:ind w:firstLine="560"/>
            </w:pPr>
            <w:r>
              <w:rPr>
                <w:rFonts w:ascii="仿宋_GB2312" w:hAnsi="仿宋_GB2312" w:cs="仿宋_GB2312" w:eastAsia="仿宋_GB2312"/>
              </w:rPr>
              <w:t>（3）监控视频系统日常使用、检查、维保；</w:t>
            </w:r>
          </w:p>
          <w:p>
            <w:pPr>
              <w:pStyle w:val="null3"/>
              <w:ind w:firstLine="560"/>
            </w:pPr>
            <w:r>
              <w:rPr>
                <w:rFonts w:ascii="仿宋_GB2312" w:hAnsi="仿宋_GB2312" w:cs="仿宋_GB2312" w:eastAsia="仿宋_GB2312"/>
              </w:rPr>
              <w:t>（4）UPS供电系统日常使用、检查、维保；</w:t>
            </w:r>
          </w:p>
          <w:p>
            <w:pPr>
              <w:pStyle w:val="null3"/>
              <w:ind w:firstLine="560"/>
            </w:pPr>
            <w:r>
              <w:rPr>
                <w:rFonts w:ascii="仿宋_GB2312" w:hAnsi="仿宋_GB2312" w:cs="仿宋_GB2312" w:eastAsia="仿宋_GB2312"/>
              </w:rPr>
              <w:t>（5）机房空调系统日常使用、检查、维保；</w:t>
            </w:r>
          </w:p>
          <w:p>
            <w:pPr>
              <w:pStyle w:val="null3"/>
              <w:ind w:firstLine="560"/>
            </w:pPr>
            <w:r>
              <w:rPr>
                <w:rFonts w:ascii="仿宋_GB2312" w:hAnsi="仿宋_GB2312" w:cs="仿宋_GB2312" w:eastAsia="仿宋_GB2312"/>
              </w:rPr>
              <w:t>（6）消防系统日常使用、检查、维保；</w:t>
            </w:r>
          </w:p>
          <w:p>
            <w:pPr>
              <w:pStyle w:val="null3"/>
              <w:ind w:firstLine="560"/>
            </w:pPr>
            <w:r>
              <w:rPr>
                <w:rFonts w:ascii="仿宋_GB2312" w:hAnsi="仿宋_GB2312" w:cs="仿宋_GB2312" w:eastAsia="仿宋_GB2312"/>
              </w:rPr>
              <w:t>（7）新风排风系统日常使用、检查、维保；</w:t>
            </w:r>
          </w:p>
          <w:p>
            <w:pPr>
              <w:pStyle w:val="null3"/>
              <w:ind w:firstLine="560"/>
            </w:pPr>
            <w:r>
              <w:rPr>
                <w:rFonts w:ascii="仿宋_GB2312" w:hAnsi="仿宋_GB2312" w:cs="仿宋_GB2312" w:eastAsia="仿宋_GB2312"/>
              </w:rPr>
              <w:t>（8）机房门禁系统日常使用、检查、维保；</w:t>
            </w:r>
          </w:p>
          <w:p>
            <w:pPr>
              <w:pStyle w:val="null3"/>
              <w:ind w:firstLine="560"/>
            </w:pPr>
            <w:r>
              <w:rPr>
                <w:rFonts w:ascii="仿宋_GB2312" w:hAnsi="仿宋_GB2312" w:cs="仿宋_GB2312" w:eastAsia="仿宋_GB2312"/>
              </w:rPr>
              <w:t>（9）其它需要各系统联调、改造或更新。</w:t>
            </w:r>
          </w:p>
          <w:p>
            <w:pPr>
              <w:pStyle w:val="null3"/>
              <w:ind w:firstLine="560"/>
            </w:pPr>
            <w:r>
              <w:rPr>
                <w:rFonts w:ascii="仿宋_GB2312" w:hAnsi="仿宋_GB2312" w:cs="仿宋_GB2312" w:eastAsia="仿宋_GB2312"/>
              </w:rPr>
              <w:t>3、运维设备清单</w:t>
            </w:r>
          </w:p>
          <w:tbl>
            <w:tblPr>
              <w:tblBorders>
                <w:top w:val="none" w:color="000000" w:sz="4"/>
                <w:left w:val="none" w:color="000000" w:sz="4"/>
                <w:bottom w:val="none" w:color="000000" w:sz="4"/>
                <w:right w:val="none" w:color="000000" w:sz="4"/>
                <w:insideH w:val="none"/>
                <w:insideV w:val="none"/>
              </w:tblBorders>
            </w:tblPr>
            <w:tblGrid>
              <w:gridCol w:w="354"/>
              <w:gridCol w:w="326"/>
              <w:gridCol w:w="1639"/>
              <w:gridCol w:w="249"/>
              <w:gridCol w:w="232"/>
            </w:tblGrid>
            <w:tr>
              <w:tc>
                <w:tcPr>
                  <w:tcW w:type="dxa" w:w="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分类</w:t>
                  </w:r>
                </w:p>
              </w:tc>
              <w:tc>
                <w:tcPr>
                  <w:tcW w:type="dxa" w:w="3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运维服务对象</w:t>
                  </w:r>
                </w:p>
              </w:tc>
              <w:tc>
                <w:tcPr>
                  <w:tcW w:type="dxa" w:w="16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运维服务内容</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单位</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数量</w:t>
                  </w:r>
                </w:p>
              </w:tc>
            </w:tr>
            <w:tr>
              <w:tc>
                <w:tcPr>
                  <w:tcW w:type="dxa" w:w="3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都市</w:t>
                  </w:r>
                </w:p>
                <w:p>
                  <w:pPr>
                    <w:pStyle w:val="null3"/>
                    <w:jc w:val="center"/>
                  </w:pPr>
                  <w:r>
                    <w:rPr>
                      <w:rFonts w:ascii="仿宋_GB2312" w:hAnsi="仿宋_GB2312" w:cs="仿宋_GB2312" w:eastAsia="仿宋_GB2312"/>
                      <w:sz w:val="19"/>
                      <w:b/>
                      <w:color w:val="000000"/>
                    </w:rPr>
                    <w:t>之门</w:t>
                  </w:r>
                </w:p>
                <w:p>
                  <w:pPr>
                    <w:pStyle w:val="null3"/>
                    <w:jc w:val="center"/>
                  </w:pPr>
                  <w:r>
                    <w:rPr>
                      <w:rFonts w:ascii="仿宋_GB2312" w:hAnsi="仿宋_GB2312" w:cs="仿宋_GB2312" w:eastAsia="仿宋_GB2312"/>
                      <w:sz w:val="19"/>
                      <w:b/>
                      <w:color w:val="000000"/>
                    </w:rPr>
                    <w:t>机房</w:t>
                  </w: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空调</w:t>
                  </w:r>
                </w:p>
                <w:p>
                  <w:pPr>
                    <w:pStyle w:val="null3"/>
                    <w:jc w:val="center"/>
                  </w:pPr>
                  <w:r>
                    <w:rPr>
                      <w:rFonts w:ascii="仿宋_GB2312" w:hAnsi="仿宋_GB2312" w:cs="仿宋_GB2312" w:eastAsia="仿宋_GB2312"/>
                      <w:sz w:val="19"/>
                      <w:color w:val="000000"/>
                    </w:rPr>
                    <w:t>系统</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艾默生 P2060精密空调，</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艾默生 P2055精密空调，</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艾默生 P1040精密空调，</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艾默生 CM40精密空调，</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维缔 P2100精密空调，</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维缔 P1050 精密空调，</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tcBorders>
                    <w:top w:val="none" w:color="000000" w:sz="4"/>
                    <w:left w:val="single" w:color="000000" w:sz="4"/>
                    <w:bottom w:val="single" w:color="000000" w:sz="4"/>
                    <w:right w:val="single" w:color="000000" w:sz="4"/>
                  </w:tcBorders>
                </w:tcP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新风排烟系统</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新风机（规格：X-08GA）；品牌：天方，</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排烟机（规格：X-08GA）；品牌：天方，</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tcBorders>
                    <w:top w:val="none" w:color="000000" w:sz="4"/>
                    <w:left w:val="single" w:color="000000" w:sz="4"/>
                    <w:bottom w:val="single" w:color="000000" w:sz="4"/>
                    <w:right w:val="single" w:color="000000" w:sz="4"/>
                  </w:tcBorders>
                </w:tcP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低压配电设备系统</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奥力图 动力配电柜，</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奥力图 UPS分配电柜，</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奥力图 动力及UPS一体柜，</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奥力图 列头柜，</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易斯特 列头柜，</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354"/>
                  <w:vMerge/>
                  <w:tcBorders>
                    <w:top w:val="none" w:color="000000" w:sz="4"/>
                    <w:left w:val="single" w:color="000000" w:sz="4"/>
                    <w:bottom w:val="single" w:color="000000" w:sz="4"/>
                    <w:right w:val="single" w:color="000000" w:sz="4"/>
                  </w:tcBorders>
                </w:tcP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消防</w:t>
                  </w:r>
                </w:p>
                <w:p>
                  <w:pPr>
                    <w:pStyle w:val="null3"/>
                    <w:jc w:val="center"/>
                  </w:pPr>
                  <w:r>
                    <w:rPr>
                      <w:rFonts w:ascii="仿宋_GB2312" w:hAnsi="仿宋_GB2312" w:cs="仿宋_GB2312" w:eastAsia="仿宋_GB2312"/>
                      <w:sz w:val="19"/>
                      <w:color w:val="000000"/>
                    </w:rPr>
                    <w:t>系统</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北大青鸟消防控制器，</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管网喷气钢瓶，</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tcBorders>
                    <w:top w:val="none" w:color="000000" w:sz="4"/>
                    <w:left w:val="single" w:color="000000" w:sz="4"/>
                    <w:bottom w:val="single" w:color="000000" w:sz="4"/>
                    <w:right w:val="single" w:color="000000" w:sz="4"/>
                  </w:tcBorders>
                </w:tcP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门禁</w:t>
                  </w:r>
                </w:p>
                <w:p>
                  <w:pPr>
                    <w:pStyle w:val="null3"/>
                    <w:jc w:val="center"/>
                  </w:pPr>
                  <w:r>
                    <w:rPr>
                      <w:rFonts w:ascii="仿宋_GB2312" w:hAnsi="仿宋_GB2312" w:cs="仿宋_GB2312" w:eastAsia="仿宋_GB2312"/>
                      <w:sz w:val="19"/>
                      <w:color w:val="000000"/>
                    </w:rPr>
                    <w:t>系统</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中控门禁，</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tcBorders>
                    <w:top w:val="none" w:color="000000" w:sz="4"/>
                    <w:left w:val="single" w:color="000000" w:sz="4"/>
                    <w:bottom w:val="single" w:color="000000" w:sz="4"/>
                    <w:right w:val="single" w:color="000000" w:sz="4"/>
                  </w:tcBorders>
                </w:tcP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监控</w:t>
                  </w:r>
                  <w:r>
                    <w:rPr>
                      <w:rFonts w:ascii="仿宋_GB2312" w:hAnsi="仿宋_GB2312" w:cs="仿宋_GB2312" w:eastAsia="仿宋_GB2312"/>
                      <w:sz w:val="19"/>
                      <w:color w:val="000000"/>
                    </w:rPr>
                    <w:t>视频</w:t>
                  </w:r>
                  <w:r>
                    <w:rPr>
                      <w:rFonts w:ascii="仿宋_GB2312" w:hAnsi="仿宋_GB2312" w:cs="仿宋_GB2312" w:eastAsia="仿宋_GB2312"/>
                      <w:sz w:val="19"/>
                      <w:color w:val="000000"/>
                    </w:rPr>
                    <w:t>系统</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海康威视，</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tcBorders>
                    <w:top w:val="none" w:color="000000" w:sz="4"/>
                    <w:left w:val="single" w:color="000000" w:sz="4"/>
                    <w:bottom w:val="single" w:color="000000" w:sz="4"/>
                    <w:right w:val="single" w:color="000000" w:sz="4"/>
                  </w:tcBorders>
                </w:tcP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机房装修服务</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包括中心机房、配电室和监控室等房间内的墙、玻璃隔断、地板、吊顶、照明全部硬件更换维修。</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tcBorders>
                    <w:top w:val="none" w:color="000000" w:sz="4"/>
                    <w:left w:val="single" w:color="000000" w:sz="4"/>
                    <w:bottom w:val="single" w:color="000000" w:sz="4"/>
                    <w:right w:val="single" w:color="000000" w:sz="4"/>
                  </w:tcBorders>
                </w:tcP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UPS</w:t>
                  </w:r>
                </w:p>
                <w:p>
                  <w:pPr>
                    <w:pStyle w:val="null3"/>
                    <w:jc w:val="center"/>
                  </w:pPr>
                  <w:r>
                    <w:rPr>
                      <w:rFonts w:ascii="仿宋_GB2312" w:hAnsi="仿宋_GB2312" w:cs="仿宋_GB2312" w:eastAsia="仿宋_GB2312"/>
                      <w:sz w:val="19"/>
                      <w:color w:val="000000"/>
                    </w:rPr>
                    <w:t>系统</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艾默生两台80KVA主机，</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艾默生两台90KVA主机，</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维缔 EXS 80KVA主机，</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维缔 EXM 120KVA主机，</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理士12V100AH电池40节，</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组</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圣阳12V120AH电池40节，</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组</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冠军12V100AH电池40节，</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组</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354"/>
                  <w:vMerge/>
                  <w:tcBorders>
                    <w:top w:val="none" w:color="000000" w:sz="4"/>
                    <w:left w:val="single" w:color="000000" w:sz="4"/>
                    <w:bottom w:val="single" w:color="000000" w:sz="4"/>
                    <w:right w:val="single" w:color="000000" w:sz="4"/>
                  </w:tcBorders>
                </w:tcP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监控</w:t>
                  </w:r>
                  <w:r>
                    <w:rPr>
                      <w:rFonts w:ascii="仿宋_GB2312" w:hAnsi="仿宋_GB2312" w:cs="仿宋_GB2312" w:eastAsia="仿宋_GB2312"/>
                      <w:sz w:val="19"/>
                      <w:color w:val="000000"/>
                    </w:rPr>
                    <w:t>动环</w:t>
                  </w:r>
                  <w:r>
                    <w:rPr>
                      <w:rFonts w:ascii="仿宋_GB2312" w:hAnsi="仿宋_GB2312" w:cs="仿宋_GB2312" w:eastAsia="仿宋_GB2312"/>
                      <w:sz w:val="19"/>
                      <w:color w:val="000000"/>
                    </w:rPr>
                    <w:t>系统</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德森特监控</w:t>
                  </w:r>
                  <w:r>
                    <w:rPr>
                      <w:rFonts w:ascii="仿宋_GB2312" w:hAnsi="仿宋_GB2312" w:cs="仿宋_GB2312" w:eastAsia="仿宋_GB2312"/>
                      <w:sz w:val="19"/>
                      <w:color w:val="000000"/>
                    </w:rPr>
                    <w:t>动力</w:t>
                  </w:r>
                  <w:r>
                    <w:rPr>
                      <w:rFonts w:ascii="仿宋_GB2312" w:hAnsi="仿宋_GB2312" w:cs="仿宋_GB2312" w:eastAsia="仿宋_GB2312"/>
                      <w:sz w:val="19"/>
                      <w:color w:val="000000"/>
                    </w:rPr>
                    <w:t>环境</w:t>
                  </w:r>
                  <w:r>
                    <w:rPr>
                      <w:rFonts w:ascii="仿宋_GB2312" w:hAnsi="仿宋_GB2312" w:cs="仿宋_GB2312" w:eastAsia="仿宋_GB2312"/>
                      <w:sz w:val="19"/>
                      <w:color w:val="000000"/>
                    </w:rPr>
                    <w:t>系统，</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软件新城</w:t>
                  </w:r>
                  <w:r>
                    <w:rPr>
                      <w:rFonts w:ascii="仿宋_GB2312" w:hAnsi="仿宋_GB2312" w:cs="仿宋_GB2312" w:eastAsia="仿宋_GB2312"/>
                      <w:sz w:val="19"/>
                      <w:b/>
                      <w:color w:val="000000"/>
                    </w:rPr>
                    <w:t>机房</w:t>
                  </w: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空调</w:t>
                  </w:r>
                </w:p>
                <w:p>
                  <w:pPr>
                    <w:pStyle w:val="null3"/>
                    <w:jc w:val="center"/>
                  </w:pPr>
                  <w:r>
                    <w:rPr>
                      <w:rFonts w:ascii="仿宋_GB2312" w:hAnsi="仿宋_GB2312" w:cs="仿宋_GB2312" w:eastAsia="仿宋_GB2312"/>
                      <w:sz w:val="19"/>
                      <w:color w:val="000000"/>
                    </w:rPr>
                    <w:t>系统</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施耐德 TDAV3002精密空调，</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施耐德 TDAV0721精密空调，</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施耐德 SUV0501精密空调，</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维缔 P3100 精密空调，</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tcBorders>
                    <w:top w:val="none" w:color="000000" w:sz="4"/>
                    <w:left w:val="single" w:color="000000" w:sz="4"/>
                    <w:bottom w:val="single" w:color="000000" w:sz="4"/>
                    <w:right w:val="single" w:color="000000" w:sz="4"/>
                  </w:tcBorders>
                </w:tcP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新风排烟系统</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新风机（规格：2500m3/H）；品牌：沐风，</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新风机（规格：1500m3/H）；品牌：沐风，</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排烟机（规格：PY2.8 2800m3/H）；品牌：沐风，</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排烟机（规格：PY2.0 1300m3/H）；品牌：沐风，</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r>
            <w:tr>
              <w:tc>
                <w:tcPr>
                  <w:tcW w:type="dxa" w:w="354"/>
                  <w:vMerge/>
                  <w:tcBorders>
                    <w:top w:val="none" w:color="000000" w:sz="4"/>
                    <w:left w:val="single" w:color="000000" w:sz="4"/>
                    <w:bottom w:val="single" w:color="000000" w:sz="4"/>
                    <w:right w:val="single" w:color="000000" w:sz="4"/>
                  </w:tcBorders>
                </w:tcP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低压配电设备系统</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泰昂 总切换配电柜，</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泰昂 UPS输入配电柜，</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泰昂 UPS输出配电柜，</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泰昂 动力配电总柜，</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泰昂 配电列头柜，</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施耐德 PZ30，</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泰昂 UPS配电箱，</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泰昂 UPS配电箱，</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泰昂 市电配电箱，</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泰昂 配电箱，</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tcBorders>
                    <w:top w:val="none" w:color="000000" w:sz="4"/>
                    <w:left w:val="single" w:color="000000" w:sz="4"/>
                    <w:bottom w:val="single" w:color="000000" w:sz="4"/>
                    <w:right w:val="single" w:color="000000" w:sz="4"/>
                  </w:tcBorders>
                </w:tcP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消防</w:t>
                  </w:r>
                </w:p>
                <w:p>
                  <w:pPr>
                    <w:pStyle w:val="null3"/>
                    <w:jc w:val="center"/>
                  </w:pPr>
                  <w:r>
                    <w:rPr>
                      <w:rFonts w:ascii="仿宋_GB2312" w:hAnsi="仿宋_GB2312" w:cs="仿宋_GB2312" w:eastAsia="仿宋_GB2312"/>
                      <w:sz w:val="19"/>
                      <w:color w:val="000000"/>
                    </w:rPr>
                    <w:t>系统</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海湾 消防控制器系统，</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管网喷气钢瓶，</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tcBorders>
                    <w:top w:val="none" w:color="000000" w:sz="4"/>
                    <w:left w:val="single" w:color="000000" w:sz="4"/>
                    <w:bottom w:val="single" w:color="000000" w:sz="4"/>
                    <w:right w:val="single" w:color="000000" w:sz="4"/>
                  </w:tcBorders>
                </w:tcP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门禁</w:t>
                  </w:r>
                </w:p>
                <w:p>
                  <w:pPr>
                    <w:pStyle w:val="null3"/>
                    <w:jc w:val="center"/>
                  </w:pPr>
                  <w:r>
                    <w:rPr>
                      <w:rFonts w:ascii="仿宋_GB2312" w:hAnsi="仿宋_GB2312" w:cs="仿宋_GB2312" w:eastAsia="仿宋_GB2312"/>
                      <w:sz w:val="19"/>
                      <w:color w:val="000000"/>
                    </w:rPr>
                    <w:t>系统</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安森门禁，</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中控门禁，</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tcBorders>
                    <w:top w:val="none" w:color="000000" w:sz="4"/>
                    <w:left w:val="single" w:color="000000" w:sz="4"/>
                    <w:bottom w:val="single" w:color="000000" w:sz="4"/>
                    <w:right w:val="single" w:color="000000" w:sz="4"/>
                  </w:tcBorders>
                </w:tcP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监控</w:t>
                  </w:r>
                  <w:r>
                    <w:rPr>
                      <w:rFonts w:ascii="仿宋_GB2312" w:hAnsi="仿宋_GB2312" w:cs="仿宋_GB2312" w:eastAsia="仿宋_GB2312"/>
                      <w:sz w:val="19"/>
                      <w:color w:val="000000"/>
                    </w:rPr>
                    <w:t>视频</w:t>
                  </w:r>
                  <w:r>
                    <w:rPr>
                      <w:rFonts w:ascii="仿宋_GB2312" w:hAnsi="仿宋_GB2312" w:cs="仿宋_GB2312" w:eastAsia="仿宋_GB2312"/>
                      <w:sz w:val="19"/>
                      <w:color w:val="000000"/>
                    </w:rPr>
                    <w:t>系统</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海康威视，</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tcBorders>
                    <w:top w:val="none" w:color="000000" w:sz="4"/>
                    <w:left w:val="single" w:color="000000" w:sz="4"/>
                    <w:bottom w:val="single" w:color="000000" w:sz="4"/>
                    <w:right w:val="single" w:color="000000" w:sz="4"/>
                  </w:tcBorders>
                </w:tcP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机房装修服务及冷通道系统维修服务</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包括中心机房、配电室和监控室、运维室等房间内的墙、玻璃隔断、地板、吊顶、照明全部硬件更换维修及2组封闭冷通道。</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354"/>
                  <w:vMerge/>
                  <w:tcBorders>
                    <w:top w:val="none" w:color="000000" w:sz="4"/>
                    <w:left w:val="single" w:color="000000" w:sz="4"/>
                    <w:bottom w:val="single" w:color="000000" w:sz="4"/>
                    <w:right w:val="single" w:color="000000" w:sz="4"/>
                  </w:tcBorders>
                </w:tcP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UPS</w:t>
                  </w:r>
                </w:p>
                <w:p>
                  <w:pPr>
                    <w:pStyle w:val="null3"/>
                    <w:jc w:val="center"/>
                  </w:pPr>
                  <w:r>
                    <w:rPr>
                      <w:rFonts w:ascii="仿宋_GB2312" w:hAnsi="仿宋_GB2312" w:cs="仿宋_GB2312" w:eastAsia="仿宋_GB2312"/>
                      <w:sz w:val="19"/>
                      <w:color w:val="000000"/>
                    </w:rPr>
                    <w:t>系统</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华为两台5000主机，</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40kVA UPS功率模块，</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块</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大力神12V127AH电池，</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节</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144</w:t>
                  </w:r>
                </w:p>
              </w:tc>
            </w:tr>
            <w:tr>
              <w:tc>
                <w:tcPr>
                  <w:tcW w:type="dxa" w:w="354"/>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圣阳12V120AH 电池，</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节</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144</w:t>
                  </w:r>
                </w:p>
              </w:tc>
            </w:tr>
            <w:tr>
              <w:tc>
                <w:tcPr>
                  <w:tcW w:type="dxa" w:w="354"/>
                  <w:vMerge/>
                  <w:tcBorders>
                    <w:top w:val="none" w:color="000000" w:sz="4"/>
                    <w:left w:val="single" w:color="000000" w:sz="4"/>
                    <w:bottom w:val="single" w:color="000000" w:sz="4"/>
                    <w:right w:val="single" w:color="000000" w:sz="4"/>
                  </w:tcBorders>
                </w:tcP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监控</w:t>
                  </w:r>
                  <w:r>
                    <w:rPr>
                      <w:rFonts w:ascii="仿宋_GB2312" w:hAnsi="仿宋_GB2312" w:cs="仿宋_GB2312" w:eastAsia="仿宋_GB2312"/>
                      <w:sz w:val="19"/>
                      <w:color w:val="000000"/>
                    </w:rPr>
                    <w:t>动环</w:t>
                  </w:r>
                  <w:r>
                    <w:rPr>
                      <w:rFonts w:ascii="仿宋_GB2312" w:hAnsi="仿宋_GB2312" w:cs="仿宋_GB2312" w:eastAsia="仿宋_GB2312"/>
                      <w:sz w:val="19"/>
                      <w:color w:val="000000"/>
                    </w:rPr>
                    <w:t>系统</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德森特监控</w:t>
                  </w:r>
                  <w:r>
                    <w:rPr>
                      <w:rFonts w:ascii="仿宋_GB2312" w:hAnsi="仿宋_GB2312" w:cs="仿宋_GB2312" w:eastAsia="仿宋_GB2312"/>
                      <w:sz w:val="19"/>
                      <w:color w:val="000000"/>
                    </w:rPr>
                    <w:t>动力</w:t>
                  </w:r>
                  <w:r>
                    <w:rPr>
                      <w:rFonts w:ascii="仿宋_GB2312" w:hAnsi="仿宋_GB2312" w:cs="仿宋_GB2312" w:eastAsia="仿宋_GB2312"/>
                      <w:sz w:val="19"/>
                      <w:color w:val="000000"/>
                    </w:rPr>
                    <w:t>环境</w:t>
                  </w:r>
                  <w:r>
                    <w:rPr>
                      <w:rFonts w:ascii="仿宋_GB2312" w:hAnsi="仿宋_GB2312" w:cs="仿宋_GB2312" w:eastAsia="仿宋_GB2312"/>
                      <w:sz w:val="19"/>
                      <w:color w:val="000000"/>
                    </w:rPr>
                    <w:t>系统，</w:t>
                  </w:r>
                  <w:r>
                    <w:rPr>
                      <w:rFonts w:ascii="仿宋_GB2312" w:hAnsi="仿宋_GB2312" w:cs="仿宋_GB2312" w:eastAsia="仿宋_GB2312"/>
                      <w:sz w:val="19"/>
                      <w:color w:val="000000"/>
                    </w:rPr>
                    <w:t>一年维保服务</w:t>
                  </w:r>
                  <w:r>
                    <w:rPr>
                      <w:rFonts w:ascii="仿宋_GB2312" w:hAnsi="仿宋_GB2312" w:cs="仿宋_GB2312" w:eastAsia="仿宋_GB2312"/>
                      <w:sz w:val="19"/>
                      <w:color w:val="00000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bl>
          <w:p>
            <w:pPr>
              <w:pStyle w:val="null3"/>
              <w:ind w:firstLine="560"/>
            </w:pPr>
            <w:r>
              <w:rPr>
                <w:rFonts w:ascii="仿宋_GB2312" w:hAnsi="仿宋_GB2312" w:cs="仿宋_GB2312" w:eastAsia="仿宋_GB2312"/>
              </w:rPr>
              <w:t>（四）软件新城机房运维服务需求</w:t>
            </w:r>
          </w:p>
          <w:p>
            <w:pPr>
              <w:pStyle w:val="null3"/>
              <w:ind w:firstLine="560"/>
            </w:pPr>
            <w:r>
              <w:rPr>
                <w:rFonts w:ascii="仿宋_GB2312" w:hAnsi="仿宋_GB2312" w:cs="仿宋_GB2312" w:eastAsia="仿宋_GB2312"/>
              </w:rPr>
              <w:t>基于现有软件新城机房资源，需要供应商提供如下管理及运维服务：</w:t>
            </w:r>
          </w:p>
          <w:p>
            <w:pPr>
              <w:pStyle w:val="null3"/>
              <w:ind w:firstLine="560"/>
            </w:pPr>
            <w:r>
              <w:rPr>
                <w:rFonts w:ascii="仿宋_GB2312" w:hAnsi="仿宋_GB2312" w:cs="仿宋_GB2312" w:eastAsia="仿宋_GB2312"/>
              </w:rPr>
              <w:t>1、机房日常管理维护，主要包括：</w:t>
            </w:r>
          </w:p>
          <w:p>
            <w:pPr>
              <w:pStyle w:val="null3"/>
              <w:ind w:firstLine="560"/>
            </w:pPr>
            <w:r>
              <w:rPr>
                <w:rFonts w:ascii="仿宋_GB2312" w:hAnsi="仿宋_GB2312" w:cs="仿宋_GB2312" w:eastAsia="仿宋_GB2312"/>
              </w:rPr>
              <w:t xml:space="preserve">（1）机房环境管理 </w:t>
            </w:r>
          </w:p>
          <w:p>
            <w:pPr>
              <w:pStyle w:val="null3"/>
              <w:ind w:firstLine="560"/>
            </w:pPr>
            <w:r>
              <w:rPr>
                <w:rFonts w:ascii="仿宋_GB2312" w:hAnsi="仿宋_GB2312" w:cs="仿宋_GB2312" w:eastAsia="仿宋_GB2312"/>
              </w:rPr>
              <w:t xml:space="preserve">（2）机房安保维护 </w:t>
            </w:r>
          </w:p>
          <w:p>
            <w:pPr>
              <w:pStyle w:val="null3"/>
              <w:ind w:firstLine="560"/>
            </w:pPr>
            <w:r>
              <w:rPr>
                <w:rFonts w:ascii="仿宋_GB2312" w:hAnsi="仿宋_GB2312" w:cs="仿宋_GB2312" w:eastAsia="仿宋_GB2312"/>
              </w:rPr>
              <w:t xml:space="preserve">（3）机房用电安全维护 </w:t>
            </w:r>
          </w:p>
          <w:p>
            <w:pPr>
              <w:pStyle w:val="null3"/>
              <w:ind w:firstLine="560"/>
            </w:pPr>
            <w:r>
              <w:rPr>
                <w:rFonts w:ascii="仿宋_GB2312" w:hAnsi="仿宋_GB2312" w:cs="仿宋_GB2312" w:eastAsia="仿宋_GB2312"/>
              </w:rPr>
              <w:t xml:space="preserve">（4）机房消防维护  </w:t>
            </w:r>
          </w:p>
          <w:p>
            <w:pPr>
              <w:pStyle w:val="null3"/>
              <w:ind w:firstLine="560"/>
            </w:pPr>
            <w:r>
              <w:rPr>
                <w:rFonts w:ascii="仿宋_GB2312" w:hAnsi="仿宋_GB2312" w:cs="仿宋_GB2312" w:eastAsia="仿宋_GB2312"/>
              </w:rPr>
              <w:t>（5）机房资产管理</w:t>
            </w:r>
          </w:p>
          <w:p>
            <w:pPr>
              <w:pStyle w:val="null3"/>
              <w:ind w:firstLine="560"/>
            </w:pPr>
            <w:r>
              <w:rPr>
                <w:rFonts w:ascii="仿宋_GB2312" w:hAnsi="仿宋_GB2312" w:cs="仿宋_GB2312" w:eastAsia="仿宋_GB2312"/>
              </w:rPr>
              <w:t>（6）机房业务运维</w:t>
            </w:r>
          </w:p>
          <w:p>
            <w:pPr>
              <w:pStyle w:val="null3"/>
              <w:ind w:firstLine="560"/>
            </w:pPr>
            <w:r>
              <w:rPr>
                <w:rFonts w:ascii="仿宋_GB2312" w:hAnsi="仿宋_GB2312" w:cs="仿宋_GB2312" w:eastAsia="仿宋_GB2312"/>
              </w:rPr>
              <w:t xml:space="preserve">（7）机房资料、文档和数据维护 </w:t>
            </w:r>
          </w:p>
          <w:p>
            <w:pPr>
              <w:pStyle w:val="null3"/>
              <w:ind w:firstLine="560"/>
            </w:pPr>
            <w:r>
              <w:rPr>
                <w:rFonts w:ascii="仿宋_GB2312" w:hAnsi="仿宋_GB2312" w:cs="仿宋_GB2312" w:eastAsia="仿宋_GB2312"/>
              </w:rPr>
              <w:t xml:space="preserve">（8）机房日常巡检 </w:t>
            </w:r>
          </w:p>
          <w:p>
            <w:pPr>
              <w:pStyle w:val="null3"/>
              <w:ind w:firstLine="560"/>
            </w:pPr>
            <w:r>
              <w:rPr>
                <w:rFonts w:ascii="仿宋_GB2312" w:hAnsi="仿宋_GB2312" w:cs="仿宋_GB2312" w:eastAsia="仿宋_GB2312"/>
              </w:rPr>
              <w:t>2、机房网络维护；</w:t>
            </w:r>
          </w:p>
          <w:p>
            <w:pPr>
              <w:pStyle w:val="null3"/>
              <w:ind w:firstLine="560"/>
            </w:pPr>
            <w:r>
              <w:rPr>
                <w:rFonts w:ascii="仿宋_GB2312" w:hAnsi="仿宋_GB2312" w:cs="仿宋_GB2312" w:eastAsia="仿宋_GB2312"/>
              </w:rPr>
              <w:t>3、机房网络安全管理；</w:t>
            </w:r>
          </w:p>
          <w:p>
            <w:pPr>
              <w:pStyle w:val="null3"/>
              <w:ind w:firstLine="560"/>
            </w:pPr>
            <w:r>
              <w:rPr>
                <w:rFonts w:ascii="仿宋_GB2312" w:hAnsi="仿宋_GB2312" w:cs="仿宋_GB2312" w:eastAsia="仿宋_GB2312"/>
              </w:rPr>
              <w:t>4、机房7*24小时驻场运维服务（驻场人员共6人，其中包含：2名网络工程师、2名系统工程师、1名服务器工程师、1名安全工程师）。</w:t>
            </w:r>
          </w:p>
          <w:p>
            <w:pPr>
              <w:pStyle w:val="null3"/>
              <w:ind w:firstLine="562"/>
            </w:pPr>
            <w:r>
              <w:rPr>
                <w:rFonts w:ascii="仿宋_GB2312" w:hAnsi="仿宋_GB2312" w:cs="仿宋_GB2312" w:eastAsia="仿宋_GB2312"/>
                <w:b/>
              </w:rPr>
              <w:t>三、运维服务考核需求</w:t>
            </w:r>
          </w:p>
          <w:p>
            <w:pPr>
              <w:pStyle w:val="null3"/>
              <w:ind w:firstLine="560"/>
            </w:pPr>
            <w:r>
              <w:rPr>
                <w:rFonts w:ascii="仿宋_GB2312" w:hAnsi="仿宋_GB2312" w:cs="仿宋_GB2312" w:eastAsia="仿宋_GB2312"/>
              </w:rPr>
              <w:t>（一）服务可用性</w:t>
            </w:r>
          </w:p>
          <w:p>
            <w:pPr>
              <w:pStyle w:val="null3"/>
              <w:ind w:firstLine="560"/>
            </w:pPr>
            <w:r>
              <w:rPr>
                <w:rFonts w:ascii="仿宋_GB2312" w:hAnsi="仿宋_GB2312" w:cs="仿宋_GB2312" w:eastAsia="仿宋_GB2312"/>
              </w:rPr>
              <w:t>运维服务提供方承诺保证客户业务平台的整体可用性不低99.99%，即全年整体平台失效时间之和不超过365×24×60×0.0001=52.56分钟。</w:t>
            </w:r>
          </w:p>
          <w:p>
            <w:pPr>
              <w:pStyle w:val="null3"/>
              <w:ind w:firstLine="560"/>
            </w:pPr>
            <w:r>
              <w:rPr>
                <w:rFonts w:ascii="仿宋_GB2312" w:hAnsi="仿宋_GB2312" w:cs="仿宋_GB2312" w:eastAsia="仿宋_GB2312"/>
              </w:rPr>
              <w:t>（二）资源交付服务响应时间</w:t>
            </w:r>
          </w:p>
          <w:p>
            <w:pPr>
              <w:pStyle w:val="null3"/>
              <w:ind w:firstLine="560"/>
            </w:pPr>
            <w:r>
              <w:rPr>
                <w:rFonts w:ascii="仿宋_GB2312" w:hAnsi="仿宋_GB2312" w:cs="仿宋_GB2312" w:eastAsia="仿宋_GB2312"/>
              </w:rPr>
              <w:t>资源交付服务响应时间是指运维服务提供方接到客户书面服务资源需求后到资源交付的时间。</w:t>
            </w:r>
          </w:p>
          <w:tbl>
            <w:tblPr>
              <w:tblBorders>
                <w:top w:val="none" w:color="000000" w:sz="4"/>
                <w:left w:val="none" w:color="000000" w:sz="4"/>
                <w:bottom w:val="none" w:color="000000" w:sz="4"/>
                <w:right w:val="none" w:color="000000" w:sz="4"/>
                <w:insideH w:val="none"/>
                <w:insideV w:val="none"/>
              </w:tblBorders>
            </w:tblPr>
            <w:tblGrid>
              <w:gridCol w:w="341"/>
              <w:gridCol w:w="929"/>
              <w:gridCol w:w="726"/>
              <w:gridCol w:w="401"/>
              <w:gridCol w:w="401"/>
            </w:tblGrid>
            <w:tr>
              <w:tc>
                <w:tcPr>
                  <w:tcW w:type="dxa" w:w="34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序号</w:t>
                  </w:r>
                </w:p>
              </w:tc>
              <w:tc>
                <w:tcPr>
                  <w:tcW w:type="dxa" w:w="92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指标名称</w:t>
                  </w:r>
                </w:p>
              </w:tc>
              <w:tc>
                <w:tcPr>
                  <w:tcW w:type="dxa" w:w="72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服务应达到的</w:t>
                  </w:r>
                </w:p>
                <w:p>
                  <w:pPr>
                    <w:pStyle w:val="null3"/>
                    <w:jc w:val="center"/>
                  </w:pPr>
                  <w:r>
                    <w:rPr>
                      <w:rFonts w:ascii="仿宋_GB2312" w:hAnsi="仿宋_GB2312" w:cs="仿宋_GB2312" w:eastAsia="仿宋_GB2312"/>
                      <w:sz w:val="19"/>
                      <w:b/>
                      <w:color w:val="000000"/>
                    </w:rPr>
                    <w:t>指标</w:t>
                  </w:r>
                </w:p>
              </w:tc>
              <w:tc>
                <w:tcPr>
                  <w:tcW w:type="dxa" w:w="40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考核周期</w:t>
                  </w:r>
                </w:p>
              </w:tc>
              <w:tc>
                <w:tcPr>
                  <w:tcW w:type="dxa" w:w="40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其他要求</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资源交付服务</w:t>
                  </w:r>
                </w:p>
                <w:p>
                  <w:pPr>
                    <w:pStyle w:val="null3"/>
                    <w:jc w:val="center"/>
                  </w:pPr>
                  <w:r>
                    <w:rPr>
                      <w:rFonts w:ascii="仿宋_GB2312" w:hAnsi="仿宋_GB2312" w:cs="仿宋_GB2312" w:eastAsia="仿宋_GB2312"/>
                      <w:sz w:val="19"/>
                      <w:color w:val="000000"/>
                    </w:rPr>
                    <w:t>响应时间</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不超过3个</w:t>
                  </w:r>
                </w:p>
                <w:p>
                  <w:pPr>
                    <w:pStyle w:val="null3"/>
                    <w:jc w:val="center"/>
                  </w:pPr>
                  <w:r>
                    <w:rPr>
                      <w:rFonts w:ascii="仿宋_GB2312" w:hAnsi="仿宋_GB2312" w:cs="仿宋_GB2312" w:eastAsia="仿宋_GB2312"/>
                      <w:sz w:val="19"/>
                      <w:color w:val="000000"/>
                    </w:rPr>
                    <w:t>工作日</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9"/>
                      <w:color w:val="000000"/>
                    </w:rPr>
                    <w:t>*</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bl>
          <w:p>
            <w:pPr>
              <w:pStyle w:val="null3"/>
            </w:pPr>
            <w:r>
              <w:rPr>
                <w:rFonts w:ascii="仿宋_GB2312" w:hAnsi="仿宋_GB2312" w:cs="仿宋_GB2312" w:eastAsia="仿宋_GB2312"/>
              </w:rPr>
              <w:t>（三）信息安全责任事故考核</w:t>
            </w:r>
          </w:p>
          <w:p>
            <w:pPr>
              <w:pStyle w:val="null3"/>
              <w:ind w:firstLine="560"/>
            </w:pPr>
            <w:r>
              <w:rPr>
                <w:rFonts w:ascii="仿宋_GB2312" w:hAnsi="仿宋_GB2312" w:cs="仿宋_GB2312" w:eastAsia="仿宋_GB2312"/>
              </w:rPr>
              <w:t>信息安全责任事故是指由运维服务提供方提供的网络设备、安全设备、虚拟机、物理机、存储、运维等方面出现问题引起的信息安全责任事故。经双方共同认定由非运维服务提供方引起的信息安全责任事故不包含在内。</w:t>
            </w:r>
          </w:p>
          <w:tbl>
            <w:tblPr>
              <w:tblBorders>
                <w:top w:val="none" w:color="000000" w:sz="4"/>
                <w:left w:val="none" w:color="000000" w:sz="4"/>
                <w:bottom w:val="none" w:color="000000" w:sz="4"/>
                <w:right w:val="none" w:color="000000" w:sz="4"/>
                <w:insideH w:val="none"/>
                <w:insideV w:val="none"/>
              </w:tblBorders>
            </w:tblPr>
            <w:tblGrid>
              <w:gridCol w:w="289"/>
              <w:gridCol w:w="1935"/>
              <w:gridCol w:w="584"/>
            </w:tblGrid>
            <w:tr>
              <w:tc>
                <w:tcPr>
                  <w:tcW w:type="dxa" w:w="28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分级</w:t>
                  </w:r>
                </w:p>
              </w:tc>
              <w:tc>
                <w:tcPr>
                  <w:tcW w:type="dxa" w:w="193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描述</w:t>
                  </w:r>
                </w:p>
              </w:tc>
              <w:tc>
                <w:tcPr>
                  <w:tcW w:type="dxa" w:w="58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备注</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对机房业务所承载的应用系统造成灾难性的危害，并对事发单位利益造成灾难性的损失。</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追究相应法律责任-1分</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对机房业务所承载的应用系统有极其严重的影响或破坏，并对事发单位利益造成严重危害。</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追究相应法律责任-2分</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对机房业务所承载的应用系统造较为严重的影响或破坏，并对事发单位利益产生一定危害。</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19"/>
                      <w:color w:val="000000"/>
                    </w:rPr>
                    <w:t>3分</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对机房业务所承载的应用系统及事发单位利益有一定的影响或破坏。</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19"/>
                      <w:color w:val="000000"/>
                    </w:rPr>
                    <w:t>4分</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对机房业务所承载的应用系统及事发单位利益基本不影响或损害极小。</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19"/>
                      <w:color w:val="000000"/>
                    </w:rPr>
                    <w:t>5分</w:t>
                  </w:r>
                </w:p>
              </w:tc>
            </w:tr>
          </w:tbl>
          <w:p>
            <w:pPr>
              <w:pStyle w:val="null3"/>
              <w:ind w:firstLine="560"/>
            </w:pPr>
            <w:r>
              <w:rPr>
                <w:rFonts w:ascii="仿宋_GB2312" w:hAnsi="仿宋_GB2312" w:cs="仿宋_GB2312" w:eastAsia="仿宋_GB2312"/>
              </w:rPr>
              <w:t>（四）应急响应服务</w:t>
            </w:r>
          </w:p>
          <w:p>
            <w:pPr>
              <w:pStyle w:val="null3"/>
              <w:ind w:firstLine="560"/>
            </w:pPr>
            <w:r>
              <w:rPr>
                <w:rFonts w:ascii="仿宋_GB2312" w:hAnsi="仿宋_GB2312" w:cs="仿宋_GB2312" w:eastAsia="仿宋_GB2312"/>
              </w:rPr>
              <w:t>运维服务提供方应根据事件的级别，按表要求及时对事件进行响应。</w:t>
            </w:r>
          </w:p>
          <w:tbl>
            <w:tblPr>
              <w:tblBorders>
                <w:top w:val="none" w:color="000000" w:sz="4"/>
                <w:left w:val="none" w:color="000000" w:sz="4"/>
                <w:bottom w:val="none" w:color="000000" w:sz="4"/>
                <w:right w:val="none" w:color="000000" w:sz="4"/>
                <w:insideH w:val="none"/>
                <w:insideV w:val="none"/>
              </w:tblBorders>
            </w:tblPr>
            <w:tblGrid>
              <w:gridCol w:w="816"/>
              <w:gridCol w:w="1184"/>
              <w:gridCol w:w="810"/>
            </w:tblGrid>
            <w:tr>
              <w:tc>
                <w:tcPr>
                  <w:tcW w:type="dxa" w:w="81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时间类型</w:t>
                  </w:r>
                </w:p>
              </w:tc>
              <w:tc>
                <w:tcPr>
                  <w:tcW w:type="dxa" w:w="118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事故级别</w:t>
                  </w:r>
                </w:p>
              </w:tc>
              <w:tc>
                <w:tcPr>
                  <w:tcW w:type="dxa" w:w="81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响应时长</w:t>
                  </w:r>
                </w:p>
              </w:tc>
            </w:tr>
            <w:tr>
              <w:tc>
                <w:tcPr>
                  <w:tcW w:type="dxa" w:w="8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事件响应时间</w:t>
                  </w:r>
                </w:p>
              </w:tc>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特别重大</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30分钟</w:t>
                  </w:r>
                </w:p>
              </w:tc>
            </w:tr>
            <w:tr>
              <w:tc>
                <w:tcPr>
                  <w:tcW w:type="dxa" w:w="816"/>
                  <w:vMerge/>
                  <w:tcBorders>
                    <w:top w:val="none" w:color="000000" w:sz="4"/>
                    <w:left w:val="single" w:color="000000" w:sz="4"/>
                    <w:bottom w:val="single" w:color="000000" w:sz="4"/>
                    <w:right w:val="single" w:color="000000" w:sz="4"/>
                  </w:tcBorders>
                </w:tcPr>
                <w:p/>
              </w:tc>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重大事件</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60分钟</w:t>
                  </w:r>
                </w:p>
              </w:tc>
            </w:tr>
            <w:tr>
              <w:tc>
                <w:tcPr>
                  <w:tcW w:type="dxa" w:w="816"/>
                  <w:vMerge/>
                  <w:tcBorders>
                    <w:top w:val="none" w:color="000000" w:sz="4"/>
                    <w:left w:val="single" w:color="000000" w:sz="4"/>
                    <w:bottom w:val="single" w:color="000000" w:sz="4"/>
                    <w:right w:val="single" w:color="000000" w:sz="4"/>
                  </w:tcBorders>
                </w:tcPr>
                <w:p/>
              </w:tc>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一般事件</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120分钟</w:t>
                  </w:r>
                </w:p>
              </w:tc>
            </w:tr>
          </w:tbl>
          <w:p>
            <w:pPr>
              <w:pStyle w:val="null3"/>
              <w:ind w:firstLine="560"/>
            </w:pPr>
            <w:r>
              <w:rPr>
                <w:rFonts w:ascii="仿宋_GB2312" w:hAnsi="仿宋_GB2312" w:cs="仿宋_GB2312" w:eastAsia="仿宋_GB2312"/>
              </w:rPr>
              <w:t>1、事件响应时间指运维服务提供方接到事件通知开始至维护人员响应处理所用的时间，事件响应时间确定需要客户方认可。</w:t>
            </w:r>
          </w:p>
          <w:p>
            <w:pPr>
              <w:pStyle w:val="null3"/>
              <w:ind w:firstLine="560"/>
            </w:pPr>
            <w:r>
              <w:rPr>
                <w:rFonts w:ascii="仿宋_GB2312" w:hAnsi="仿宋_GB2312" w:cs="仿宋_GB2312" w:eastAsia="仿宋_GB2312"/>
              </w:rPr>
              <w:t>2、事故级别划分：</w:t>
            </w:r>
          </w:p>
          <w:p>
            <w:pPr>
              <w:pStyle w:val="null3"/>
              <w:ind w:firstLine="560"/>
            </w:pPr>
            <w:r>
              <w:rPr>
                <w:rFonts w:ascii="仿宋_GB2312" w:hAnsi="仿宋_GB2312" w:cs="仿宋_GB2312" w:eastAsia="仿宋_GB2312"/>
              </w:rPr>
              <w:t>特别重大：机房业务大范围中断，应用系统无法正常启动运行、网络故障、丢失数据等，或具有同等危害的事件，且没有临时替代解决方案。</w:t>
            </w:r>
          </w:p>
          <w:p>
            <w:pPr>
              <w:pStyle w:val="null3"/>
              <w:ind w:firstLine="560"/>
            </w:pPr>
            <w:r>
              <w:rPr>
                <w:rFonts w:ascii="仿宋_GB2312" w:hAnsi="仿宋_GB2312" w:cs="仿宋_GB2312" w:eastAsia="仿宋_GB2312"/>
              </w:rPr>
              <w:t>重大事件：机房个别重要业务中断，且系统或应用服务无法重新启动，或具有同等危害的事件。</w:t>
            </w:r>
          </w:p>
          <w:p>
            <w:pPr>
              <w:pStyle w:val="null3"/>
              <w:ind w:firstLine="560"/>
            </w:pPr>
            <w:r>
              <w:rPr>
                <w:rFonts w:ascii="仿宋_GB2312" w:hAnsi="仿宋_GB2312" w:cs="仿宋_GB2312" w:eastAsia="仿宋_GB2312"/>
              </w:rPr>
              <w:t>一般事件：故障对系统业务无明显影响，但造成应用系统频繁报错，非关键应用无法启动等。</w:t>
            </w:r>
          </w:p>
          <w:p>
            <w:pPr>
              <w:pStyle w:val="null3"/>
              <w:ind w:firstLine="560"/>
            </w:pPr>
            <w:r>
              <w:rPr>
                <w:rFonts w:ascii="仿宋_GB2312" w:hAnsi="仿宋_GB2312" w:cs="仿宋_GB2312" w:eastAsia="仿宋_GB2312"/>
              </w:rPr>
              <w:t>（五）电话支撑响应服务</w:t>
            </w:r>
          </w:p>
          <w:p>
            <w:pPr>
              <w:pStyle w:val="null3"/>
              <w:ind w:firstLine="560"/>
            </w:pPr>
            <w:r>
              <w:rPr>
                <w:rFonts w:ascii="仿宋_GB2312" w:hAnsi="仿宋_GB2312" w:cs="仿宋_GB2312" w:eastAsia="仿宋_GB2312"/>
              </w:rPr>
              <w:t>需要运维服务提供方在接到用户方电话后，根据需求及时提供相应的支撑。</w:t>
            </w:r>
          </w:p>
          <w:p>
            <w:pPr>
              <w:pStyle w:val="null3"/>
              <w:ind w:firstLine="560"/>
            </w:pPr>
            <w:r>
              <w:rPr>
                <w:rFonts w:ascii="仿宋_GB2312" w:hAnsi="仿宋_GB2312" w:cs="仿宋_GB2312" w:eastAsia="仿宋_GB2312"/>
              </w:rPr>
              <w:t>1、技术咨询问题，需在双方约定的时间内解决。</w:t>
            </w:r>
          </w:p>
          <w:p>
            <w:pPr>
              <w:pStyle w:val="null3"/>
              <w:ind w:firstLine="560"/>
            </w:pPr>
            <w:r>
              <w:rPr>
                <w:rFonts w:ascii="仿宋_GB2312" w:hAnsi="仿宋_GB2312" w:cs="仿宋_GB2312" w:eastAsia="仿宋_GB2312"/>
              </w:rPr>
              <w:t>2、故障处理问题，需在双方约定的时间内，按照厂商标准或约定的标准解决。</w:t>
            </w:r>
          </w:p>
          <w:p>
            <w:pPr>
              <w:pStyle w:val="null3"/>
              <w:ind w:firstLine="560"/>
            </w:pPr>
            <w:r>
              <w:rPr>
                <w:rFonts w:ascii="仿宋_GB2312" w:hAnsi="仿宋_GB2312" w:cs="仿宋_GB2312" w:eastAsia="仿宋_GB2312"/>
              </w:rPr>
              <w:t>3、其他问题，安装双方沟通的情况，商定解决的时间和方式。</w:t>
            </w:r>
          </w:p>
          <w:p>
            <w:pPr>
              <w:pStyle w:val="null3"/>
              <w:ind w:firstLine="560"/>
            </w:pPr>
            <w:r>
              <w:rPr>
                <w:rFonts w:ascii="仿宋_GB2312" w:hAnsi="仿宋_GB2312" w:cs="仿宋_GB2312" w:eastAsia="仿宋_GB2312"/>
              </w:rPr>
              <w:t>（六）服务评分标准</w:t>
            </w:r>
          </w:p>
          <w:tbl>
            <w:tblPr>
              <w:tblBorders>
                <w:top w:val="none" w:color="000000" w:sz="4"/>
                <w:left w:val="none" w:color="000000" w:sz="4"/>
                <w:bottom w:val="none" w:color="000000" w:sz="4"/>
                <w:right w:val="none" w:color="000000" w:sz="4"/>
                <w:insideH w:val="none"/>
                <w:insideV w:val="none"/>
              </w:tblBorders>
            </w:tblPr>
            <w:tblGrid>
              <w:gridCol w:w="315"/>
              <w:gridCol w:w="1312"/>
              <w:gridCol w:w="830"/>
              <w:gridCol w:w="348"/>
            </w:tblGrid>
            <w:tr>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服务</w:t>
                  </w:r>
                </w:p>
                <w:p>
                  <w:pPr>
                    <w:pStyle w:val="null3"/>
                    <w:jc w:val="center"/>
                  </w:pPr>
                  <w:r>
                    <w:rPr>
                      <w:rFonts w:ascii="仿宋_GB2312" w:hAnsi="仿宋_GB2312" w:cs="仿宋_GB2312" w:eastAsia="仿宋_GB2312"/>
                      <w:sz w:val="19"/>
                      <w:b/>
                      <w:color w:val="000000"/>
                    </w:rPr>
                    <w:t>类型</w:t>
                  </w:r>
                </w:p>
              </w:tc>
              <w:tc>
                <w:tcPr>
                  <w:tcW w:type="dxa" w:w="1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评分项</w:t>
                  </w:r>
                </w:p>
              </w:tc>
              <w:tc>
                <w:tcPr>
                  <w:tcW w:type="dxa" w:w="8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评分方法</w:t>
                  </w:r>
                </w:p>
              </w:tc>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备注</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服务可用性考核</w:t>
                  </w: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（1）计划内停机时间</w:t>
                  </w:r>
                </w:p>
                <w:p>
                  <w:pPr>
                    <w:pStyle w:val="null3"/>
                    <w:jc w:val="both"/>
                  </w:pPr>
                  <w:r>
                    <w:rPr>
                      <w:rFonts w:ascii="仿宋_GB2312" w:hAnsi="仿宋_GB2312" w:cs="仿宋_GB2312" w:eastAsia="仿宋_GB2312"/>
                      <w:sz w:val="19"/>
                      <w:color w:val="000000"/>
                    </w:rPr>
                    <w:t>（2）服务中断时间</w:t>
                  </w:r>
                </w:p>
                <w:p>
                  <w:pPr>
                    <w:pStyle w:val="null3"/>
                    <w:jc w:val="both"/>
                  </w:pPr>
                  <w:r>
                    <w:rPr>
                      <w:rFonts w:ascii="仿宋_GB2312" w:hAnsi="仿宋_GB2312" w:cs="仿宋_GB2312" w:eastAsia="仿宋_GB2312"/>
                      <w:sz w:val="19"/>
                      <w:color w:val="000000"/>
                    </w:rPr>
                    <w:t>（3）正常服务运行时间</w:t>
                  </w:r>
                </w:p>
                <w:p>
                  <w:pPr>
                    <w:pStyle w:val="null3"/>
                    <w:jc w:val="both"/>
                  </w:pPr>
                  <w:r>
                    <w:rPr>
                      <w:rFonts w:ascii="仿宋_GB2312" w:hAnsi="仿宋_GB2312" w:cs="仿宋_GB2312" w:eastAsia="仿宋_GB2312"/>
                      <w:sz w:val="19"/>
                      <w:color w:val="000000"/>
                    </w:rPr>
                    <w:t>（4）服务可用性</w:t>
                  </w:r>
                </w:p>
              </w:tc>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参照服务要求，依据服务中断时间作为考核项最终评分。每年整体平台失效时间不超过52.56分钟(0.876小时)。</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资源交付服务响应时间</w:t>
                  </w: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资源交付服务响应时间</w:t>
                  </w:r>
                </w:p>
              </w:tc>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参照服务要求，根据当期服务期内资源申请工单的平均评分，作为此类服务的最终评分。</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信息安全责任事故</w:t>
                  </w:r>
                </w:p>
                <w:p>
                  <w:pPr>
                    <w:pStyle w:val="null3"/>
                    <w:jc w:val="center"/>
                  </w:pPr>
                  <w:r>
                    <w:rPr>
                      <w:rFonts w:ascii="仿宋_GB2312" w:hAnsi="仿宋_GB2312" w:cs="仿宋_GB2312" w:eastAsia="仿宋_GB2312"/>
                      <w:sz w:val="19"/>
                      <w:color w:val="000000"/>
                    </w:rPr>
                    <w:t>考核</w:t>
                  </w: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信息安全责任事故考核</w:t>
                  </w:r>
                </w:p>
                <w:p>
                  <w:pPr>
                    <w:pStyle w:val="null3"/>
                    <w:jc w:val="both"/>
                  </w:pPr>
                </w:p>
              </w:tc>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参照服务要求，根据当期服务期内出现的事故次数打分，作为此类服务的最终评分。</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如无任何事故出现则为5分</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应急</w:t>
                  </w:r>
                </w:p>
                <w:p>
                  <w:pPr>
                    <w:pStyle w:val="null3"/>
                    <w:jc w:val="center"/>
                  </w:pPr>
                  <w:r>
                    <w:rPr>
                      <w:rFonts w:ascii="仿宋_GB2312" w:hAnsi="仿宋_GB2312" w:cs="仿宋_GB2312" w:eastAsia="仿宋_GB2312"/>
                      <w:sz w:val="19"/>
                      <w:color w:val="000000"/>
                    </w:rPr>
                    <w:t>响应</w:t>
                  </w: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应急响应</w:t>
                  </w:r>
                </w:p>
              </w:tc>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参照服务要求，根据当期服务期内出现的应急响应次数及每次的情况打分，作为此类服务的最终评分。</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如无任何应急响应事件出现则为5分</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电话支撑响应</w:t>
                  </w:r>
                </w:p>
              </w:tc>
              <w:tc>
                <w:tcPr>
                  <w:tcW w:type="dxa" w:w="1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电话支撑响应</w:t>
                  </w:r>
                </w:p>
              </w:tc>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参照服务要求，根据当期服务期内出现的电话支撑响应次数及每次的情况打分，作为此类服务的最终评分。</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如无任何电话支撑响应事件出现则为5分</w:t>
                  </w:r>
                </w:p>
              </w:tc>
            </w:tr>
          </w:tbl>
          <w:p>
            <w:pPr>
              <w:pStyle w:val="null3"/>
              <w:ind w:firstLine="562"/>
            </w:pPr>
            <w:r>
              <w:rPr>
                <w:rFonts w:ascii="仿宋_GB2312" w:hAnsi="仿宋_GB2312" w:cs="仿宋_GB2312" w:eastAsia="仿宋_GB2312"/>
                <w:b/>
              </w:rPr>
              <w:t>四、其他要求</w:t>
            </w:r>
          </w:p>
          <w:p>
            <w:pPr>
              <w:pStyle w:val="null3"/>
              <w:ind w:firstLine="560"/>
            </w:pPr>
            <w:r>
              <w:rPr>
                <w:rFonts w:ascii="仿宋_GB2312" w:hAnsi="仿宋_GB2312" w:cs="仿宋_GB2312" w:eastAsia="仿宋_GB2312"/>
              </w:rPr>
              <w:t>为提高资源利用率，降低服务成本，同时为区内企业服务，供应商可使用采购人的软件新城机房物理环境，开展运营服务。</w:t>
            </w:r>
          </w:p>
          <w:p>
            <w:pPr>
              <w:pStyle w:val="null3"/>
              <w:ind w:firstLine="560"/>
            </w:pPr>
            <w:r>
              <w:rPr>
                <w:rFonts w:ascii="仿宋_GB2312" w:hAnsi="仿宋_GB2312" w:cs="仿宋_GB2312" w:eastAsia="仿宋_GB2312"/>
              </w:rPr>
              <w:t>（一）运营服务范围：互联网接入服务(陕西)、信息服务业务（不含互联网信息服务）(陕西)、内容分发业务(陕西)。</w:t>
            </w:r>
          </w:p>
          <w:p>
            <w:pPr>
              <w:pStyle w:val="null3"/>
              <w:ind w:firstLine="560"/>
            </w:pPr>
            <w:r>
              <w:rPr>
                <w:rFonts w:ascii="仿宋_GB2312" w:hAnsi="仿宋_GB2312" w:cs="仿宋_GB2312" w:eastAsia="仿宋_GB2312"/>
              </w:rPr>
              <w:t>（二）运营期限：一年</w:t>
            </w:r>
          </w:p>
          <w:p>
            <w:pPr>
              <w:pStyle w:val="null3"/>
              <w:ind w:firstLine="560"/>
            </w:pPr>
            <w:r>
              <w:rPr>
                <w:rFonts w:ascii="仿宋_GB2312" w:hAnsi="仿宋_GB2312" w:cs="仿宋_GB2312" w:eastAsia="仿宋_GB2312"/>
              </w:rPr>
              <w:t>（三）运营服务要求：</w:t>
            </w:r>
          </w:p>
          <w:p>
            <w:pPr>
              <w:pStyle w:val="null3"/>
              <w:ind w:firstLine="560"/>
            </w:pPr>
            <w:r>
              <w:rPr>
                <w:rFonts w:ascii="仿宋_GB2312" w:hAnsi="仿宋_GB2312" w:cs="仿宋_GB2312" w:eastAsia="仿宋_GB2312"/>
              </w:rPr>
              <w:t>1、供应商需具有相关运营资质，且不能进行运营转包。</w:t>
            </w:r>
          </w:p>
          <w:p>
            <w:pPr>
              <w:pStyle w:val="null3"/>
              <w:ind w:firstLine="560"/>
            </w:pPr>
            <w:r>
              <w:rPr>
                <w:rFonts w:ascii="仿宋_GB2312" w:hAnsi="仿宋_GB2312" w:cs="仿宋_GB2312" w:eastAsia="仿宋_GB2312"/>
              </w:rPr>
              <w:t>2、供应商在运营过程中，出现任何法律纠纷，由供应商负责，与采购人无关。</w:t>
            </w:r>
          </w:p>
          <w:p>
            <w:pPr>
              <w:pStyle w:val="null3"/>
              <w:ind w:firstLine="560"/>
            </w:pPr>
            <w:r>
              <w:rPr>
                <w:rFonts w:ascii="仿宋_GB2312" w:hAnsi="仿宋_GB2312" w:cs="仿宋_GB2312" w:eastAsia="仿宋_GB2312"/>
              </w:rPr>
              <w:t>3、供应商进行运营活动，必须遵守国家相关法律法规，如有任何违法情况，采购人有权追究其责任，并终止其运营服务的权利。</w:t>
            </w:r>
          </w:p>
          <w:p>
            <w:pPr>
              <w:pStyle w:val="null3"/>
              <w:jc w:val="left"/>
            </w:pPr>
            <w:r>
              <w:rPr>
                <w:rFonts w:ascii="仿宋_GB2312" w:hAnsi="仿宋_GB2312" w:cs="仿宋_GB2312" w:eastAsia="仿宋_GB2312"/>
              </w:rPr>
              <w:t xml:space="preserve">   4、本次采购服务期一年，如服务期良好，可在服务内容和服务标准等不变的情况下续签一年服务。在实施过程中因预算调整或者需求变更等情况无法继续的，由采购人重新组织采购。</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一年，如服务期良好，可在服务内容和服务标准等不变的情况下续签一年服务。在实施过程中因预算调整或者需求变更等情况无法继续的，由采购人重新组织采购。</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西安高新区，具体以采购人指定地点为准。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按照季度支付，第一季度结束后，乙方需向甲方交付符合其要求的发票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按照季度支付，第二季度结束后，乙方需向甲方交付符合其要求的发票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按照季度支付，第三季度结束后，乙方需向甲方交付符合其要求的发票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按照季度支付，第四季度结束后，乙方需向甲方交付符合其要求的发票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软件和信息技术服务业（根据《中小企业划型标准规定》（工信部联企业〔2011〕300号），软件和信息技术服务业划分标准为“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2）因系统格式设置无法调整，合同付款支付要求以第八章“拟签订采购合同文本”中体现的内容为准。（3）成交供应商在领取成交通知书前，须向采购代理机构提供纸质版响应文件3套（一正两副），且提供的响应文件必须与在陕西省政府采购综合管理平台的项目电子化交易系统中递交的电子响应文件内容一致，纸质版响应文件必须装订成册签字盖章。（4）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 （3）未超出采购预算或磋商文件规定的最高限价。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内容至少包括①日常运维服务方案；②业务平台软硬件设备运维服务方案；③机房动力环境设备运维服务方案；④软件新城机房运维服务方案；⑤节假日和重大活动保障服务方案等。 评审标准：服务方案各部分内容全面详细、阐述条理清晰详尽、符合本项目采购需求得25分，每缺一项内容扣5分，评审内容有瑕疵的根据情况扣分，扣完为止。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内容至少包括①质量保障措施；②安全保障措施；③进度保障措施；④风险管理措施等。 评审标准：服务保障措施各部分内容全面详细、阐述条理清晰详尽、符合本项目采购需求得12分，每缺一项内容扣3分，评审内容有瑕疵的根据情况扣分，扣完为止。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保密方案及档案管理</w:t>
            </w:r>
          </w:p>
        </w:tc>
        <w:tc>
          <w:tcPr>
            <w:tcW w:type="dxa" w:w="2492"/>
          </w:tcPr>
          <w:p>
            <w:pPr>
              <w:pStyle w:val="null3"/>
            </w:pPr>
            <w:r>
              <w:rPr>
                <w:rFonts w:ascii="仿宋_GB2312" w:hAnsi="仿宋_GB2312" w:cs="仿宋_GB2312" w:eastAsia="仿宋_GB2312"/>
              </w:rPr>
              <w:t>内容至少包括①保密管理制度；②数据和信息安全保密措施；③保密承诺；④档案管理措施等。 评审标准：保密方案及档案管理各部分内容全面详细、阐述条理清晰详尽、符合本项目采购需求得8分，每缺一项内容扣2分，评审内容有瑕疵的根据情况扣分，扣完为止。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内容至少包括①应急响应安排及措施；②应急演练方案（机房应急、网络安全应急）；③应急常识宣传（消防安全、网络安全）等。 评审标准：应急预案各部分内容全面详细、阐述条理清晰详尽、符合本项目采购需求得9分，每缺一项内容扣3分，评审内容有瑕疵的根据情况扣分，扣完为止。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拟投入的团队人员配备方案</w:t>
            </w:r>
          </w:p>
        </w:tc>
        <w:tc>
          <w:tcPr>
            <w:tcW w:type="dxa" w:w="2492"/>
          </w:tcPr>
          <w:p>
            <w:pPr>
              <w:pStyle w:val="null3"/>
            </w:pPr>
            <w:r>
              <w:rPr>
                <w:rFonts w:ascii="仿宋_GB2312" w:hAnsi="仿宋_GB2312" w:cs="仿宋_GB2312" w:eastAsia="仿宋_GB2312"/>
              </w:rPr>
              <w:t>内容至少包括①项目实施服务团队组织方案；②团队人员配备清单（其中驻场运维人员不少于6人）；③岗位工作职责及管理制度；④团队人员考核制度等。 评审标准：拟投入的团队人员配备方案各部分内容全面详细、阐述条理清晰详尽、符合本项目采购需求得16分，每缺一项内容扣4分，评审内容有瑕疵的根据情况扣分，扣完为止。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内容至少包括①售后服务保障措施及相关承诺；②售后服务团队；③故障响应时间及故障的检修和排除；④定期回访、检修、保养等。 评审标准：售后服务方案各部分内容全面详细、阐述条理清晰详尽、符合本项目采购需求得8分，每缺一项内容扣2分，评审内容有瑕疵的根据情况扣分，扣完为止。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供应商提供2022年09月01日至今（以合同签订时间为准）的同类项目业绩，每提供一份得2分，满分12分。 注：响应文件中提供合同复印件加盖供应商公章。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满足磋商文件要求且最后报价最低的价格为评审基准价，其价格分为满分。其他供应商的价格分统一按照下列公式计算：最后报价得分=(评审基准价／最后报价)×价格权值×100。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