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版本号：JZZB-【2025】--6820251010002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韵北110千伏变电站配套电力管沟、检修道路工程设计项目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JZZB-【2025】--68</w:t>
      </w:r>
      <w:r>
        <w:br/>
      </w:r>
      <w:r>
        <w:br/>
      </w:r>
      <w:r>
        <w:br/>
      </w:r>
    </w:p>
    <w:p>
      <w:pPr>
        <w:pStyle w:val="null3"/>
        <w:jc w:val="center"/>
        <w:outlineLvl w:val="2"/>
      </w:pPr>
      <w:r>
        <w:rPr>
          <w:rFonts w:ascii="仿宋_GB2312" w:hAnsi="仿宋_GB2312" w:cs="仿宋_GB2312" w:eastAsia="仿宋_GB2312"/>
          <w:sz w:val="28"/>
          <w:b/>
        </w:rPr>
        <w:t xml:space="preserve"> 西安高新技术产业开发区公共项目建设管理中心</w:t>
      </w:r>
    </w:p>
    <w:p>
      <w:pPr>
        <w:pStyle w:val="null3"/>
        <w:jc w:val="center"/>
        <w:outlineLvl w:val="2"/>
      </w:pPr>
      <w:r>
        <w:rPr>
          <w:rFonts w:ascii="仿宋_GB2312" w:hAnsi="仿宋_GB2312" w:cs="仿宋_GB2312" w:eastAsia="仿宋_GB2312"/>
          <w:sz w:val="28"/>
          <w:b/>
        </w:rPr>
        <w:t>陕西金泽盛业项目管理有限公司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陕西金泽盛业项目管理有限公司</w:t>
      </w:r>
      <w:r>
        <w:rPr>
          <w:rFonts w:ascii="仿宋_GB2312" w:hAnsi="仿宋_GB2312" w:cs="仿宋_GB2312" w:eastAsia="仿宋_GB2312"/>
        </w:rPr>
        <w:t>（以下简称“代理机构”）受</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委托，拟对</w:t>
      </w:r>
      <w:r>
        <w:rPr>
          <w:rFonts w:ascii="仿宋_GB2312" w:hAnsi="仿宋_GB2312" w:cs="仿宋_GB2312" w:eastAsia="仿宋_GB2312"/>
        </w:rPr>
        <w:t>韵北110千伏变电站配套电力管沟、检修道路工程设计项目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JZZB-【2025】--68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韵北110千伏变电站配套电力管沟、检修道路工程设计项目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建设内容为新建韵北110千伏变电站出线配套电力管沟及进出站检修道路，其中电力管沟建设长度约505m（电力管沟建设分为两部分，第一部分为灵韵北路与灵秀一路交叉口处电力通道南北连通，长度约70m；第二部分为自灵韵北路与匝道延伸路（京昆高速三星收费站下匝道）交叉口西北侧工作井，自南向北接入韵北变，该段长度约435m），新建进出站检修道路长约220m，宽度为6m。本次采购内容为本项目初步设计及施工图设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1、有效的主体资格证明：供应商为具有独立承担民事责任能力的法人、其他组织或自然人。并提供合法有效的营业执照（统一社会信用代码证）或自然人身份证明或其他合法证明文件。</w:t>
      </w:r>
    </w:p>
    <w:p>
      <w:pPr>
        <w:pStyle w:val="null3"/>
      </w:pPr>
      <w:r>
        <w:rPr>
          <w:rFonts w:ascii="仿宋_GB2312" w:hAnsi="仿宋_GB2312" w:cs="仿宋_GB2312" w:eastAsia="仿宋_GB2312"/>
        </w:rPr>
        <w:t>2、法定代表人授权委托书或法定代表人身份证明：被授权人参与磋商的，需提供法定代表人授权委托书及被授权人身份证复印件；法定代表人直接参与磋商的，需提供法定代表人身份证明及法定代表人身份证复印件。</w:t>
      </w:r>
    </w:p>
    <w:p>
      <w:pPr>
        <w:pStyle w:val="null3"/>
      </w:pPr>
      <w:r>
        <w:rPr>
          <w:rFonts w:ascii="仿宋_GB2312" w:hAnsi="仿宋_GB2312" w:cs="仿宋_GB2312" w:eastAsia="仿宋_GB2312"/>
        </w:rPr>
        <w:t>3、企业资质：供应商须具备工程设计综合资质甲级及以上，或市政行业工程设计乙级及以上，或市政行业（道路工程）乙级及以上资质。</w:t>
      </w:r>
    </w:p>
    <w:p>
      <w:pPr>
        <w:pStyle w:val="null3"/>
      </w:pPr>
      <w:r>
        <w:rPr>
          <w:rFonts w:ascii="仿宋_GB2312" w:hAnsi="仿宋_GB2312" w:cs="仿宋_GB2312" w:eastAsia="仿宋_GB2312"/>
        </w:rPr>
        <w:t>4、拟派项目总设计师：拟派项目总设计师须具备市政工程相关专业高级工程师职称。</w:t>
      </w:r>
    </w:p>
    <w:p>
      <w:pPr>
        <w:pStyle w:val="null3"/>
      </w:pPr>
      <w:r>
        <w:rPr>
          <w:rFonts w:ascii="仿宋_GB2312" w:hAnsi="仿宋_GB2312" w:cs="仿宋_GB2312" w:eastAsia="仿宋_GB2312"/>
        </w:rPr>
        <w:t>5、信用信息：供应商不得被列入“信用中国”（https://www.creditchina.gov.cn）网站重大税收违法失信主体名单，不得被列入“中国政府采购网”（https://www.ccgp.gov.cn）网站政府采购严重违法失信行为记录名单，不得被列入“中国执行信息公开网”（https://zxgk.court.gov.cn）网站失信被执行人名单，不得被列入“国家企业信用信息公示系统”（https://www.gsxt.gov.cn）网站严重违法失信名单。（以“信用中国”、“中国政府采购网”、“中国执行信息公开网”、“国家企业信用信息公示系统”相应版块的查询结果为准，不强制要求投标人提供查询截图，以开标当日网上查询结果为评审依据）。</w:t>
      </w:r>
    </w:p>
    <w:p>
      <w:pPr>
        <w:pStyle w:val="null3"/>
      </w:pPr>
      <w:r>
        <w:rPr>
          <w:rFonts w:ascii="仿宋_GB2312" w:hAnsi="仿宋_GB2312" w:cs="仿宋_GB2312" w:eastAsia="仿宋_GB2312"/>
        </w:rPr>
        <w:t>6、关联关系：供应商负责人为同一人或者存在控股、管理关系的不同单位，不得参加同一采购项目。</w:t>
      </w:r>
    </w:p>
    <w:p>
      <w:pPr>
        <w:pStyle w:val="null3"/>
      </w:pPr>
      <w:r>
        <w:rPr>
          <w:rFonts w:ascii="仿宋_GB2312" w:hAnsi="仿宋_GB2312" w:cs="仿宋_GB2312" w:eastAsia="仿宋_GB2312"/>
        </w:rPr>
        <w:t>7、联合体：本项目不接受联合体投标。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 xml:space="preserve"> 西安高新技术产业开发区公共项目建设管理中心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西安市锦业路1号都市之门A座12楼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西安高新技术产业开发区公共项目建设管理中心经办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15829673150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陕西金泽盛业项目管理有限公司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西安市经济技术开发区凤城五路123号秦创原软科中心A座2001号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高翠翠、崔芮菁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17719590216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采购包1：532,600.00元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本项目成交价为基数，参照国家计委关于印发《招标代理服务收费管理暂行办法》的通知（计价格〔2002〕1980号）和《国家发展改革委关于降低部分建设项目收费标准规范收费行为等有关问题的通知》（发改价格〔2011〕534号）文件规定标准收取遴选代理服务费。不足8000元的，按照8000元人民币进行收取。代理服务费由成交单位支付，于发出成交通知书前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和</w:t>
      </w:r>
      <w:r>
        <w:rPr>
          <w:rFonts w:ascii="仿宋_GB2312" w:hAnsi="仿宋_GB2312" w:cs="仿宋_GB2312" w:eastAsia="仿宋_GB2312"/>
        </w:rPr>
        <w:t>陕西金泽盛业项目管理有限公司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陕西金泽盛业项目管理有限公司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陕西金泽盛业项目管理有限公司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符合国家、地方、行业标准及采购人技术要求。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联系人：崔工</w:t>
      </w:r>
    </w:p>
    <w:p>
      <w:pPr>
        <w:pStyle w:val="null3"/>
      </w:pPr>
      <w:r>
        <w:rPr>
          <w:rFonts w:ascii="仿宋_GB2312" w:hAnsi="仿宋_GB2312" w:cs="仿宋_GB2312" w:eastAsia="仿宋_GB2312"/>
        </w:rPr>
        <w:t>联系电话：17719590216</w:t>
      </w:r>
    </w:p>
    <w:p>
      <w:pPr>
        <w:pStyle w:val="null3"/>
      </w:pPr>
      <w:r>
        <w:rPr>
          <w:rFonts w:ascii="仿宋_GB2312" w:hAnsi="仿宋_GB2312" w:cs="仿宋_GB2312" w:eastAsia="仿宋_GB2312"/>
        </w:rPr>
        <w:t>地址：西安市经济技术开发区凤城五路123号秦创原软科中心A座2001号</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建设内容为新建韵北110千伏变电站出线配套电力管沟及进出站检修道路，其中电力管沟建设长度约505m（电力管沟建设分为两部分，第一部分为灵韵北路与灵秀一路交叉口处电力通道南北连通，长度约70m；第二部分为自灵韵北路与匝道延伸路（京昆高速三星收费站下匝道）交叉口西北侧工作井，自南向北接入韵北变，该段长度约435m），新建进出站检修道路长约220m，宽度为6m。本次采购内容为本项目初步设计及施工图设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532,600.00</w:t>
      </w:r>
    </w:p>
    <w:p>
      <w:pPr>
        <w:pStyle w:val="null3"/>
      </w:pPr>
      <w:r>
        <w:rPr>
          <w:rFonts w:ascii="仿宋_GB2312" w:hAnsi="仿宋_GB2312" w:cs="仿宋_GB2312" w:eastAsia="仿宋_GB2312"/>
        </w:rPr>
        <w:t>采购包最高限价（元）: 532,600.00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韵北110千伏变电站配套电力管沟、检修道路工程设计项目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532,600.00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标的名称：韵北110千伏变电站配套电力管沟、检修道路工程设计项目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0"/>
              </w:rPr>
              <w:t>服务地点：本项目位于西安高新区灵韵北路灵秀一路路口至京昆高速三星收费站下匝道西侧绿地公园和灵秀一路灵韵北路路口。</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0"/>
              </w:rPr>
              <w:t>1.项目概况：项目建设内容为新建韵北110千伏变电站出线配套电力管沟及进出站检修道路，其中电力管沟建设长度约505m（电力管沟建设分为两部分，第一部分为灵韵北路与灵秀一路交叉口处电力通道南北连通，长度约70m；第二部分为自灵韵北路与匝道延伸路（京昆高速三星收费站下匝道）交叉口西北侧工作井，自南向北接入韵北变，该段长度约435m），新建进出站检修道路长约220m，宽度为6m。本次采购内容为本项目初步设计及施工图设计。</w:t>
            </w:r>
          </w:p>
          <w:p>
            <w:pPr>
              <w:pStyle w:val="null3"/>
            </w:pPr>
            <w:r>
              <w:rPr>
                <w:rFonts w:ascii="仿宋_GB2312" w:hAnsi="仿宋_GB2312" w:cs="仿宋_GB2312" w:eastAsia="仿宋_GB2312"/>
                <w:sz w:val="20"/>
              </w:rPr>
              <w:t>2.采购内容：</w:t>
            </w:r>
            <w:r>
              <w:rPr>
                <w:rFonts w:ascii="仿宋_GB2312" w:hAnsi="仿宋_GB2312" w:cs="仿宋_GB2312" w:eastAsia="仿宋_GB2312"/>
                <w:sz w:val="20"/>
              </w:rPr>
              <w:t>韵北110千伏变电站配套电力管沟、检修道路工程设计项目初步设计、施工图设计</w:t>
            </w:r>
          </w:p>
          <w:p>
            <w:pPr>
              <w:pStyle w:val="null3"/>
            </w:pPr>
            <w:r>
              <w:rPr>
                <w:rFonts w:ascii="仿宋_GB2312" w:hAnsi="仿宋_GB2312" w:cs="仿宋_GB2312" w:eastAsia="仿宋_GB2312"/>
                <w:sz w:val="20"/>
              </w:rPr>
              <w:t>3.服务标准：符合国家、地方、行业标准及采购人技术要求。</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20"/>
              </w:rPr>
              <w:t>效率：按时保质保量完成采购合同规定的全部服务内容。</w:t>
            </w:r>
          </w:p>
          <w:p>
            <w:pPr>
              <w:pStyle w:val="null3"/>
            </w:pPr>
            <w:r>
              <w:rPr>
                <w:rFonts w:ascii="仿宋_GB2312" w:hAnsi="仿宋_GB2312" w:cs="仿宋_GB2312" w:eastAsia="仿宋_GB2312"/>
                <w:sz w:val="20"/>
              </w:rPr>
              <w:t>4.</w:t>
            </w:r>
            <w:r>
              <w:rPr>
                <w:rFonts w:ascii="仿宋_GB2312" w:hAnsi="仿宋_GB2312" w:cs="仿宋_GB2312" w:eastAsia="仿宋_GB2312"/>
                <w:sz w:val="20"/>
                <w:color w:val="000000"/>
              </w:rPr>
              <w:t>服务期限：</w:t>
            </w:r>
            <w:r>
              <w:rPr>
                <w:rFonts w:ascii="仿宋_GB2312" w:hAnsi="仿宋_GB2312" w:cs="仿宋_GB2312" w:eastAsia="仿宋_GB2312"/>
                <w:sz w:val="20"/>
                <w:color w:val="000000"/>
              </w:rPr>
              <w:t>230天</w:t>
            </w:r>
          </w:p>
          <w:p>
            <w:pPr>
              <w:pStyle w:val="null3"/>
            </w:pPr>
            <w:r>
              <w:rPr>
                <w:rFonts w:ascii="仿宋_GB2312" w:hAnsi="仿宋_GB2312" w:cs="仿宋_GB2312" w:eastAsia="仿宋_GB2312"/>
                <w:sz w:val="20"/>
              </w:rPr>
              <w:t>5.</w:t>
            </w:r>
            <w:r>
              <w:rPr>
                <w:rFonts w:ascii="仿宋_GB2312" w:hAnsi="仿宋_GB2312" w:cs="仿宋_GB2312" w:eastAsia="仿宋_GB2312"/>
                <w:sz w:val="20"/>
                <w:b/>
              </w:rPr>
              <w:t>采购清单及要求：</w:t>
            </w:r>
          </w:p>
          <w:p>
            <w:pPr>
              <w:pStyle w:val="null3"/>
              <w:ind w:firstLine="560"/>
            </w:pPr>
            <w:r>
              <w:rPr>
                <w:rFonts w:ascii="仿宋_GB2312" w:hAnsi="仿宋_GB2312" w:cs="仿宋_GB2312" w:eastAsia="仿宋_GB2312"/>
                <w:sz w:val="20"/>
                <w:color w:val="000000"/>
              </w:rPr>
              <w:t>韵北</w:t>
            </w:r>
            <w:r>
              <w:rPr>
                <w:rFonts w:ascii="仿宋_GB2312" w:hAnsi="仿宋_GB2312" w:cs="仿宋_GB2312" w:eastAsia="仿宋_GB2312"/>
                <w:sz w:val="20"/>
                <w:color w:val="000000"/>
              </w:rPr>
              <w:t>110千伏变电站配套电力管沟、检修道路工程设计项目，主要内容包括但不限于：</w:t>
            </w:r>
          </w:p>
          <w:p>
            <w:pPr>
              <w:pStyle w:val="null3"/>
              <w:ind w:firstLine="56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1）编制设计说明书（包括设计总说明和各专业的设计说明）、初步设计图纸、主要设备及材料表和工程概算并配合财政评审；</w:t>
            </w:r>
          </w:p>
          <w:p>
            <w:pPr>
              <w:pStyle w:val="null3"/>
              <w:ind w:firstLine="56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2）编制施工图图纸并配合财政评审；</w:t>
            </w:r>
          </w:p>
          <w:p>
            <w:pPr>
              <w:pStyle w:val="null3"/>
              <w:ind w:firstLine="56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3）在工程施工阶段，解答施工单位针对工程设计的相关问题；</w:t>
            </w:r>
          </w:p>
          <w:p>
            <w:pPr>
              <w:pStyle w:val="null3"/>
              <w:ind w:firstLine="56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4）配合完成工程竣工结算；</w:t>
            </w:r>
          </w:p>
          <w:p>
            <w:pPr>
              <w:pStyle w:val="null3"/>
              <w:ind w:firstLine="56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5）其他需要设计单位配合完成的工作。</w:t>
            </w:r>
          </w:p>
          <w:p>
            <w:pPr>
              <w:pStyle w:val="null3"/>
              <w:jc w:val="both"/>
            </w:pPr>
            <w:r>
              <w:rPr>
                <w:rFonts w:ascii="仿宋_GB2312" w:hAnsi="仿宋_GB2312" w:cs="仿宋_GB2312" w:eastAsia="仿宋_GB2312"/>
                <w:sz w:val="20"/>
                <w:color w:val="000000"/>
              </w:rPr>
              <w:t>设计工作过程中严格执行国家、省市的各项法律、法规及规章制度。</w:t>
            </w:r>
          </w:p>
          <w:p>
            <w:pPr>
              <w:pStyle w:val="null3"/>
              <w:jc w:val="both"/>
            </w:pPr>
            <w:r>
              <w:rPr>
                <w:rFonts w:ascii="仿宋_GB2312" w:hAnsi="仿宋_GB2312" w:cs="仿宋_GB2312" w:eastAsia="仿宋_GB2312"/>
                <w:sz w:val="21"/>
                <w:color w:val="000000"/>
              </w:rPr>
              <w:t>6.需执行的国家相关标准、行业标准、地方标准或者其他标准、规范标准</w:t>
            </w:r>
          </w:p>
          <w:p>
            <w:pPr>
              <w:pStyle w:val="null3"/>
              <w:jc w:val="both"/>
            </w:pPr>
            <w:r>
              <w:rPr>
                <w:rFonts w:ascii="仿宋_GB2312" w:hAnsi="仿宋_GB2312" w:cs="仿宋_GB2312" w:eastAsia="仿宋_GB2312"/>
                <w:sz w:val="21"/>
                <w:color w:val="000000"/>
              </w:rPr>
              <w:t>《中华人民共和国民法典》</w:t>
            </w:r>
          </w:p>
          <w:p>
            <w:pPr>
              <w:pStyle w:val="null3"/>
            </w:pPr>
            <w:r>
              <w:rPr>
                <w:rFonts w:ascii="仿宋_GB2312" w:hAnsi="仿宋_GB2312" w:cs="仿宋_GB2312" w:eastAsia="仿宋_GB2312"/>
                <w:sz w:val="21"/>
                <w:color w:val="000000"/>
              </w:rPr>
              <w:t>《中华人民共和国建筑法》</w:t>
            </w:r>
          </w:p>
          <w:p>
            <w:pPr>
              <w:pStyle w:val="null3"/>
            </w:pPr>
            <w:r>
              <w:rPr>
                <w:rFonts w:ascii="仿宋_GB2312" w:hAnsi="仿宋_GB2312" w:cs="仿宋_GB2312" w:eastAsia="仿宋_GB2312"/>
                <w:sz w:val="21"/>
                <w:color w:val="000000"/>
              </w:rPr>
              <w:t>《中华人民共和国城乡规划法》</w:t>
            </w:r>
          </w:p>
          <w:p>
            <w:pPr>
              <w:pStyle w:val="null3"/>
            </w:pPr>
            <w:r>
              <w:rPr>
                <w:rFonts w:ascii="仿宋_GB2312" w:hAnsi="仿宋_GB2312" w:cs="仿宋_GB2312" w:eastAsia="仿宋_GB2312"/>
                <w:sz w:val="21"/>
                <w:color w:val="000000"/>
              </w:rPr>
              <w:t>《建设工程质量管理条例》</w:t>
            </w:r>
          </w:p>
          <w:p>
            <w:pPr>
              <w:pStyle w:val="null3"/>
            </w:pPr>
            <w:r>
              <w:rPr>
                <w:rFonts w:ascii="仿宋_GB2312" w:hAnsi="仿宋_GB2312" w:cs="仿宋_GB2312" w:eastAsia="仿宋_GB2312"/>
                <w:sz w:val="21"/>
                <w:color w:val="000000"/>
              </w:rPr>
              <w:t>《建设工程勘察设计管理条例》</w:t>
            </w:r>
          </w:p>
          <w:p>
            <w:pPr>
              <w:pStyle w:val="null3"/>
            </w:pPr>
            <w:r>
              <w:rPr>
                <w:rFonts w:ascii="仿宋_GB2312" w:hAnsi="仿宋_GB2312" w:cs="仿宋_GB2312" w:eastAsia="仿宋_GB2312"/>
                <w:sz w:val="21"/>
                <w:color w:val="000000"/>
              </w:rPr>
              <w:t>《房屋建筑和市政基础设施工程施工图设计文件审查管理办法》</w:t>
            </w:r>
          </w:p>
          <w:p>
            <w:pPr>
              <w:pStyle w:val="null3"/>
            </w:pPr>
            <w:r>
              <w:rPr>
                <w:rFonts w:ascii="仿宋_GB2312" w:hAnsi="仿宋_GB2312" w:cs="仿宋_GB2312" w:eastAsia="仿宋_GB2312"/>
                <w:sz w:val="21"/>
                <w:color w:val="000000"/>
              </w:rPr>
              <w:t>以及国家、省、市等发布的其他规定、通知等文件。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具有履行合同所必需的专业技术能力</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230天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本项目位于西安高新区灵韵北路灵秀一路路口至京昆高速三星收费站下匝道西侧绿地公园和灵秀一路灵韵北路路口。</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1）验收标准：符合国家、地方、行业标准及采购人技术要求。 2）验收依据：合同文本、磋商文件和成交供应商的磋商响应文件、成交供应商报送的资料。</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合同签订且供应商向采购人提交专家审查合格的初步设计成果文件后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供应商向采购人提交审图合格的施工蓝图后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违约责任：按照磋商文件要求及合同约定执行。 解决争议的方法：如果双方就该合同履行产生纠纷，本着协商解决的原则，双方协商，如果达不成一致意见，任何一方均可向采购人所在地法院诉讼解决。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 供应商在各大平台有被政府或相关部门通报或者在类似活动中存在违法违规行为的，不得参与该合同项下的磋商活动。 3.4.2 响应文件中要求加盖单位公章及法定代表人章的地方可使用电子印章，要求签字的地方需经手签、扫描后加入响应文件内，并生成响应文件。 3.4.3 响应过程中无须提供纸质版，仅成交单位须提供纸质版。请成交单位在领取成交通知书前将纸质版响应文件正本1份、副本1份打印盖章后提交至采购代理公司处，以便采购人进行留存备案等工作，成交单位应保持响应文件纸质版内容与电子版内容完全一致，否则将承担一切法律责任。线下递交文件地点：西安市经济技术开发区凤城五路123号秦创原软科中心A座20层 陕西金泽盛业项目管理有限公司 3.4.4 根据磋商文件相应条款对磋商文件所作的澄清、修改、答疑等构成磋商文件的组成部分。 3.4.5 本项目招标活动执行下列政府采购政策： ①《政府采购促进中小企业发展管理办法》（财库〔2020〕46号）； ②《陕西省财政厅关于进一步加大政府采购支持中小企业力度的通知》（陕财办采〔2022〕5号）； ③《财政部司法部关于政府采购支持监狱企业发展有关问题的通知》（财库〔2014〕68号）； ④《财政部 发展改革委 生态环境部 市场监管总局关于调整优化节能产品、环境标志产品政府采购执行机制的通知》（财库〔2019〕9号）； ⑤《三部门联合发布关于促进残疾人就业政府采购政策的通知》（财库〔2017〕141号）； ⑥《陕西省中小企业政府采购信用融资办法》（陕财办采〔2018〕23号）； ⑦《财政部 农业农村部 国家乡村振兴局 关于运用政府采购政策支持乡村产业振兴的通知》（财库〔2021〕19号）； ⑧《陕西省财政厅 关于进一步加强政府绿色采购有关问题的通知》（陕财办采〔2021〕29号）； ⑨《商品包装政府采购需求标准（试行）》和《快递包装政府采购需求标准（试行）》（财办库〔2020〕123号）； ⑩《政府采购支持绿色建材促进建筑品质提升政策项目实施指南》的通知（财库〔2023〕52号）及《关于扩大政府采购支持绿色建材促进建筑品质提升政策实施范围的通知》（财库〔2022〕35号）； ⑪扶持不发达地区和少数民族地区、支持创新等政府采购政策； ⑫如有最新颁布的政府采购政策，按最新的文件执行。 3.4.6 本项目中小企业划型行业：其他未列明行业。 3.4.7 本磋商文件未明确的其他事项，按照有关法律、法规或省市有关规定执行。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供应商需在项目电子化交易系统中按要求填写《响应函》以及《基本资格条件承诺函》完成承诺并进行电子签章。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供应商需在项目电子化交易系统中按要求填写《响应函》以及《基本资格条件承诺函》完成承诺并进行电子签章。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供应商为具有独立承担民事责任能力的法人、其他组织或自然人。并提供合法有效的营业执照（统一社会信用代码证）或自然人身份证明或其他合法证明文件。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法定代表人授权委托书或法定代表人身份证明</w:t>
            </w:r>
          </w:p>
        </w:tc>
        <w:tc>
          <w:tcPr>
            <w:tcW w:type="dxa" w:w="3322"/>
          </w:tcPr>
          <w:p>
            <w:pPr>
              <w:pStyle w:val="null3"/>
            </w:pPr>
            <w:r>
              <w:rPr>
                <w:rFonts w:ascii="仿宋_GB2312" w:hAnsi="仿宋_GB2312" w:cs="仿宋_GB2312" w:eastAsia="仿宋_GB2312"/>
              </w:rPr>
              <w:t>被授权人参与磋商的，需提供法定代表人授权委托书及被授权人身份证复印件；法定代表人直接参与磋商的，需提供法定代表人身份证明及法定代表人身份证复印件。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供应商须具备工程设计综合资质甲级及以上，或市政行业工程设计乙级及以上，或市政行业（道路工程）乙级及以上资质。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拟派项目总设计师</w:t>
            </w:r>
          </w:p>
        </w:tc>
        <w:tc>
          <w:tcPr>
            <w:tcW w:type="dxa" w:w="3322"/>
          </w:tcPr>
          <w:p>
            <w:pPr>
              <w:pStyle w:val="null3"/>
            </w:pPr>
            <w:r>
              <w:rPr>
                <w:rFonts w:ascii="仿宋_GB2312" w:hAnsi="仿宋_GB2312" w:cs="仿宋_GB2312" w:eastAsia="仿宋_GB2312"/>
              </w:rPr>
              <w:t>拟派项目总设计师须具备市政工程相关专业高级工程师职称。</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被列入“信用中国”（https://www.creditchina.gov.cn）网站重大税收违法失信主体名单，不得被列入“中国政府采购网”（https://www.ccgp.gov.cn）网站政府采购严重违法失信行为记录名单，不得被列入“中国执行信息公开网”（https://zxgk.court.gov.cn）网站失信被执行人名单，不得被列入“国家企业信用信息公示系统”（https://www.gsxt.gov.cn）网站严重违法失信名单。（以“信用中国”、“中国政府采购网”、“中国执行信息公开网”、“国家企业信用信息公示系统”相应版块的查询结果为准，不强制要求投标人提供查询截图，以开标当日网上查询结果为评审依据）。</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供应商负责人为同一人或者存在控股、管理关系的不同单位，不得参加同一采购项目。</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报价唯一，未超过磋商文件中规定的采购预算或最高限价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服务内容及服务要求偏离表.docx 中小企业声明函 报价表 响应文件封面 供应商应提交的相关资格证明材料.docx 残疾人福利性单位声明函 服务方案 标的清单 其他资料.docx 响应函 陕西省政府采购供应商拒绝政府采购领域商业贿赂承诺书.docx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服务内容及服务要求偏离表.docx 中小企业声明函 报价表 响应文件封面 供应商应提交的相关资格证明材料.docx 残疾人福利性单位声明函 服务方案 标的清单 其他资料.docx 响应函 陕西省政府采购供应商拒绝政府采购领域商业贿赂承诺书.docx 商务条款偏离表.docx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不属于磋商文件规定的无效情形</w:t>
            </w:r>
          </w:p>
        </w:tc>
        <w:tc>
          <w:tcPr>
            <w:tcW w:type="dxa" w:w="3322"/>
          </w:tcPr>
          <w:p>
            <w:pPr>
              <w:pStyle w:val="null3"/>
            </w:pPr>
            <w:r>
              <w:rPr>
                <w:rFonts w:ascii="仿宋_GB2312" w:hAnsi="仿宋_GB2312" w:cs="仿宋_GB2312" w:eastAsia="仿宋_GB2312"/>
              </w:rPr>
              <w:t>供应商按照磋商文件要求上传响应文件</w:t>
            </w:r>
          </w:p>
        </w:tc>
        <w:tc>
          <w:tcPr>
            <w:tcW w:type="dxa" w:w="1661"/>
          </w:tcPr>
          <w:p>
            <w:pPr>
              <w:pStyle w:val="null3"/>
            </w:pPr>
            <w:r>
              <w:rPr>
                <w:rFonts w:ascii="仿宋_GB2312" w:hAnsi="仿宋_GB2312" w:cs="仿宋_GB2312" w:eastAsia="仿宋_GB2312"/>
              </w:rPr>
              <w:t>服务内容及服务要求偏离表.docx 中小企业声明函 报价表 响应文件封面 供应商应提交的相关资格证明材料.docx 残疾人福利性单位声明函 服务方案 标的清单 其他资料.docx 响应函 陕西省政府采购供应商拒绝政府采购领域商业贿赂承诺书.docx 商务条款偏离表.docx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供应商提供近三年（2022年10月1日至今）类似项目业绩，每提供1份得5分，最高得10分，未提供不计分。 评审依据：以成交通知书或合同协议书扫描件加盖公章为准，业绩时间以成交通知书落款时间或合同协议书签订时间为准。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服务内容及服务要求偏离表.docx</w:t>
            </w:r>
          </w:p>
        </w:tc>
      </w:tr>
      <w:tr>
        <w:tc>
          <w:tcPr>
            <w:tcW w:type="dxa" w:w="831"/>
            <w:vMerge/>
          </w:tcPr>
          <w:p/>
        </w:tc>
        <w:tc>
          <w:tcPr>
            <w:tcW w:type="dxa" w:w="1661"/>
          </w:tcPr>
          <w:p>
            <w:pPr>
              <w:pStyle w:val="null3"/>
            </w:pPr>
            <w:r>
              <w:rPr>
                <w:rFonts w:ascii="仿宋_GB2312" w:hAnsi="仿宋_GB2312" w:cs="仿宋_GB2312" w:eastAsia="仿宋_GB2312"/>
              </w:rPr>
              <w:t>设计技术工作大纲</w:t>
            </w:r>
          </w:p>
        </w:tc>
        <w:tc>
          <w:tcPr>
            <w:tcW w:type="dxa" w:w="2492"/>
          </w:tcPr>
          <w:p>
            <w:pPr>
              <w:pStyle w:val="null3"/>
            </w:pPr>
            <w:r>
              <w:rPr>
                <w:rFonts w:ascii="仿宋_GB2312" w:hAnsi="仿宋_GB2312" w:cs="仿宋_GB2312" w:eastAsia="仿宋_GB2312"/>
              </w:rPr>
              <w:t>工作大纲详实合理，满足设计服务要求，能有效降低后期设计变更的风险，内容齐全、计划安排合理。 工作大纲安排详实合理、可行性强，得7分； 工作大纲安排较合理、可行性较强，得5分； 工作大纲安排合理性一般，可行性一般，得3分； 工作大纲合理性、可行性不高，得2分； 工作大纲表述笼统模糊，实施难度大，得1分；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服务内容及服务要求偏离表.docx</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有相应的设计思路和理念，功能设计合理，能根据采购人的实际情况进行设计，方案有较强的实用性和适应性，符合采购人要求。 方案详细、合理、可行性高，得10分； 方案较详细、较合理、可行性较高，得7分； 方案较详细，但合理性和可行性一般，得5分； 方案不详细、合理性和可行性不高，得3分； 方案表述模糊，实施难度大，得1分；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服务内容及服务要求偏离表.docx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设计进度控制计划</w:t>
            </w:r>
          </w:p>
        </w:tc>
        <w:tc>
          <w:tcPr>
            <w:tcW w:type="dxa" w:w="2492"/>
          </w:tcPr>
          <w:p>
            <w:pPr>
              <w:pStyle w:val="null3"/>
            </w:pPr>
            <w:r>
              <w:rPr>
                <w:rFonts w:ascii="仿宋_GB2312" w:hAnsi="仿宋_GB2312" w:cs="仿宋_GB2312" w:eastAsia="仿宋_GB2312"/>
              </w:rPr>
              <w:t>初步设计、施工图设计的设计周期与工作进度计划安排合理、切实可行、保障措施可靠。 计划详实合理、可行性强、保障措施完善，得10分； 计划较合理、可行性较强、保障措施较为完善，得7分； 计划的合理和可行性一般、或者保障措施一般，得5分； 计划合理性和可行性不高、保障措施不完善，得3分； 计划内容模糊或有明显缺漏，实施难度大，得1分；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服务内容及服务要求偏离表.docx</w:t>
            </w:r>
          </w:p>
        </w:tc>
      </w:tr>
      <w:tr>
        <w:tc>
          <w:tcPr>
            <w:tcW w:type="dxa" w:w="831"/>
            <w:vMerge/>
          </w:tcPr>
          <w:p/>
        </w:tc>
        <w:tc>
          <w:tcPr>
            <w:tcW w:type="dxa" w:w="1661"/>
          </w:tcPr>
          <w:p>
            <w:pPr>
              <w:pStyle w:val="null3"/>
            </w:pPr>
            <w:r>
              <w:rPr>
                <w:rFonts w:ascii="仿宋_GB2312" w:hAnsi="仿宋_GB2312" w:cs="仿宋_GB2312" w:eastAsia="仿宋_GB2312"/>
              </w:rPr>
              <w:t>设计质量控制措施</w:t>
            </w:r>
          </w:p>
        </w:tc>
        <w:tc>
          <w:tcPr>
            <w:tcW w:type="dxa" w:w="2492"/>
          </w:tcPr>
          <w:p>
            <w:pPr>
              <w:pStyle w:val="null3"/>
            </w:pPr>
            <w:r>
              <w:rPr>
                <w:rFonts w:ascii="仿宋_GB2312" w:hAnsi="仿宋_GB2312" w:cs="仿宋_GB2312" w:eastAsia="仿宋_GB2312"/>
              </w:rPr>
              <w:t>供应商质量保证体系合理完善，质量控制程序科学合理，具有针对性和可行性，能有效保障设计成果质量。 措施合理、可行性强、针对性高，得10分； 措施较合理、可行性较强、针对性较高，得7分； 措施合理性一般，可行性一般、针对性一般，得5分； 措施合理性不高、可行性不高、针对性不高，得3分； 措施表述模糊或有明显缺漏，实施难度大，得1分；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服务内容及服务要求偏离表.docx</w:t>
            </w:r>
          </w:p>
          <w:p>
            <w:pPr>
              <w:pStyle w:val="null3"/>
            </w:pPr>
            <w:r>
              <w:rPr>
                <w:rFonts w:ascii="仿宋_GB2312" w:hAnsi="仿宋_GB2312" w:cs="仿宋_GB2312" w:eastAsia="仿宋_GB2312"/>
              </w:rPr>
              <w:t>商务条款偏离表.docx</w:t>
            </w:r>
          </w:p>
        </w:tc>
      </w:tr>
      <w:tr>
        <w:tc>
          <w:tcPr>
            <w:tcW w:type="dxa" w:w="831"/>
            <w:vMerge/>
          </w:tcPr>
          <w:p/>
        </w:tc>
        <w:tc>
          <w:tcPr>
            <w:tcW w:type="dxa" w:w="1661"/>
          </w:tcPr>
          <w:p>
            <w:pPr>
              <w:pStyle w:val="null3"/>
            </w:pPr>
            <w:r>
              <w:rPr>
                <w:rFonts w:ascii="仿宋_GB2312" w:hAnsi="仿宋_GB2312" w:cs="仿宋_GB2312" w:eastAsia="仿宋_GB2312"/>
              </w:rPr>
              <w:t>技术力量配备</w:t>
            </w:r>
          </w:p>
        </w:tc>
        <w:tc>
          <w:tcPr>
            <w:tcW w:type="dxa" w:w="2492"/>
          </w:tcPr>
          <w:p>
            <w:pPr>
              <w:pStyle w:val="null3"/>
            </w:pPr>
            <w:r>
              <w:rPr>
                <w:rFonts w:ascii="仿宋_GB2312" w:hAnsi="仿宋_GB2312" w:cs="仿宋_GB2312" w:eastAsia="仿宋_GB2312"/>
              </w:rPr>
              <w:t>配备专门针对本项目的项目组，并明确对接人及人员工作安排框架。 项目组人员配备充足，安排合理、可行性高，得10分； 项目组人员配备较充足，安排较合理、可行性较高，得7分； 项目组人员配备较充足，但安排不合理、可行性不高，得5分； 项目组人员不充足，安排不合理、可行性不高，得3分； 项目组人员配备方案有明显缺漏，实施难度大，得1分；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服务内容及服务要求偏离表.docx</w:t>
            </w:r>
          </w:p>
          <w:p>
            <w:pPr>
              <w:pStyle w:val="null3"/>
            </w:pPr>
            <w:r>
              <w:rPr>
                <w:rFonts w:ascii="仿宋_GB2312" w:hAnsi="仿宋_GB2312" w:cs="仿宋_GB2312" w:eastAsia="仿宋_GB2312"/>
              </w:rPr>
              <w:t>商务条款偏离表.docx</w:t>
            </w:r>
          </w:p>
        </w:tc>
      </w:tr>
      <w:tr>
        <w:tc>
          <w:tcPr>
            <w:tcW w:type="dxa" w:w="831"/>
            <w:vMerge/>
          </w:tcPr>
          <w:p/>
        </w:tc>
        <w:tc>
          <w:tcPr>
            <w:tcW w:type="dxa" w:w="1661"/>
          </w:tcPr>
          <w:p>
            <w:pPr>
              <w:pStyle w:val="null3"/>
            </w:pPr>
            <w:r>
              <w:rPr>
                <w:rFonts w:ascii="仿宋_GB2312" w:hAnsi="仿宋_GB2312" w:cs="仿宋_GB2312" w:eastAsia="仿宋_GB2312"/>
              </w:rPr>
              <w:t>重点及难点控制措施</w:t>
            </w:r>
          </w:p>
        </w:tc>
        <w:tc>
          <w:tcPr>
            <w:tcW w:type="dxa" w:w="2492"/>
          </w:tcPr>
          <w:p>
            <w:pPr>
              <w:pStyle w:val="null3"/>
            </w:pPr>
            <w:r>
              <w:rPr>
                <w:rFonts w:ascii="仿宋_GB2312" w:hAnsi="仿宋_GB2312" w:cs="仿宋_GB2312" w:eastAsia="仿宋_GB2312"/>
              </w:rPr>
              <w:t>供应商针对本项目重点及难点问题理解到位、分析科学合理，提出具体措施。 措施理解到位、分析科学合理、控制措施针对性强，得10分； 措施理解较为到位、分析较合理、控制措施针对性较强，得7分； 措施理解较为到位、分析较合理但控制措施针对性较弱，得5分； 措施理解不到位、分析不合理、控制措施针对性弱，得3分； 没有措施理解或分析、控制措施表述模糊或有明显缺漏，实施难度大，得1分；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服务内容及服务要求偏离表.docx</w:t>
            </w:r>
          </w:p>
          <w:p>
            <w:pPr>
              <w:pStyle w:val="null3"/>
            </w:pPr>
            <w:r>
              <w:rPr>
                <w:rFonts w:ascii="仿宋_GB2312" w:hAnsi="仿宋_GB2312" w:cs="仿宋_GB2312" w:eastAsia="仿宋_GB2312"/>
              </w:rPr>
              <w:t>商务条款偏离表.docx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供应商根据磋商文件并结合项目情况对本项目提出合理化建议。 建议考虑周全、合理、可行性高，得5分； 建议较周全、较合理、可行性较高，得4分； 建议不周全、不合理、可行性不高，得3分； 建议表述笼统模糊，实施难度大，得1分； 没有则不得分。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服务内容及服务要求偏离表.docx</w:t>
            </w:r>
          </w:p>
          <w:p>
            <w:pPr>
              <w:pStyle w:val="null3"/>
            </w:pPr>
            <w:r>
              <w:rPr>
                <w:rFonts w:ascii="仿宋_GB2312" w:hAnsi="仿宋_GB2312" w:cs="仿宋_GB2312" w:eastAsia="仿宋_GB2312"/>
              </w:rPr>
              <w:t>商务条款偏离表.docx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供应商针对本项目提供切实可行的服务承诺，对项目可能出现的问题有具体的应对方案并能够及时响应。 承诺合理且针对性强、对项目可能出现的问题分析合理、应对及时有效，得8分； 承诺合理性和针对性较强、对项目可能出现的问题分析较合理、应对较及时较有效，得6分； 承诺合理性和针对性一般、对项目可能出现的问题分析合理性一般、应对方案针对性一般，得4分； 承诺合理性和针对性不高、对项目可能出现的问题分析不到位、应对方案针对性不高，得2分； 承诺内容简单笼统，实施难度大，得1分；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服务内容及服务要求偏离表.docx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1.经初审合格的磋商文件，其最终报价为有效报价。对符合政策性扣减的有效磋商报价进行政策性扣减，并依据扣减后的价格（评审价格）进行价格评审。 2.满足磋商文件要求且最终报价最低的供应商的价格为磋商基准价，其价格分为满分。其他供应商的价格分按照下列公式计算： 磋商报价得分=（磋商基准价/最后磋商报价）×20%×100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本采购项目C1=10%）</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详见附件：服务内容及服务要求偏离表.docx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