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版本号：ZD0725-004ZGX20251010002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秦渡街道西安福莱特热处理有限公司金属科技项目清表、垃圾清运工程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ZD0725-004ZGX</w:t>
      </w:r>
      <w:r>
        <w:br/>
      </w:r>
      <w:r>
        <w:br/>
      </w:r>
      <w:r>
        <w:br/>
      </w:r>
    </w:p>
    <w:p>
      <w:pPr>
        <w:pStyle w:val="null3"/>
        <w:jc w:val="center"/>
        <w:outlineLvl w:val="2"/>
      </w:pPr>
      <w:r>
        <w:rPr>
          <w:rFonts w:ascii="仿宋_GB2312" w:hAnsi="仿宋_GB2312" w:cs="仿宋_GB2312" w:eastAsia="仿宋_GB2312"/>
          <w:sz w:val="28"/>
          <w:b/>
        </w:rPr>
        <w:t>西安市鄠邑区秦渡街道办事处</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西安市鄠邑区秦渡街道办事处</w:t>
      </w:r>
      <w:r>
        <w:rPr>
          <w:rFonts w:ascii="仿宋_GB2312" w:hAnsi="仿宋_GB2312" w:cs="仿宋_GB2312" w:eastAsia="仿宋_GB2312"/>
        </w:rPr>
        <w:t>委托，拟对</w:t>
      </w:r>
      <w:r>
        <w:rPr>
          <w:rFonts w:ascii="仿宋_GB2312" w:hAnsi="仿宋_GB2312" w:cs="仿宋_GB2312" w:eastAsia="仿宋_GB2312"/>
        </w:rPr>
        <w:t>秦渡街道西安福莱特热处理有限公司金属科技项目清表、垃圾清运工程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ZD0725-004ZGX</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秦渡街道西安福莱特热处理有限公司金属科技项目清表、垃圾清运工程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项目用地范围内清表、垃圾清运及围墙圈建。该项目所需清表面积估算约为55.11亩，垃圾清运量估算约14692.58m3，新建围墙约761.07m。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采购包1（秦渡街道西安福莱特热处理有限公司金属科技项目清表、垃圾清运工程）：属于专门面向中小企业采购。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1、企业资质：供应商具备建筑工程施工总承包三级以上（含三级）资质证书、具有有效的安全许可证</w:t>
      </w:r>
    </w:p>
    <w:p>
      <w:pPr>
        <w:pStyle w:val="null3"/>
      </w:pPr>
      <w:r>
        <w:rPr>
          <w:rFonts w:ascii="仿宋_GB2312" w:hAnsi="仿宋_GB2312" w:cs="仿宋_GB2312" w:eastAsia="仿宋_GB2312"/>
        </w:rPr>
        <w:t>2、拟派项目负责人资质：供应商拟派项目经理具备建筑工程专业二级以上（含二级）注册建造师资格证书，且具有合格有效的安全生产考核合格证（B证），在本单位注册，无在建工程（提供无在建承诺书）</w:t>
      </w:r>
    </w:p>
    <w:p>
      <w:pPr>
        <w:pStyle w:val="null3"/>
      </w:pPr>
      <w:r>
        <w:rPr>
          <w:rFonts w:ascii="仿宋_GB2312" w:hAnsi="仿宋_GB2312" w:cs="仿宋_GB2312" w:eastAsia="仿宋_GB2312"/>
        </w:rPr>
        <w:t>3、登记备案：供应商及项目负责人为陕西省“建筑市场监管与诚信信息一体化平台”登记备案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西安市鄠邑区秦渡街道办事处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陕西省西安市鄠邑区秦渡街道长安大街1号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李立峰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029-84945080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陕西省西安市雁塔区陕西省西安市雁塔区南二环东段22号凯森盛世1号A座27层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029-83642331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采购包1：2,246,980.79元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代理服务费收费标准：1.采购代理服务费以成交价为基准价，按照发改价格〔2011〕534号文 件、〔2015〕299号文件收费标准计取。 由成交供应商支付采购代理服务费，成交供应商在领取《成交通知书》之前，应当向采购代理机构交纳全额采购代理服务费。 2、采购代理服务费可以采取现金、支票、银行汇票、电汇、网银等方式缴纳。 3、招标代理服务费缴纳信息： 银行户名：正大方略工程咨询有限公司 开户银行：西安银行东二环南段支行 账 号：209011580000076430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西安市鄠邑区秦渡街道办事处</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西安市鄠邑区秦渡街道办事处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西安市鄠邑区秦渡街道办事处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联系人：孙誉</w:t>
      </w:r>
    </w:p>
    <w:p>
      <w:pPr>
        <w:pStyle w:val="null3"/>
      </w:pPr>
      <w:r>
        <w:rPr>
          <w:rFonts w:ascii="仿宋_GB2312" w:hAnsi="仿宋_GB2312" w:cs="仿宋_GB2312" w:eastAsia="仿宋_GB2312"/>
        </w:rPr>
        <w:t>联系电话：029-83642331</w:t>
      </w:r>
    </w:p>
    <w:p>
      <w:pPr>
        <w:pStyle w:val="null3"/>
      </w:pPr>
      <w:r>
        <w:rPr>
          <w:rFonts w:ascii="仿宋_GB2312" w:hAnsi="仿宋_GB2312" w:cs="仿宋_GB2312" w:eastAsia="仿宋_GB2312"/>
        </w:rPr>
        <w:t>地址：西安市雁塔区南二环东段22号（凯森盛世1号）A座27层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2,246,980.79</w:t>
      </w:r>
    </w:p>
    <w:p>
      <w:pPr>
        <w:pStyle w:val="null3"/>
      </w:pPr>
      <w:r>
        <w:rPr>
          <w:rFonts w:ascii="仿宋_GB2312" w:hAnsi="仿宋_GB2312" w:cs="仿宋_GB2312" w:eastAsia="仿宋_GB2312"/>
        </w:rPr>
        <w:t>采购包最高限价（元）: 2,246,980.79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秦渡街道西安福莱特热处理有限公司金属科技项目清表、垃圾清运工程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2,246,980.79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标的名称：秦渡街道西安福莱特热处理有限公司金属科技项目清表、垃圾清运工程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color w:val="000000"/>
              </w:rPr>
              <w:t>一、项目概况</w:t>
            </w:r>
          </w:p>
          <w:p>
            <w:pPr>
              <w:pStyle w:val="null3"/>
              <w:jc w:val="left"/>
            </w:pPr>
            <w:r>
              <w:rPr>
                <w:rFonts w:ascii="仿宋_GB2312" w:hAnsi="仿宋_GB2312" w:cs="仿宋_GB2312" w:eastAsia="仿宋_GB2312"/>
                <w:sz w:val="18"/>
                <w:color w:val="000000"/>
              </w:rPr>
              <w:t>1、项目名称：秦渡街道西安福莱特热处理有限公司金属科技项目清表、垃圾清运工程。</w:t>
            </w:r>
          </w:p>
          <w:p>
            <w:pPr>
              <w:pStyle w:val="null3"/>
              <w:jc w:val="left"/>
            </w:pPr>
            <w:r>
              <w:rPr>
                <w:rFonts w:ascii="仿宋_GB2312" w:hAnsi="仿宋_GB2312" w:cs="仿宋_GB2312" w:eastAsia="仿宋_GB2312"/>
                <w:sz w:val="18"/>
                <w:color w:val="000000"/>
              </w:rPr>
              <w:t>2、项目地点：秦渡街道第五桥村。</w:t>
            </w:r>
          </w:p>
          <w:p>
            <w:pPr>
              <w:pStyle w:val="null3"/>
              <w:jc w:val="left"/>
            </w:pPr>
            <w:r>
              <w:rPr>
                <w:rFonts w:ascii="仿宋_GB2312" w:hAnsi="仿宋_GB2312" w:cs="仿宋_GB2312" w:eastAsia="仿宋_GB2312"/>
                <w:sz w:val="18"/>
                <w:color w:val="000000"/>
              </w:rPr>
              <w:t>3、项目主要内容：项目用地范围内清表、垃圾清运及围墙圈建。该项目所需清表面积估算约为55.</w:t>
            </w:r>
            <w:r>
              <w:rPr>
                <w:rFonts w:ascii="仿宋_GB2312" w:hAnsi="仿宋_GB2312" w:cs="仿宋_GB2312" w:eastAsia="仿宋_GB2312"/>
                <w:sz w:val="18"/>
                <w:color w:val="000000"/>
              </w:rPr>
              <w:t>11</w:t>
            </w:r>
            <w:r>
              <w:rPr>
                <w:rFonts w:ascii="仿宋_GB2312" w:hAnsi="仿宋_GB2312" w:cs="仿宋_GB2312" w:eastAsia="仿宋_GB2312"/>
                <w:sz w:val="18"/>
                <w:color w:val="000000"/>
              </w:rPr>
              <w:t>亩，垃圾清运量估算约</w:t>
            </w:r>
            <w:r>
              <w:rPr>
                <w:rFonts w:ascii="仿宋_GB2312" w:hAnsi="仿宋_GB2312" w:cs="仿宋_GB2312" w:eastAsia="仿宋_GB2312"/>
                <w:sz w:val="18"/>
                <w:color w:val="000000"/>
              </w:rPr>
              <w:t>14692.58m3，新建围墙约761.07m。</w:t>
            </w:r>
          </w:p>
          <w:p>
            <w:pPr>
              <w:pStyle w:val="null3"/>
              <w:jc w:val="left"/>
            </w:pPr>
            <w:r>
              <w:rPr>
                <w:rFonts w:ascii="仿宋_GB2312" w:hAnsi="仿宋_GB2312" w:cs="仿宋_GB2312" w:eastAsia="仿宋_GB2312"/>
                <w:sz w:val="18"/>
                <w:color w:val="000000"/>
              </w:rPr>
              <w:t>二、项目要求</w:t>
            </w:r>
          </w:p>
          <w:p>
            <w:pPr>
              <w:pStyle w:val="null3"/>
              <w:jc w:val="left"/>
            </w:pPr>
            <w:r>
              <w:rPr>
                <w:rFonts w:ascii="仿宋_GB2312" w:hAnsi="仿宋_GB2312" w:cs="仿宋_GB2312" w:eastAsia="仿宋_GB2312"/>
                <w:sz w:val="18"/>
                <w:color w:val="000000"/>
              </w:rPr>
              <w:t>（一）技术要求</w:t>
            </w:r>
          </w:p>
          <w:p>
            <w:pPr>
              <w:pStyle w:val="null3"/>
              <w:jc w:val="left"/>
            </w:pPr>
            <w:r>
              <w:rPr>
                <w:rFonts w:ascii="仿宋_GB2312" w:hAnsi="仿宋_GB2312" w:cs="仿宋_GB2312" w:eastAsia="仿宋_GB2312"/>
                <w:sz w:val="18"/>
                <w:color w:val="000000"/>
              </w:rPr>
              <w:t>1、清表施工必须湿法作业，同时做好扬尘控制工作；</w:t>
            </w:r>
          </w:p>
          <w:p>
            <w:pPr>
              <w:pStyle w:val="null3"/>
              <w:jc w:val="left"/>
            </w:pPr>
            <w:r>
              <w:rPr>
                <w:rFonts w:ascii="仿宋_GB2312" w:hAnsi="仿宋_GB2312" w:cs="仿宋_GB2312" w:eastAsia="仿宋_GB2312"/>
                <w:sz w:val="18"/>
                <w:color w:val="000000"/>
              </w:rPr>
              <w:t>2、对裸露黄土必须及时进行绿网覆盖；</w:t>
            </w:r>
          </w:p>
          <w:p>
            <w:pPr>
              <w:pStyle w:val="null3"/>
              <w:jc w:val="left"/>
            </w:pPr>
            <w:r>
              <w:rPr>
                <w:rFonts w:ascii="仿宋_GB2312" w:hAnsi="仿宋_GB2312" w:cs="仿宋_GB2312" w:eastAsia="仿宋_GB2312"/>
                <w:sz w:val="18"/>
                <w:color w:val="000000"/>
              </w:rPr>
              <w:t>3、按城市管理部门要求安装冲洗台、限高栏、联网监控和空气检测装置等，确保设备正常使用；</w:t>
            </w:r>
          </w:p>
          <w:p>
            <w:pPr>
              <w:pStyle w:val="null3"/>
              <w:jc w:val="left"/>
            </w:pPr>
            <w:r>
              <w:rPr>
                <w:rFonts w:ascii="仿宋_GB2312" w:hAnsi="仿宋_GB2312" w:cs="仿宋_GB2312" w:eastAsia="仿宋_GB2312"/>
                <w:sz w:val="18"/>
                <w:color w:val="000000"/>
              </w:rPr>
              <w:t>4、清表所产生的全部渣土等垃圾，严格按照城市管理部门指定的运输路线和倾倒场地清运，不得冒尖装载、不得沿路抛洒；</w:t>
            </w:r>
          </w:p>
          <w:p>
            <w:pPr>
              <w:pStyle w:val="null3"/>
              <w:jc w:val="left"/>
            </w:pPr>
            <w:r>
              <w:rPr>
                <w:rFonts w:ascii="仿宋_GB2312" w:hAnsi="仿宋_GB2312" w:cs="仿宋_GB2312" w:eastAsia="仿宋_GB2312"/>
                <w:sz w:val="18"/>
                <w:color w:val="000000"/>
              </w:rPr>
              <w:t>5、清表完成后，需满足施工单位要求，符合交地条件。</w:t>
            </w:r>
          </w:p>
          <w:p>
            <w:pPr>
              <w:pStyle w:val="null3"/>
              <w:jc w:val="left"/>
            </w:pPr>
            <w:r>
              <w:rPr>
                <w:rFonts w:ascii="仿宋_GB2312" w:hAnsi="仿宋_GB2312" w:cs="仿宋_GB2312" w:eastAsia="仿宋_GB2312"/>
                <w:sz w:val="18"/>
                <w:color w:val="000000"/>
              </w:rPr>
              <w:t>6、围墙圈建根据规划圈建围墙线，采用环保预制围墙。标准按照《高新区建筑工程施工现场围墙施工现场规定》执行。</w:t>
            </w:r>
          </w:p>
          <w:p>
            <w:pPr>
              <w:pStyle w:val="null3"/>
              <w:jc w:val="left"/>
            </w:pPr>
            <w:r>
              <w:rPr>
                <w:rFonts w:ascii="仿宋_GB2312" w:hAnsi="仿宋_GB2312" w:cs="仿宋_GB2312" w:eastAsia="仿宋_GB2312"/>
                <w:sz w:val="18"/>
                <w:color w:val="000000"/>
              </w:rPr>
              <w:t>（二）运距要求</w:t>
            </w:r>
          </w:p>
          <w:p>
            <w:pPr>
              <w:pStyle w:val="null3"/>
              <w:jc w:val="left"/>
            </w:pPr>
            <w:r>
              <w:rPr>
                <w:rFonts w:ascii="仿宋_GB2312" w:hAnsi="仿宋_GB2312" w:cs="仿宋_GB2312" w:eastAsia="仿宋_GB2312"/>
                <w:sz w:val="18"/>
                <w:color w:val="000000"/>
              </w:rPr>
              <w:t>1、该项目实施时如垃圾倾倒点改变成交单位需有自行协调垃圾倾倒点的能力。</w:t>
            </w:r>
          </w:p>
          <w:p>
            <w:pPr>
              <w:pStyle w:val="null3"/>
              <w:jc w:val="left"/>
            </w:pPr>
            <w:r>
              <w:rPr>
                <w:rFonts w:ascii="仿宋_GB2312" w:hAnsi="仿宋_GB2312" w:cs="仿宋_GB2312" w:eastAsia="仿宋_GB2312"/>
                <w:sz w:val="18"/>
                <w:color w:val="000000"/>
              </w:rPr>
              <w:t>2、该项目预算审核运距为63公里，由垃圾倾倒点改变引起的运距增加不做调整。</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三</w:t>
            </w:r>
            <w:r>
              <w:rPr>
                <w:rFonts w:ascii="仿宋_GB2312" w:hAnsi="仿宋_GB2312" w:cs="仿宋_GB2312" w:eastAsia="仿宋_GB2312"/>
                <w:sz w:val="18"/>
                <w:color w:val="000000"/>
              </w:rPr>
              <w:t>）</w:t>
            </w:r>
            <w:r>
              <w:rPr>
                <w:rFonts w:ascii="仿宋_GB2312" w:hAnsi="仿宋_GB2312" w:cs="仿宋_GB2312" w:eastAsia="仿宋_GB2312"/>
                <w:sz w:val="18"/>
                <w:color w:val="000000"/>
              </w:rPr>
              <w:t>工期：</w:t>
            </w:r>
            <w:r>
              <w:rPr>
                <w:rFonts w:ascii="仿宋_GB2312" w:hAnsi="仿宋_GB2312" w:cs="仿宋_GB2312" w:eastAsia="仿宋_GB2312"/>
                <w:sz w:val="18"/>
                <w:color w:val="000000"/>
              </w:rPr>
              <w:t>30日历天</w:t>
            </w:r>
          </w:p>
          <w:p>
            <w:pPr>
              <w:pStyle w:val="null3"/>
              <w:jc w:val="left"/>
            </w:pPr>
            <w:r>
              <w:rPr>
                <w:rFonts w:ascii="仿宋_GB2312" w:hAnsi="仿宋_GB2312" w:cs="仿宋_GB2312" w:eastAsia="仿宋_GB2312"/>
                <w:sz w:val="18"/>
                <w:color w:val="000000"/>
              </w:rPr>
              <w:t>（四）付款方式：合同签订后支付预付款</w:t>
            </w:r>
            <w:r>
              <w:rPr>
                <w:rFonts w:ascii="仿宋_GB2312" w:hAnsi="仿宋_GB2312" w:cs="仿宋_GB2312" w:eastAsia="仿宋_GB2312"/>
                <w:sz w:val="18"/>
                <w:color w:val="000000"/>
              </w:rPr>
              <w:t>40%，项目完成后支付至合同额的70%，验收完成后将剩余款项一次性付清。</w:t>
            </w:r>
          </w:p>
          <w:p>
            <w:pPr>
              <w:pStyle w:val="null3"/>
              <w:jc w:val="left"/>
            </w:pPr>
            <w:r>
              <w:rPr>
                <w:rFonts w:ascii="仿宋_GB2312" w:hAnsi="仿宋_GB2312" w:cs="仿宋_GB2312" w:eastAsia="仿宋_GB2312"/>
                <w:sz w:val="18"/>
                <w:color w:val="000000"/>
              </w:rPr>
              <w:t>三、执行的法律法规、技术规范</w:t>
            </w:r>
          </w:p>
          <w:p>
            <w:pPr>
              <w:pStyle w:val="null3"/>
              <w:jc w:val="left"/>
            </w:pPr>
            <w:r>
              <w:rPr>
                <w:rFonts w:ascii="仿宋_GB2312" w:hAnsi="仿宋_GB2312" w:cs="仿宋_GB2312" w:eastAsia="仿宋_GB2312"/>
                <w:sz w:val="18"/>
                <w:color w:val="000000"/>
              </w:rPr>
              <w:t>执行的法律法规、技术规范包括但不限于以下规定、规范、标准：《安全生产法》、《建设工程安全生产管理条例》、《西安市扬尘污染防治条例》、《西安市建筑垃圾管理办法》、《西安高新区治污减霾网格化管理工作实施方案》。</w:t>
            </w:r>
            <w:r>
              <w:rPr>
                <w:rFonts w:ascii="仿宋_GB2312" w:hAnsi="仿宋_GB2312" w:cs="仿宋_GB2312" w:eastAsia="仿宋_GB2312"/>
                <w:sz w:val="18"/>
                <w:color w:val="000000"/>
              </w:rPr>
              <w:t xml:space="preserve">  </w:t>
            </w:r>
          </w:p>
          <w:p>
            <w:pPr>
              <w:pStyle w:val="null3"/>
              <w:jc w:val="left"/>
            </w:pPr>
            <w:r>
              <w:rPr>
                <w:rFonts w:ascii="仿宋_GB2312" w:hAnsi="仿宋_GB2312" w:cs="仿宋_GB2312" w:eastAsia="仿宋_GB2312"/>
                <w:sz w:val="18"/>
                <w:color w:val="000000"/>
              </w:rPr>
              <w:t>四、其他要求</w:t>
            </w:r>
          </w:p>
          <w:p>
            <w:pPr>
              <w:pStyle w:val="null3"/>
              <w:jc w:val="both"/>
            </w:pPr>
            <w:r>
              <w:rPr>
                <w:rFonts w:ascii="仿宋_GB2312" w:hAnsi="仿宋_GB2312" w:cs="仿宋_GB2312" w:eastAsia="仿宋_GB2312"/>
                <w:sz w:val="18"/>
                <w:color w:val="000000"/>
              </w:rPr>
              <w:t>施工单位要严格按照技术规范执行清表作业，必须在指定作业区域内施工，不得擅自变更作业地点，另自行协调与周边村庄关系。</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执行的法律法规、技术规范 执行的法律法规、技术规范包括但不限于以下规定、规范、标准：《安全生产法》、《建设工程安全生产管理条例》、《西安市扬尘污染防治条例》、《西安市建筑垃圾管理办法》、《西安高新区治污减霾网格化管理工作实施方案》。</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施工单位要严格按照技术规范执行清表作业，必须在指定作业区域内施工，不得擅自变更作业地点，另自行协调与周边村庄关系。</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在领取成交通知书前，须向采购代理机构提供纸质版响应文件3套及电子版响应文件1套（电子版提供U盘），且提供的响应文件必须与在陕西省政府采购综合管理平台的项目电子化交易系统中递交的电子响应文件内容一致，纸质版响应文件必须装订成册签字盖章，电子版响应文件为纸质版签字盖章后的扫描件。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法定代表人授权书（附法定代表人、被授权人身份证复印件）及被授权人身份证原件（法定代表人直接参加磋商，须提供法定代表人身份证明及身份证原件），被授权人需提供近3个月的社保缴纳凭证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供应商具备建筑工程施工总承包三级以上（含三级）资质证书、具有有效的安全许可证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w:t>
            </w:r>
          </w:p>
        </w:tc>
        <w:tc>
          <w:tcPr>
            <w:tcW w:type="dxa" w:w="3322"/>
          </w:tcPr>
          <w:p>
            <w:pPr>
              <w:pStyle w:val="null3"/>
            </w:pPr>
            <w:r>
              <w:rPr>
                <w:rFonts w:ascii="仿宋_GB2312" w:hAnsi="仿宋_GB2312" w:cs="仿宋_GB2312" w:eastAsia="仿宋_GB2312"/>
              </w:rPr>
              <w:t>供应商拟派项目经理具备建筑工程专业二级以上（含二级）注册建造师资格证书，且具有合格有效的安全生产考核合格证（B证），在本单位注册，无在建工程（提供无在建承诺书）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登记备案</w:t>
            </w:r>
          </w:p>
        </w:tc>
        <w:tc>
          <w:tcPr>
            <w:tcW w:type="dxa" w:w="3322"/>
          </w:tcPr>
          <w:p>
            <w:pPr>
              <w:pStyle w:val="null3"/>
            </w:pPr>
            <w:r>
              <w:rPr>
                <w:rFonts w:ascii="仿宋_GB2312" w:hAnsi="仿宋_GB2312" w:cs="仿宋_GB2312" w:eastAsia="仿宋_GB2312"/>
              </w:rPr>
              <w:t>供应商及项目负责人为陕西省“建筑市场监管与诚信信息一体化平台”登记备案</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 3、未超出采购预算或磋商文件规定的最高限价。</w:t>
            </w:r>
          </w:p>
        </w:tc>
        <w:tc>
          <w:tcPr>
            <w:tcW w:type="dxa" w:w="1661"/>
          </w:tcPr>
          <w:p>
            <w:pPr>
              <w:pStyle w:val="null3"/>
            </w:pPr>
            <w:r>
              <w:rPr>
                <w:rFonts w:ascii="仿宋_GB2312" w:hAnsi="仿宋_GB2312" w:cs="仿宋_GB2312" w:eastAsia="仿宋_GB2312"/>
              </w:rPr>
              <w:t>已标价工程量清单.docx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根据方案完整且切实可行，描述清晰，且能针对性满足本项目得6分；方案内容较完整，描述一般，可操作性一般，基本能够满足本项目得[5，2］分；方案内容较简单，描述简单， 可操作性较差得1分；未提供不得分。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充分了解本项目采购需求及安全文明施工相关政策要求，措施健全、合理、完善、详尽，完全满足项目的要求且可行性强的得6 分；对本项目采购需求及安全文明施工相关政策要求了解较为充分，措施内容较为完整，描述简单得[5，2］分；对本项目采购 需求及安全文明施工相关政策要求不够了解，技术组织措施内容较差，描述不清晰得1分；未提供不得分。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技术组织措施合理、完善、详尽，完全满足项目的要求且可行性强的得6分；技术组织措施基本合理满足项目的要求且有一定可 行性的得[5，2］分；技术组织措施基本合理满足项目的要求且但可行性较差的得1分；未提供不得分。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确保环境保护组织措施</w:t>
            </w:r>
          </w:p>
        </w:tc>
        <w:tc>
          <w:tcPr>
            <w:tcW w:type="dxa" w:w="2492"/>
          </w:tcPr>
          <w:p>
            <w:pPr>
              <w:pStyle w:val="null3"/>
            </w:pPr>
            <w:r>
              <w:rPr>
                <w:rFonts w:ascii="仿宋_GB2312" w:hAnsi="仿宋_GB2312" w:cs="仿宋_GB2312" w:eastAsia="仿宋_GB2312"/>
              </w:rPr>
              <w:t>根据措施内容完整，描述清晰，且能针对性满足项目得 6分；措施内容较完 整，描述简单，可行性一般，基本 满足项目得[5，2］分；措施内容笼统，描述简单，可行性不强得1分；未提供不得分。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有健全可行且完整的技术组织措施，描述清晰，满足项目需求得6分；技术组织措施较完整，描述简单 ,基本满足项目得[5，2］分；管理制度内容笼统，描述模糊得1分;未提供不得分。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施工组织和项目管理机构合理、完善、详尽，完全满足项目的要求且可行性强的得5分；施工组织和项目管理机构基本合理满足项目的要求且有一定可行性的得[4，2］分；施工组织和项目管理机构基本合理满足项目的要求但可行性较差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施工总平面布置</w:t>
            </w:r>
          </w:p>
        </w:tc>
        <w:tc>
          <w:tcPr>
            <w:tcW w:type="dxa" w:w="2492"/>
          </w:tcPr>
          <w:p>
            <w:pPr>
              <w:pStyle w:val="null3"/>
            </w:pPr>
            <w:r>
              <w:rPr>
                <w:rFonts w:ascii="仿宋_GB2312" w:hAnsi="仿宋_GB2312" w:cs="仿宋_GB2312" w:eastAsia="仿宋_GB2312"/>
              </w:rPr>
              <w:t>根据施工总平面布置合理完整，清晰，且能针对性满足项目得5分；施工总平面布置较完整，简单，有一定可行性得[4，2］分；施工总平面布置笼统，模糊，可行性不强得1分；未提供不得分。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技术组织措施合理、完善、详尽，完全满足项目的要求且可行性强的得5分；技术组织措施基本合理满足项目的要求且有一定可 行性的得[5，2］分；技术组织措施基本合理满足项目的要求且但可行性较差的得1分；未提供不得分。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根据劳动力计划表合理完整，清晰，且能针对性满足项目得5分；劳动力计划表较完整，简单，有一定可行性得[4，2］分；劳动力计划表笼统，模糊，可行性不强得1分；未提供不得分。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机械配备情况及材料完整能充分满足本项目需求得5分；机械配备情况及材料一般，基本能满足本项目需求得 [4，2］分；配备情况不够充足，达不到本项目需求得1分；未提供不得分。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拟派项目经理</w:t>
            </w:r>
          </w:p>
        </w:tc>
        <w:tc>
          <w:tcPr>
            <w:tcW w:type="dxa" w:w="2492"/>
          </w:tcPr>
          <w:p>
            <w:pPr>
              <w:pStyle w:val="null3"/>
            </w:pPr>
            <w:r>
              <w:rPr>
                <w:rFonts w:ascii="仿宋_GB2312" w:hAnsi="仿宋_GB2312" w:cs="仿宋_GB2312" w:eastAsia="仿宋_GB2312"/>
              </w:rPr>
              <w:t>项目经理具有建筑工程相关专业中级及以上职称得5分，其他不得分。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2022年1 月至今类似项目的业绩，以合同签订时间为准。每具备1项得5分，最多得10分。评审依据：以申请人加盖公章的合同复印件或扫描件为准。供应商业绩与项目经理业绩可重复。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 分统一按照下列公式计算：磋商报价得分=（磋商基准价/最后磋商报 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