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版本号：ZD0525-047-1ZGX20251009001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2025-2026年生态环保业务服务采购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ZD0525-047-1ZGX</w:t>
      </w:r>
      <w:r>
        <w:br/>
      </w:r>
      <w:r>
        <w:br/>
      </w:r>
      <w:r>
        <w:br/>
      </w:r>
    </w:p>
    <w:p>
      <w:pPr>
        <w:pStyle w:val="null3"/>
        <w:jc w:val="center"/>
        <w:outlineLvl w:val="2"/>
      </w:pPr>
      <w:r>
        <w:rPr>
          <w:rFonts w:ascii="仿宋_GB2312" w:hAnsi="仿宋_GB2312" w:cs="仿宋_GB2312" w:eastAsia="仿宋_GB2312"/>
          <w:sz w:val="28"/>
          <w:b/>
        </w:rPr>
        <w:t>西安高新技术产业开发区城市客厅发展中心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西安高新技术产业开发区城市客厅发展中心</w:t>
      </w:r>
      <w:r>
        <w:rPr>
          <w:rFonts w:ascii="仿宋_GB2312" w:hAnsi="仿宋_GB2312" w:cs="仿宋_GB2312" w:eastAsia="仿宋_GB2312"/>
        </w:rPr>
        <w:t>委托，拟对</w:t>
      </w:r>
      <w:r>
        <w:rPr>
          <w:rFonts w:ascii="仿宋_GB2312" w:hAnsi="仿宋_GB2312" w:cs="仿宋_GB2312" w:eastAsia="仿宋_GB2312"/>
        </w:rPr>
        <w:t>2025-2026年生态环保业务服务采购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ZD0525-047-1ZGX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2025-2026年生态环保业务服务采购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加强区域生态环境保护网格化管理工作，拟采购生态环保业务服务，具体服务内容包括：生态环保网格化巡查以及案件上报、工地在线扬尘监测系统报警处置、非道路移动式机械管理、VOCs臭氧管控、餐饮油烟检查及黑臭水体监管重污染天气应急处置、环保案件督办整改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采购包1（2025-2026年生态环保业务服务采购）：属于专门面向中小企业采购。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西安高新技术产业开发区城市客厅发展中心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西安市高新区西太路800号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曹涯超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029-68292127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础，根据国家发改委《招标代理服务收费管理暂行办法》（计价格[2002]1980号）以及《关于进一步放开建设项目专项业务服务价格的通知》（发改价格[2015]299号）规定的标准收取，不足5000元的按5000元收取，此次代理费用为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西安高新技术产业开发区城市客厅发展中心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西安高新技术产业开发区城市客厅发展中心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西安高新技术产业开发区城市客厅发展中心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供应商每半年提出验收申请，采购人及时组织验收，验收合格后出具验收报告。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地址：西安市雁塔区南二环东段22号（凯森盛世1号）A座26层2611室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加强生态环境保护网格化管理工作，包括生态环保网格化巡查以及案件上报、工地在线扬尘监测系统报警处置、非道路移动式机械管理、VOCs臭氧管控、餐饮油烟检查及黑臭水体监管重污染天气应急处置、环保案件督办整改等具体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2025-2026年生态环保业务服务采购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标的名称：2025-2026年生态环保业务服务采购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一、基本要求</w:t>
            </w:r>
            <w:r>
              <w:br/>
            </w:r>
            <w:r>
              <w:rPr>
                <w:rFonts w:ascii="仿宋_GB2312" w:hAnsi="仿宋_GB2312" w:cs="仿宋_GB2312" w:eastAsia="仿宋_GB2312"/>
              </w:rPr>
              <w:t xml:space="preserve"> （一）项目概况：为全面加强区域生态环境保护网格化管理工作，拟采购生态环保业务服务，具体服务内容包括：生态环保网格化巡查以及案件上报、工地在线扬尘监测系统报警处置、非道路移动式机械管理、VOCs臭氧管控、餐饮油烟检查及黑臭水体监管重污染天气应急处置、环保案件督办整改等工作。</w:t>
            </w:r>
            <w:r>
              <w:br/>
            </w:r>
            <w:r>
              <w:rPr>
                <w:rFonts w:ascii="仿宋_GB2312" w:hAnsi="仿宋_GB2312" w:cs="仿宋_GB2312" w:eastAsia="仿宋_GB2312"/>
              </w:rPr>
              <w:t xml:space="preserve"> （二）采购项目需要落实的政府采购政策</w:t>
            </w:r>
            <w:r>
              <w:br/>
            </w:r>
            <w:r>
              <w:rPr>
                <w:rFonts w:ascii="仿宋_GB2312" w:hAnsi="仿宋_GB2312" w:cs="仿宋_GB2312" w:eastAsia="仿宋_GB2312"/>
              </w:rPr>
              <w:t xml:space="preserve"> 1.中小企业发展政策</w:t>
            </w:r>
            <w:r>
              <w:br/>
            </w:r>
            <w:r>
              <w:rPr>
                <w:rFonts w:ascii="仿宋_GB2312" w:hAnsi="仿宋_GB2312" w:cs="仿宋_GB2312" w:eastAsia="仿宋_GB2312"/>
              </w:rPr>
              <w:t xml:space="preserve"> （1）《政府采购促进中小企业发展管理办法》（财库〔2020〕46号）；</w:t>
            </w:r>
            <w:r>
              <w:br/>
            </w:r>
            <w:r>
              <w:rPr>
                <w:rFonts w:ascii="仿宋_GB2312" w:hAnsi="仿宋_GB2312" w:cs="仿宋_GB2312" w:eastAsia="仿宋_GB2312"/>
              </w:rPr>
              <w:t xml:space="preserve"> （2）《财政部、司法部关于政府采购支持监狱企业发展有关问题的通知》（财库〔2014〕68号）；</w:t>
            </w:r>
            <w:r>
              <w:br/>
            </w:r>
            <w:r>
              <w:rPr>
                <w:rFonts w:ascii="仿宋_GB2312" w:hAnsi="仿宋_GB2312" w:cs="仿宋_GB2312" w:eastAsia="仿宋_GB2312"/>
              </w:rPr>
              <w:t xml:space="preserve"> （3）《关于促进残疾人就业政府采购政策的通知》（财库〔2017〕141号）；</w:t>
            </w:r>
            <w:r>
              <w:br/>
            </w:r>
            <w:r>
              <w:rPr>
                <w:rFonts w:ascii="仿宋_GB2312" w:hAnsi="仿宋_GB2312" w:cs="仿宋_GB2312" w:eastAsia="仿宋_GB2312"/>
              </w:rPr>
              <w:t xml:space="preserve"> （4）《财政部关于进一步加大政府采购支持中小企业力度的通知》（财库〔2022〕19号）；</w:t>
            </w:r>
            <w:r>
              <w:br/>
            </w:r>
            <w:r>
              <w:rPr>
                <w:rFonts w:ascii="仿宋_GB2312" w:hAnsi="仿宋_GB2312" w:cs="仿宋_GB2312" w:eastAsia="仿宋_GB2312"/>
              </w:rPr>
              <w:t xml:space="preserve"> （5）《陕西省中小企业政府采购信用融资办法》（陕财办采〔2018〕23号）。</w:t>
            </w:r>
            <w:r>
              <w:br/>
            </w:r>
            <w:r>
              <w:rPr>
                <w:rFonts w:ascii="仿宋_GB2312" w:hAnsi="仿宋_GB2312" w:cs="仿宋_GB2312" w:eastAsia="仿宋_GB2312"/>
              </w:rPr>
              <w:t xml:space="preserve"> 2.绿色发展政策</w:t>
            </w:r>
            <w:r>
              <w:br/>
            </w:r>
            <w:r>
              <w:rPr>
                <w:rFonts w:ascii="仿宋_GB2312" w:hAnsi="仿宋_GB2312" w:cs="仿宋_GB2312" w:eastAsia="仿宋_GB2312"/>
              </w:rPr>
              <w:t xml:space="preserve"> （1）《国务院办公厅关于建立政府强制采购节能产品制度的通知》（国办发〔2007〕51号）；</w:t>
            </w:r>
            <w:r>
              <w:br/>
            </w:r>
            <w:r>
              <w:rPr>
                <w:rFonts w:ascii="仿宋_GB2312" w:hAnsi="仿宋_GB2312" w:cs="仿宋_GB2312" w:eastAsia="仿宋_GB2312"/>
              </w:rPr>
              <w:t xml:space="preserve"> （2）《财政部、国家发展改革委、生态环境部、市场监管总局关于调整优化节能产品、环境标志产品政府采购执行机制的通知》（财库〔2019〕9号）；</w:t>
            </w:r>
            <w:r>
              <w:br/>
            </w:r>
            <w:r>
              <w:rPr>
                <w:rFonts w:ascii="仿宋_GB2312" w:hAnsi="仿宋_GB2312" w:cs="仿宋_GB2312" w:eastAsia="仿宋_GB2312"/>
              </w:rPr>
              <w:t xml:space="preserve"> （3）《关于扩大政府采购支持绿色建材促进建筑品质提升政策实施范围的通知》（财库〔2022〕35号）；</w:t>
            </w:r>
            <w:r>
              <w:br/>
            </w:r>
            <w:r>
              <w:rPr>
                <w:rFonts w:ascii="仿宋_GB2312" w:hAnsi="仿宋_GB2312" w:cs="仿宋_GB2312" w:eastAsia="仿宋_GB2312"/>
              </w:rPr>
              <w:t xml:space="preserve"> （4）《商品包装政府采购需求标准（试行）》和《快递包装政府采购需求标准（试行）》（财办库〔2020〕123号）。</w:t>
            </w:r>
            <w:r>
              <w:br/>
            </w:r>
            <w:r>
              <w:rPr>
                <w:rFonts w:ascii="仿宋_GB2312" w:hAnsi="仿宋_GB2312" w:cs="仿宋_GB2312" w:eastAsia="仿宋_GB2312"/>
              </w:rPr>
              <w:t xml:space="preserve"> 3.支持本国产业政策</w:t>
            </w:r>
            <w:r>
              <w:br/>
            </w:r>
            <w:r>
              <w:rPr>
                <w:rFonts w:ascii="仿宋_GB2312" w:hAnsi="仿宋_GB2312" w:cs="仿宋_GB2312" w:eastAsia="仿宋_GB2312"/>
              </w:rPr>
              <w:t xml:space="preserve"> （1）《关于运用政府采购政策支持乡村产业振兴的通知》（财库〔2021〕19号）；</w:t>
            </w:r>
            <w:r>
              <w:br/>
            </w:r>
            <w:r>
              <w:rPr>
                <w:rFonts w:ascii="仿宋_GB2312" w:hAnsi="仿宋_GB2312" w:cs="仿宋_GB2312" w:eastAsia="仿宋_GB2312"/>
              </w:rPr>
              <w:t xml:space="preserve"> （2）《财政部关于印发&lt;进口产品管理办法&gt;的通知》（财库〔2007〕119号）；</w:t>
            </w:r>
            <w:r>
              <w:br/>
            </w:r>
            <w:r>
              <w:rPr>
                <w:rFonts w:ascii="仿宋_GB2312" w:hAnsi="仿宋_GB2312" w:cs="仿宋_GB2312" w:eastAsia="仿宋_GB2312"/>
              </w:rPr>
              <w:t xml:space="preserve"> （3）《财政部办公厅关于政府采购进口产品管理有关问题的通知》（财办库〔2008〕248号）。</w:t>
            </w:r>
            <w:r>
              <w:br/>
            </w:r>
            <w:r>
              <w:rPr>
                <w:rFonts w:ascii="仿宋_GB2312" w:hAnsi="仿宋_GB2312" w:cs="仿宋_GB2312" w:eastAsia="仿宋_GB2312"/>
              </w:rPr>
              <w:t xml:space="preserve"> 4.支持创新等政府采购政策。</w:t>
            </w:r>
            <w:r>
              <w:br/>
            </w:r>
            <w:r>
              <w:rPr>
                <w:rFonts w:ascii="仿宋_GB2312" w:hAnsi="仿宋_GB2312" w:cs="仿宋_GB2312" w:eastAsia="仿宋_GB2312"/>
              </w:rPr>
              <w:t xml:space="preserve"> （三）合同履行期限：365日历天。</w:t>
            </w:r>
            <w:r>
              <w:br/>
            </w:r>
            <w:r>
              <w:rPr>
                <w:rFonts w:ascii="仿宋_GB2312" w:hAnsi="仿宋_GB2312" w:cs="仿宋_GB2312" w:eastAsia="仿宋_GB2312"/>
              </w:rPr>
              <w:t xml:space="preserve"> （四）服务地点：采购人指定地点。</w:t>
            </w:r>
            <w:r>
              <w:br/>
            </w:r>
            <w:r>
              <w:rPr>
                <w:rFonts w:ascii="仿宋_GB2312" w:hAnsi="仿宋_GB2312" w:cs="仿宋_GB2312" w:eastAsia="仿宋_GB2312"/>
              </w:rPr>
              <w:t xml:space="preserve"> （五）服务标准：符合国家、省市、行业相关服务规范，以及达到采购人约定的服务标准，通过采购人的验收要求，达到“合格”标准。</w:t>
            </w:r>
            <w:r>
              <w:br/>
            </w:r>
            <w:r>
              <w:rPr>
                <w:rFonts w:ascii="仿宋_GB2312" w:hAnsi="仿宋_GB2312" w:cs="仿宋_GB2312" w:eastAsia="仿宋_GB2312"/>
              </w:rPr>
              <w:t xml:space="preserve"> 二、需执行的国家相关标准、行业标准、地方标准或者其他标准、规范标准</w:t>
            </w:r>
            <w:r>
              <w:br/>
            </w:r>
            <w:r>
              <w:rPr>
                <w:rFonts w:ascii="仿宋_GB2312" w:hAnsi="仿宋_GB2312" w:cs="仿宋_GB2312" w:eastAsia="仿宋_GB2312"/>
              </w:rPr>
              <w:t xml:space="preserve"> （一）国家、省市、行业有关法律法规及服务规范；</w:t>
            </w:r>
            <w:r>
              <w:br/>
            </w:r>
            <w:r>
              <w:rPr>
                <w:rFonts w:ascii="仿宋_GB2312" w:hAnsi="仿宋_GB2312" w:cs="仿宋_GB2312" w:eastAsia="仿宋_GB2312"/>
              </w:rPr>
              <w:t xml:space="preserve"> （二）环保部门下达的有关文件要求；</w:t>
            </w:r>
            <w:r>
              <w:br/>
            </w:r>
            <w:r>
              <w:rPr>
                <w:rFonts w:ascii="仿宋_GB2312" w:hAnsi="仿宋_GB2312" w:cs="仿宋_GB2312" w:eastAsia="仿宋_GB2312"/>
              </w:rPr>
              <w:t xml:space="preserve"> （三）本项目服务合同；</w:t>
            </w:r>
            <w:r>
              <w:br/>
            </w:r>
            <w:r>
              <w:rPr>
                <w:rFonts w:ascii="仿宋_GB2312" w:hAnsi="仿宋_GB2312" w:cs="仿宋_GB2312" w:eastAsia="仿宋_GB2312"/>
              </w:rPr>
              <w:t xml:space="preserve"> （四）采购人的服务要求。</w:t>
            </w:r>
            <w:r>
              <w:br/>
            </w:r>
            <w:r>
              <w:rPr>
                <w:rFonts w:ascii="仿宋_GB2312" w:hAnsi="仿宋_GB2312" w:cs="仿宋_GB2312" w:eastAsia="仿宋_GB2312"/>
              </w:rPr>
              <w:t xml:space="preserve"> 备注：凡涉及的相关规范，国家有最新标准的以最新标准为准。</w:t>
            </w:r>
            <w:r>
              <w:br/>
            </w:r>
            <w:r>
              <w:rPr>
                <w:rFonts w:ascii="仿宋_GB2312" w:hAnsi="仿宋_GB2312" w:cs="仿宋_GB2312" w:eastAsia="仿宋_GB2312"/>
              </w:rPr>
              <w:t xml:space="preserve"> 三、服务指标的具体要求</w:t>
            </w:r>
            <w:r>
              <w:br/>
            </w:r>
            <w:r>
              <w:rPr>
                <w:rFonts w:ascii="仿宋_GB2312" w:hAnsi="仿宋_GB2312" w:cs="仿宋_GB2312" w:eastAsia="仿宋_GB2312"/>
              </w:rPr>
              <w:t xml:space="preserve"> 服务工作过程中严格执行国家、省市的各项法律、法规及规章制度。具体如下：</w:t>
            </w:r>
            <w:r>
              <w:br/>
            </w:r>
            <w:r>
              <w:rPr>
                <w:rFonts w:ascii="仿宋_GB2312" w:hAnsi="仿宋_GB2312" w:cs="仿宋_GB2312" w:eastAsia="仿宋_GB2312"/>
              </w:rPr>
              <w:t xml:space="preserve"> （一）网格化管理工作</w:t>
            </w:r>
            <w:r>
              <w:br/>
            </w:r>
            <w:r>
              <w:rPr>
                <w:rFonts w:ascii="仿宋_GB2312" w:hAnsi="仿宋_GB2312" w:cs="仿宋_GB2312" w:eastAsia="仿宋_GB2312"/>
              </w:rPr>
              <w:t xml:space="preserve"> 建立网格化管理巡查制度，做好国际社区三级网格污染源点每周两次巡查签到工作，确保签到率达到100%；根据西安市网格化管理上报案件要求，严格规范上报案件，保证案件上报的数量和质量（每月上报有效案件数量不少于20个）。</w:t>
            </w:r>
            <w:r>
              <w:br/>
            </w:r>
            <w:r>
              <w:rPr>
                <w:rFonts w:ascii="仿宋_GB2312" w:hAnsi="仿宋_GB2312" w:cs="仿宋_GB2312" w:eastAsia="仿宋_GB2312"/>
              </w:rPr>
              <w:t xml:space="preserve"> （二）针对国际社区环保子站，加强周边扬尘源管控，持续改善环保子站周边空气质量，以子站数据为导向，加大区域环保巡查，确保子站数据的正常、有效。</w:t>
            </w:r>
            <w:r>
              <w:br/>
            </w:r>
            <w:r>
              <w:rPr>
                <w:rFonts w:ascii="仿宋_GB2312" w:hAnsi="仿宋_GB2312" w:cs="仿宋_GB2312" w:eastAsia="仿宋_GB2312"/>
              </w:rPr>
              <w:t xml:space="preserve"> （三）按照市、区生态委“6个百分百，7个到位”扬尘源管控要求，每周对城市客厅区域30个在建工地进行环保巡查，达到签到率100%，保证巡查频次，优化巡查路线，不留死角，形成巡查管控工作网络，发现大气污染问题及时上报。</w:t>
            </w:r>
            <w:r>
              <w:br/>
            </w:r>
            <w:r>
              <w:rPr>
                <w:rFonts w:ascii="仿宋_GB2312" w:hAnsi="仿宋_GB2312" w:cs="仿宋_GB2312" w:eastAsia="仿宋_GB2312"/>
              </w:rPr>
              <w:t xml:space="preserve"> （四）严格落实禁燃焚烧管控办法，严格落实区域禁燃禁放治理工作，重点围绕在建项目场地存在的部分明火取暖、焚烧垃圾、燃放烟花爆竹等现象开展全年的专项检查及整改督导工作。</w:t>
            </w:r>
            <w:r>
              <w:br/>
            </w:r>
            <w:r>
              <w:rPr>
                <w:rFonts w:ascii="仿宋_GB2312" w:hAnsi="仿宋_GB2312" w:cs="仿宋_GB2312" w:eastAsia="仿宋_GB2312"/>
              </w:rPr>
              <w:t xml:space="preserve"> （五）开展在建工地及入区企业餐饮清洁能源、油烟净化设施使用专项检查工作；每月摸排园区内在建工地非道路移动机械使用情况，建立检查台账。</w:t>
            </w:r>
            <w:r>
              <w:br/>
            </w:r>
            <w:r>
              <w:rPr>
                <w:rFonts w:ascii="仿宋_GB2312" w:hAnsi="仿宋_GB2312" w:cs="仿宋_GB2312" w:eastAsia="仿宋_GB2312"/>
              </w:rPr>
              <w:t xml:space="preserve"> （六）摸排区域内在建工地黑臭水体情况，确保不留死角，不留空白，全面掌握区域内在建工地黑臭水体情况。</w:t>
            </w:r>
            <w:r>
              <w:br/>
            </w:r>
            <w:r>
              <w:rPr>
                <w:rFonts w:ascii="仿宋_GB2312" w:hAnsi="仿宋_GB2312" w:cs="仿宋_GB2312" w:eastAsia="仿宋_GB2312"/>
              </w:rPr>
              <w:t xml:space="preserve"> （七）做好在建工地扬尘在线检测系统告警处置工作，做好扬尘源点巡查台账记录，每季度分析区域在建工地扬尘源发展形势，分析问题，提出扬尘源管控建议。</w:t>
            </w:r>
            <w:r>
              <w:br/>
            </w:r>
            <w:r>
              <w:rPr>
                <w:rFonts w:ascii="仿宋_GB2312" w:hAnsi="仿宋_GB2312" w:cs="仿宋_GB2312" w:eastAsia="仿宋_GB2312"/>
              </w:rPr>
              <w:t xml:space="preserve"> （八）完成发展中心交办的其它生态环保工作，协助甲方报送各类环保报表，落实任务督办，配合各类迎检及检查工作。</w:t>
            </w:r>
            <w:r>
              <w:br/>
            </w:r>
            <w:r>
              <w:rPr>
                <w:rFonts w:ascii="仿宋_GB2312" w:hAnsi="仿宋_GB2312" w:cs="仿宋_GB2312" w:eastAsia="仿宋_GB2312"/>
              </w:rPr>
              <w:t xml:space="preserve"> 四、拟投入本项目的预算</w:t>
            </w:r>
            <w:r>
              <w:br/>
            </w:r>
            <w:r>
              <w:rPr>
                <w:rFonts w:ascii="仿宋_GB2312" w:hAnsi="仿宋_GB2312" w:cs="仿宋_GB2312" w:eastAsia="仿宋_GB2312"/>
              </w:rPr>
              <w:t xml:space="preserve"> 本项目采购预算：230000.00元。</w:t>
            </w:r>
            <w:r>
              <w:br/>
            </w:r>
            <w:r>
              <w:rPr>
                <w:rFonts w:ascii="仿宋_GB2312" w:hAnsi="仿宋_GB2312" w:cs="仿宋_GB2312" w:eastAsia="仿宋_GB2312"/>
              </w:rPr>
              <w:t xml:space="preserve"> 五、项目期限、效率要求</w:t>
            </w:r>
            <w:r>
              <w:br/>
            </w:r>
            <w:r>
              <w:rPr>
                <w:rFonts w:ascii="仿宋_GB2312" w:hAnsi="仿宋_GB2312" w:cs="仿宋_GB2312" w:eastAsia="仿宋_GB2312"/>
              </w:rPr>
              <w:t xml:space="preserve"> 合同履行期限：365日历天。</w:t>
            </w:r>
            <w:r>
              <w:br/>
            </w:r>
            <w:r>
              <w:rPr>
                <w:rFonts w:ascii="仿宋_GB2312" w:hAnsi="仿宋_GB2312" w:cs="仿宋_GB2312" w:eastAsia="仿宋_GB2312"/>
              </w:rPr>
              <w:t xml:space="preserve"> 效率：按时保质保量完成采购合同规定的全部内容。</w:t>
            </w:r>
            <w:r>
              <w:br/>
            </w:r>
            <w:r>
              <w:rPr>
                <w:rFonts w:ascii="仿宋_GB2312" w:hAnsi="仿宋_GB2312" w:cs="仿宋_GB2312" w:eastAsia="仿宋_GB2312"/>
              </w:rPr>
              <w:t xml:space="preserve"> 六、付款方式</w:t>
            </w:r>
            <w:r>
              <w:br/>
            </w:r>
            <w:r>
              <w:rPr>
                <w:rFonts w:ascii="仿宋_GB2312" w:hAnsi="仿宋_GB2312" w:cs="仿宋_GB2312" w:eastAsia="仿宋_GB2312"/>
              </w:rPr>
              <w:t xml:space="preserve"> 合同付款按半年周期支付，签订合同后分两次付款。从合同签订生效开始，乙方应于每季度届满后五个工作日内，向甲方提交当季度工作考核结果，每半年届满后，甲方结合该周期内两个季度的考核结果，确认乙方履约符合合同约定标准的，予以支付相应款项。</w:t>
            </w:r>
            <w:r>
              <w:br/>
            </w:r>
            <w:r>
              <w:rPr>
                <w:rFonts w:ascii="仿宋_GB2312" w:hAnsi="仿宋_GB2312" w:cs="仿宋_GB2312" w:eastAsia="仿宋_GB2312"/>
              </w:rPr>
              <w:t xml:space="preserve"> 七、验收标准</w:t>
            </w:r>
            <w:r>
              <w:br/>
            </w:r>
            <w:r>
              <w:rPr>
                <w:rFonts w:ascii="仿宋_GB2312" w:hAnsi="仿宋_GB2312" w:cs="仿宋_GB2312" w:eastAsia="仿宋_GB2312"/>
              </w:rPr>
              <w:t xml:space="preserve"> 供应商每半年提出验收申请，采购人及时组织验收，验收合格后出具验收报告。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供应商每半年提出验收申请，采购人及时组织验收，验收合格后出具验收报告。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付款按半年周期支付，签订合同后分两次付款。从合同签订生效开始，乙方应于每季度届满后五个工作日内，向甲方提交当季度工作考核结果，每半年届满后，甲方结合该周期内两个季度的考核结果，确认乙方履约符合合同约定标准的，予以支付相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付款按半年周期支付，签订合同后分两次付款。从合同签订生效开始，乙方应于每季度届满后五个工作日内，向甲方提交当季度工作考核结果，每半年届满后，甲方结合该周期内两个季度的考核结果，确认乙方履约符合合同约定标准的，予以支付相应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1.乙方为甲方提供的服务不得侵犯任何第三方合法权益，否则，乙方应承担全部赔偿责任，甲方并有权单方解除本协议，乙方应退还甲方相应费用。 2.若乙方经甲方通知，未按计划完成环保检查等合同约定服务内容累计超过3次的，甲方有权解除本协议，并要求乙方承担总服务费30%的违约金。 3.若乙方人员不符合要求或擅自更换人员，提供虚假的人员资料的，经甲方提出后5日内仍未改正的，甲方有权解除本协议，并要求乙方承担总服务费30%的违约金。 4.乙方提供虚假服务成果或服务内容严重错误，或者乙方擅自进行执法活动，或者向他人索取财物或获取不正当利益的，甲方有权解除本协议，并要求乙方承担总服务费30%的违约金。 5.因乙方服务行为不当造成恶劣影响或被新闻媒体曝光的，甲方有权解除本协议，并要求乙方承担总服务费30%的违约金。 6.乙方擅自泄漏服务过程中所知悉的秘密信息的，甲方有权解除本协议，并要求乙方承担总服务费30%的违约金。 7.在合同履行过程中发生争议，双方应协商解决，也可以向西安仲裁委员会仲裁。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一套、副本三套、电子版(光盘一份，U盘一份）二份。纸质响应文件应与电子响应文件保持一致。 2.《工业和信息化部、国家统计局、国家发展和改革委员会、财政部关于印发中小企业划型标准规定的通知》（工信部联企业[2011]300 号）中，（十六）其他未列明行业。从业人员300人以下的为中小微型企业。其中，从业人员100人及以上的为中型企业；从业人员10人及以上的为小型企业；从业人员10人以下的为微型企业。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及该人员在本单位缴纳社保记录证明(近3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中小企业声明函 其他承诺 供应商应提交的相关资格证明材料 技术、服务及其他商务要求应答表 报价表 首次磋商报价表 响应文件封面 业绩的相关证明材料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要求对采购项目服务需求的理解，供应商有具体、完整的技术方案及主要技术措施。1.技术方案及主要技术措施完善、明确，技术方案内容全面，可行性和针对性强，得8-10分； 2.技术方案及主要技术措施较为明确，技术方案基本满足要求，可行性和针对性较强，得5-8分； 3.技术方案及主要技术措施基本清晰；技术方案常规，有一定的可行性和针对性，得3-5分； 4.技术方案及主要技术措施内容合理性较差，技术方案可行性较低，得1-3分；未提供不得分。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采购项目特点、关键技术问题的认识及其对策措施</w:t>
            </w:r>
          </w:p>
        </w:tc>
        <w:tc>
          <w:tcPr>
            <w:tcW w:type="dxa" w:w="2492"/>
          </w:tcPr>
          <w:p>
            <w:pPr>
              <w:pStyle w:val="null3"/>
            </w:pPr>
            <w:r>
              <w:rPr>
                <w:rFonts w:ascii="仿宋_GB2312" w:hAnsi="仿宋_GB2312" w:cs="仿宋_GB2312" w:eastAsia="仿宋_GB2312"/>
              </w:rPr>
              <w:t>根据采购项目特点、关键技术问题的认识及其对策措施完整且切实可行，描述清晰，且能针对性满足本项目得5-6分；管理措施内容较完整，描述一般，可操作性一般，基本能够满足本项目得3-5分；管理措施内容较简单，描述简单，可操作性较差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项目难点分析及解决策略</w:t>
            </w:r>
          </w:p>
        </w:tc>
        <w:tc>
          <w:tcPr>
            <w:tcW w:type="dxa" w:w="2492"/>
          </w:tcPr>
          <w:p>
            <w:pPr>
              <w:pStyle w:val="null3"/>
            </w:pPr>
            <w:r>
              <w:rPr>
                <w:rFonts w:ascii="仿宋_GB2312" w:hAnsi="仿宋_GB2312" w:cs="仿宋_GB2312" w:eastAsia="仿宋_GB2312"/>
              </w:rPr>
              <w:t>供应商围绕本项目特点提出项目的难点，明确项目的总体要求、工作原则和解决策略。 1.描述全面完整，重点及难点把握准确，分析到位，解决措施科学完善、切实可行，得5-6分； 2.描述较为全面，重点及难点把握较为准确，分析基本合理，解决措施合理可行，得3-5分； 3.描述简单，重点及难点把握有偏差，分析欠缺，得1-3分；未提供不得分。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对采购项目的质量保证措施</w:t>
            </w:r>
          </w:p>
        </w:tc>
        <w:tc>
          <w:tcPr>
            <w:tcW w:type="dxa" w:w="2492"/>
          </w:tcPr>
          <w:p>
            <w:pPr>
              <w:pStyle w:val="null3"/>
            </w:pPr>
            <w:r>
              <w:rPr>
                <w:rFonts w:ascii="仿宋_GB2312" w:hAnsi="仿宋_GB2312" w:cs="仿宋_GB2312" w:eastAsia="仿宋_GB2312"/>
              </w:rPr>
              <w:t>质量保证措施合理、完善、详尽，完全满足项目的要求且可行性强的得5-6分；进度控制管理措施基本合理满足项目的要求且有一定可行性的得3-5分；进度控制管理措施基本合理满足项目的要求且但可行性较差的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对采购项目的进度保证措施</w:t>
            </w:r>
          </w:p>
        </w:tc>
        <w:tc>
          <w:tcPr>
            <w:tcW w:type="dxa" w:w="2492"/>
          </w:tcPr>
          <w:p>
            <w:pPr>
              <w:pStyle w:val="null3"/>
            </w:pPr>
            <w:r>
              <w:rPr>
                <w:rFonts w:ascii="仿宋_GB2312" w:hAnsi="仿宋_GB2312" w:cs="仿宋_GB2312" w:eastAsia="仿宋_GB2312"/>
              </w:rPr>
              <w:t>根据对采购项目的进度保证措施内容完整，描述清晰，且能针对性满足项目得5-6分；进度保证措施内容较完整，描述简单，可行性一般，基本满足项目得3-5分；进度保证措施内容笼统，描述简单，可行性不强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对采购项目的安全保障措施</w:t>
            </w:r>
          </w:p>
        </w:tc>
        <w:tc>
          <w:tcPr>
            <w:tcW w:type="dxa" w:w="2492"/>
          </w:tcPr>
          <w:p>
            <w:pPr>
              <w:pStyle w:val="null3"/>
            </w:pPr>
            <w:r>
              <w:rPr>
                <w:rFonts w:ascii="仿宋_GB2312" w:hAnsi="仿宋_GB2312" w:cs="仿宋_GB2312" w:eastAsia="仿宋_GB2312"/>
              </w:rPr>
              <w:t>安全保障措施合理、完善、详尽，完全满足项目的要求且可行性强的得5-6分；安全保障措施基本合理满足项目的要求且有一定可行性的得3-5分；安全保障措施基本合理满足项目的要求且但可行性较差的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能够保证在出现紧急情况时第一时间响应且做出应对，措施完整可靠得5-6分；在出现紧急情况时积极响应，保障措施内容较完整可行得3-5分；在出现紧急情况时响应性较差，保障措施不够充分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后续服务的安排及保证措施</w:t>
            </w:r>
          </w:p>
        </w:tc>
        <w:tc>
          <w:tcPr>
            <w:tcW w:type="dxa" w:w="2492"/>
          </w:tcPr>
          <w:p>
            <w:pPr>
              <w:pStyle w:val="null3"/>
            </w:pPr>
            <w:r>
              <w:rPr>
                <w:rFonts w:ascii="仿宋_GB2312" w:hAnsi="仿宋_GB2312" w:cs="仿宋_GB2312" w:eastAsia="仿宋_GB2312"/>
              </w:rPr>
              <w:t>根据措施内容完整，描述清晰，且能针对性满足项目得5-6分；措施内容较完整，描述简单，有一定可行性得3-5分；措施内容笼统，描述模糊，可行性不强得1-3分；未提供不得分。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针对本项目向采购人提出合理化建议。根据合理化建议内容完整，描述清晰，且可行性强得5-6分；方案内容较完整，描述简单，可行性一般得3-5分；方案内容笼统，描述简单，可行性不强得1-3分；未提供不得分。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1.拟派项目负责人具有中级及以上职称者得3分，其他不得分。 2拟派项目负责人具有本科及以上学历得3分，专科学历得1分，其他不得分。 2.拟派项目负责人近五年（2020年1月1日至今，以合同签订时间或中标通知书时间为准）具有一个类似项目业绩得4分，最高得4分（以合同或中标通知书或其他有效证明材料中能体现项目总监姓名的为准，单位不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1..拟投入本项目的项目组成员(项目负责人除外)具备中级及以上职称，每提供一个得2.5分，最高得10分；未提供不得分。未按要求提供不得分。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提供2020年1月至今（以合同签订时间为准）类似项目业绩，每份业绩计4分，满分12分。 注：响应文件中提供合同或合同关键页复印件并加盖公章。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详见附件：2025-2026年生态环保业务服务采购合同.docx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