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15" w:type="dxa"/>
        <w:tblInd w:w="6357" w:type="dxa"/>
        <w:tblBorders>
          <w:top w:val="none" w:color="auto" w:sz="0" w:space="0"/>
          <w:left w:val="single" w:color="FF0000" w:sz="2" w:space="0"/>
          <w:bottom w:val="single" w:color="FF0000" w:sz="2" w:space="0"/>
          <w:right w:val="single" w:color="FF0000" w:sz="2" w:space="0"/>
          <w:insideH w:val="none" w:color="auto" w:sz="0" w:space="0"/>
          <w:insideV w:val="none" w:color="auto" w:sz="0" w:space="0"/>
        </w:tblBorders>
        <w:tblLayout w:type="fixed"/>
        <w:tblCellMar>
          <w:top w:w="0" w:type="dxa"/>
          <w:left w:w="0" w:type="dxa"/>
          <w:bottom w:w="0" w:type="dxa"/>
          <w:right w:w="0" w:type="dxa"/>
        </w:tblCellMar>
      </w:tblPr>
      <w:tblGrid>
        <w:gridCol w:w="1015"/>
      </w:tblGrid>
      <w:tr w14:paraId="7A5907BB">
        <w:tblPrEx>
          <w:tblBorders>
            <w:top w:val="none" w:color="auto" w:sz="0" w:space="0"/>
            <w:left w:val="single" w:color="FF0000" w:sz="2" w:space="0"/>
            <w:bottom w:val="single" w:color="FF0000" w:sz="2" w:space="0"/>
            <w:right w:val="single" w:color="FF0000" w:sz="2" w:space="0"/>
            <w:insideH w:val="none" w:color="auto" w:sz="0" w:space="0"/>
            <w:insideV w:val="none" w:color="auto" w:sz="0" w:space="0"/>
          </w:tblBorders>
          <w:tblCellMar>
            <w:top w:w="0" w:type="dxa"/>
            <w:left w:w="0" w:type="dxa"/>
            <w:bottom w:w="0" w:type="dxa"/>
            <w:right w:w="0" w:type="dxa"/>
          </w:tblCellMar>
        </w:tblPrEx>
        <w:trPr>
          <w:trHeight w:val="764" w:hRule="atLeast"/>
        </w:trPr>
        <w:tc>
          <w:tcPr>
            <w:tcW w:w="1015" w:type="dxa"/>
            <w:vAlign w:val="top"/>
          </w:tcPr>
          <w:p w14:paraId="2BDE0A44">
            <w:pPr>
              <w:spacing w:before="287" w:line="219" w:lineRule="auto"/>
              <w:ind w:left="150"/>
              <w:rPr>
                <w:rFonts w:ascii="宋体" w:hAnsi="宋体" w:eastAsia="宋体" w:cs="宋体"/>
                <w:sz w:val="36"/>
                <w:szCs w:val="36"/>
              </w:rPr>
            </w:pPr>
            <w:r>
              <w:pict>
                <v:shape id="_x0000_s1026" o:spid="_x0000_s1026" o:spt="202" type="#_x0000_t202" style="position:absolute;left:0pt;margin-left:125.1pt;margin-top:84.7pt;height:13.85pt;width:160.9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14:paraId="7A3309B3">
                        <w:pPr>
                          <w:spacing w:before="19" w:line="219" w:lineRule="auto"/>
                          <w:ind w:left="20"/>
                          <w:rPr>
                            <w:rFonts w:ascii="Times New Roman" w:hAnsi="Times New Roman" w:eastAsia="Times New Roman" w:cs="Times New Roman"/>
                            <w:sz w:val="20"/>
                            <w:szCs w:val="20"/>
                          </w:rPr>
                        </w:pPr>
                        <w:r>
                          <w:rPr>
                            <w:rFonts w:ascii="宋体" w:hAnsi="宋体" w:eastAsia="宋体" w:cs="宋体"/>
                            <w:b/>
                            <w:bCs/>
                            <w:spacing w:val="-3"/>
                            <w:sz w:val="20"/>
                            <w:szCs w:val="20"/>
                          </w:rPr>
                          <w:t>高新管委会编号：</w:t>
                        </w:r>
                      </w:p>
                    </w:txbxContent>
                  </v:textbox>
                </v:shape>
              </w:pict>
            </w:r>
            <w:r>
              <w:rPr>
                <w:rFonts w:ascii="宋体" w:hAnsi="宋体" w:eastAsia="宋体" w:cs="宋体"/>
                <w:b/>
                <w:bCs/>
                <w:color w:val="803040"/>
                <w:spacing w:val="-10"/>
                <w:sz w:val="36"/>
                <w:szCs w:val="36"/>
              </w:rPr>
              <w:t>副本</w:t>
            </w:r>
          </w:p>
        </w:tc>
      </w:tr>
    </w:tbl>
    <w:p w14:paraId="6C2921F7">
      <w:pPr>
        <w:pStyle w:val="2"/>
        <w:spacing w:line="245" w:lineRule="auto"/>
      </w:pPr>
    </w:p>
    <w:p w14:paraId="296C26B3">
      <w:pPr>
        <w:pStyle w:val="2"/>
        <w:spacing w:line="245" w:lineRule="auto"/>
      </w:pPr>
    </w:p>
    <w:p w14:paraId="0F9F36CE">
      <w:pPr>
        <w:pStyle w:val="2"/>
        <w:spacing w:line="245" w:lineRule="auto"/>
      </w:pPr>
    </w:p>
    <w:p w14:paraId="015F37D2">
      <w:pPr>
        <w:pStyle w:val="2"/>
        <w:spacing w:line="245" w:lineRule="auto"/>
      </w:pPr>
    </w:p>
    <w:p w14:paraId="249A9310">
      <w:pPr>
        <w:pStyle w:val="2"/>
        <w:spacing w:line="245" w:lineRule="auto"/>
      </w:pPr>
    </w:p>
    <w:p w14:paraId="17EE4E1A">
      <w:pPr>
        <w:pStyle w:val="2"/>
        <w:spacing w:line="245" w:lineRule="auto"/>
      </w:pPr>
    </w:p>
    <w:p w14:paraId="14CCC9BF">
      <w:pPr>
        <w:pStyle w:val="2"/>
        <w:spacing w:line="245" w:lineRule="auto"/>
      </w:pPr>
    </w:p>
    <w:p w14:paraId="2594DAC7">
      <w:pPr>
        <w:pStyle w:val="2"/>
        <w:spacing w:line="246" w:lineRule="auto"/>
      </w:pPr>
      <w:r>
        <w:drawing>
          <wp:anchor distT="0" distB="0" distL="0" distR="0" simplePos="0" relativeHeight="251660288" behindDoc="0" locked="0" layoutInCell="1" allowOverlap="1">
            <wp:simplePos x="0" y="0"/>
            <wp:positionH relativeFrom="column">
              <wp:posOffset>5708650</wp:posOffset>
            </wp:positionH>
            <wp:positionV relativeFrom="paragraph">
              <wp:posOffset>55245</wp:posOffset>
            </wp:positionV>
            <wp:extent cx="12065" cy="254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11848" cy="25217"/>
                    </a:xfrm>
                    <a:prstGeom prst="rect">
                      <a:avLst/>
                    </a:prstGeom>
                  </pic:spPr>
                </pic:pic>
              </a:graphicData>
            </a:graphic>
          </wp:anchor>
        </w:drawing>
      </w:r>
    </w:p>
    <w:p w14:paraId="2054295E">
      <w:pPr>
        <w:pStyle w:val="2"/>
        <w:spacing w:line="246" w:lineRule="auto"/>
      </w:pPr>
    </w:p>
    <w:p w14:paraId="6C93652B">
      <w:pPr>
        <w:spacing w:before="97" w:line="219" w:lineRule="auto"/>
        <w:ind w:left="1489"/>
        <w:rPr>
          <w:rFonts w:ascii="宋体" w:hAnsi="宋体" w:eastAsia="宋体" w:cs="宋体"/>
          <w:sz w:val="30"/>
          <w:szCs w:val="30"/>
        </w:rPr>
      </w:pPr>
      <w:r>
        <w:rPr>
          <w:rFonts w:hint="eastAsia" w:ascii="宋体" w:hAnsi="宋体" w:eastAsia="宋体" w:cs="宋体"/>
          <w:b/>
          <w:bCs/>
          <w:spacing w:val="-5"/>
          <w:sz w:val="30"/>
          <w:szCs w:val="30"/>
        </w:rPr>
        <w:t>高新区2025年市政公用照明维护维修</w:t>
      </w:r>
    </w:p>
    <w:p w14:paraId="3E861EBA">
      <w:pPr>
        <w:pStyle w:val="2"/>
        <w:spacing w:line="394" w:lineRule="auto"/>
      </w:pPr>
    </w:p>
    <w:p w14:paraId="2AF9A0A7">
      <w:pPr>
        <w:spacing w:before="98" w:line="220" w:lineRule="auto"/>
        <w:ind w:left="3569"/>
        <w:rPr>
          <w:rFonts w:ascii="宋体" w:hAnsi="宋体" w:eastAsia="宋体" w:cs="宋体"/>
          <w:sz w:val="30"/>
          <w:szCs w:val="30"/>
        </w:rPr>
      </w:pPr>
      <w:r>
        <w:rPr>
          <w:rFonts w:ascii="宋体" w:hAnsi="宋体" w:eastAsia="宋体" w:cs="宋体"/>
          <w:b/>
          <w:bCs/>
          <w:spacing w:val="-7"/>
          <w:sz w:val="30"/>
          <w:szCs w:val="30"/>
        </w:rPr>
        <w:t>项目合同</w:t>
      </w:r>
    </w:p>
    <w:p w14:paraId="73465DA9">
      <w:pPr>
        <w:pStyle w:val="2"/>
        <w:spacing w:line="247" w:lineRule="auto"/>
      </w:pPr>
    </w:p>
    <w:p w14:paraId="204812ED">
      <w:pPr>
        <w:pStyle w:val="2"/>
        <w:spacing w:line="247" w:lineRule="auto"/>
      </w:pPr>
    </w:p>
    <w:p w14:paraId="25B21E80">
      <w:pPr>
        <w:pStyle w:val="2"/>
        <w:spacing w:line="247" w:lineRule="auto"/>
      </w:pPr>
    </w:p>
    <w:p w14:paraId="2F851D56">
      <w:pPr>
        <w:pStyle w:val="2"/>
        <w:spacing w:line="247" w:lineRule="auto"/>
      </w:pPr>
    </w:p>
    <w:p w14:paraId="1F447C87">
      <w:pPr>
        <w:pStyle w:val="2"/>
        <w:spacing w:line="247" w:lineRule="auto"/>
      </w:pPr>
    </w:p>
    <w:p w14:paraId="68230017">
      <w:pPr>
        <w:pStyle w:val="2"/>
        <w:spacing w:line="247" w:lineRule="auto"/>
      </w:pPr>
    </w:p>
    <w:p w14:paraId="15D86A23">
      <w:pPr>
        <w:pStyle w:val="2"/>
        <w:spacing w:line="247" w:lineRule="auto"/>
      </w:pPr>
    </w:p>
    <w:p w14:paraId="18D4F868">
      <w:pPr>
        <w:pStyle w:val="2"/>
        <w:spacing w:line="247" w:lineRule="auto"/>
      </w:pPr>
    </w:p>
    <w:p w14:paraId="45455DAA">
      <w:pPr>
        <w:pStyle w:val="2"/>
        <w:spacing w:line="247" w:lineRule="auto"/>
      </w:pPr>
    </w:p>
    <w:p w14:paraId="2BAB208B">
      <w:pPr>
        <w:pStyle w:val="2"/>
        <w:spacing w:line="247" w:lineRule="auto"/>
      </w:pPr>
    </w:p>
    <w:p w14:paraId="65BDD989">
      <w:pPr>
        <w:pStyle w:val="2"/>
        <w:spacing w:line="247" w:lineRule="auto"/>
      </w:pPr>
    </w:p>
    <w:p w14:paraId="02FD9F94">
      <w:pPr>
        <w:pStyle w:val="2"/>
        <w:spacing w:line="247" w:lineRule="auto"/>
      </w:pPr>
    </w:p>
    <w:p w14:paraId="50B2976D">
      <w:pPr>
        <w:pStyle w:val="2"/>
        <w:spacing w:line="247" w:lineRule="auto"/>
      </w:pPr>
    </w:p>
    <w:p w14:paraId="4EB1F86A">
      <w:pPr>
        <w:pStyle w:val="2"/>
        <w:spacing w:line="248" w:lineRule="auto"/>
      </w:pPr>
    </w:p>
    <w:p w14:paraId="3D495450">
      <w:pPr>
        <w:pStyle w:val="2"/>
        <w:spacing w:line="248" w:lineRule="auto"/>
      </w:pPr>
    </w:p>
    <w:p w14:paraId="01204382">
      <w:pPr>
        <w:pStyle w:val="2"/>
        <w:spacing w:line="248" w:lineRule="auto"/>
      </w:pPr>
    </w:p>
    <w:p w14:paraId="6F408B39">
      <w:pPr>
        <w:pStyle w:val="2"/>
        <w:spacing w:line="248" w:lineRule="auto"/>
      </w:pPr>
    </w:p>
    <w:p w14:paraId="47110D2E">
      <w:pPr>
        <w:pStyle w:val="2"/>
        <w:spacing w:line="248" w:lineRule="auto"/>
      </w:pPr>
    </w:p>
    <w:p w14:paraId="400CD726">
      <w:pPr>
        <w:pStyle w:val="2"/>
        <w:spacing w:line="248" w:lineRule="auto"/>
      </w:pPr>
    </w:p>
    <w:p w14:paraId="04F58887">
      <w:pPr>
        <w:pStyle w:val="2"/>
        <w:spacing w:line="248" w:lineRule="auto"/>
      </w:pPr>
    </w:p>
    <w:p w14:paraId="0E123042">
      <w:pPr>
        <w:pStyle w:val="2"/>
        <w:spacing w:line="248" w:lineRule="auto"/>
      </w:pPr>
    </w:p>
    <w:p w14:paraId="77D7A764">
      <w:pPr>
        <w:pStyle w:val="2"/>
        <w:spacing w:line="248" w:lineRule="auto"/>
      </w:pPr>
    </w:p>
    <w:p w14:paraId="4F0203F1">
      <w:pPr>
        <w:pStyle w:val="2"/>
        <w:spacing w:line="248" w:lineRule="auto"/>
      </w:pPr>
    </w:p>
    <w:p w14:paraId="70070BE7">
      <w:pPr>
        <w:pStyle w:val="2"/>
        <w:spacing w:line="248" w:lineRule="auto"/>
      </w:pPr>
    </w:p>
    <w:p w14:paraId="4391DA81">
      <w:pPr>
        <w:pStyle w:val="2"/>
        <w:spacing w:line="248" w:lineRule="auto"/>
      </w:pPr>
    </w:p>
    <w:p w14:paraId="7788FDD6">
      <w:pPr>
        <w:pStyle w:val="2"/>
        <w:spacing w:line="248" w:lineRule="auto"/>
      </w:pPr>
    </w:p>
    <w:p w14:paraId="3660708B">
      <w:pPr>
        <w:pStyle w:val="2"/>
        <w:spacing w:line="248" w:lineRule="auto"/>
      </w:pPr>
    </w:p>
    <w:p w14:paraId="49D5F03C">
      <w:pPr>
        <w:pStyle w:val="2"/>
        <w:spacing w:line="248" w:lineRule="auto"/>
      </w:pPr>
    </w:p>
    <w:p w14:paraId="633A8E15">
      <w:pPr>
        <w:pStyle w:val="2"/>
        <w:spacing w:line="248" w:lineRule="auto"/>
      </w:pPr>
    </w:p>
    <w:p w14:paraId="7CD3B99F">
      <w:pPr>
        <w:pStyle w:val="2"/>
        <w:spacing w:line="248" w:lineRule="auto"/>
      </w:pPr>
    </w:p>
    <w:p w14:paraId="0E598B34">
      <w:pPr>
        <w:pStyle w:val="2"/>
        <w:spacing w:line="248" w:lineRule="auto"/>
      </w:pPr>
    </w:p>
    <w:p w14:paraId="63009A0B">
      <w:pPr>
        <w:pStyle w:val="2"/>
        <w:spacing w:line="248" w:lineRule="auto"/>
      </w:pPr>
    </w:p>
    <w:p w14:paraId="0E9E1201">
      <w:pPr>
        <w:pStyle w:val="2"/>
        <w:spacing w:line="248" w:lineRule="auto"/>
      </w:pPr>
    </w:p>
    <w:p w14:paraId="160DB17B">
      <w:pPr>
        <w:pStyle w:val="2"/>
        <w:spacing w:line="248" w:lineRule="auto"/>
      </w:pPr>
    </w:p>
    <w:p w14:paraId="03B12BD4">
      <w:pPr>
        <w:pStyle w:val="2"/>
        <w:spacing w:line="248" w:lineRule="auto"/>
      </w:pPr>
    </w:p>
    <w:p w14:paraId="5BC31C0D">
      <w:pPr>
        <w:pStyle w:val="2"/>
        <w:spacing w:line="248" w:lineRule="auto"/>
      </w:pPr>
    </w:p>
    <w:p w14:paraId="5B74654E">
      <w:pPr>
        <w:spacing w:before="65" w:line="219" w:lineRule="auto"/>
        <w:ind w:left="2697"/>
        <w:rPr>
          <w:rFonts w:ascii="宋体" w:hAnsi="宋体" w:eastAsia="宋体" w:cs="宋体"/>
          <w:sz w:val="20"/>
          <w:szCs w:val="20"/>
        </w:rPr>
      </w:pPr>
      <w:r>
        <w:rPr>
          <w:rFonts w:ascii="宋体" w:hAnsi="宋体" w:eastAsia="宋体" w:cs="宋体"/>
          <w:b/>
          <w:bCs/>
          <w:sz w:val="20"/>
          <w:szCs w:val="20"/>
        </w:rPr>
        <w:t>签订日期：202</w:t>
      </w:r>
      <w:r>
        <w:rPr>
          <w:rFonts w:hint="eastAsia" w:ascii="宋体" w:hAnsi="宋体" w:eastAsia="宋体" w:cs="宋体"/>
          <w:b/>
          <w:bCs/>
          <w:sz w:val="20"/>
          <w:szCs w:val="20"/>
          <w:lang w:val="en-US" w:eastAsia="zh-CN"/>
        </w:rPr>
        <w:t>5</w:t>
      </w:r>
      <w:r>
        <w:rPr>
          <w:rFonts w:ascii="宋体" w:hAnsi="宋体" w:eastAsia="宋体" w:cs="宋体"/>
          <w:b/>
          <w:bCs/>
          <w:sz w:val="20"/>
          <w:szCs w:val="20"/>
        </w:rPr>
        <w:t>年</w:t>
      </w:r>
      <w:r>
        <w:rPr>
          <w:rFonts w:hint="eastAsia" w:ascii="宋体" w:hAnsi="宋体" w:eastAsia="宋体" w:cs="宋体"/>
          <w:b/>
          <w:bCs/>
          <w:sz w:val="20"/>
          <w:szCs w:val="20"/>
          <w:lang w:val="en-US" w:eastAsia="zh-CN"/>
        </w:rPr>
        <w:t xml:space="preserve">  </w:t>
      </w:r>
      <w:r>
        <w:rPr>
          <w:rFonts w:ascii="宋体" w:hAnsi="宋体" w:eastAsia="宋体" w:cs="宋体"/>
          <w:b/>
          <w:bCs/>
          <w:sz w:val="20"/>
          <w:szCs w:val="20"/>
        </w:rPr>
        <w:t>月</w:t>
      </w:r>
      <w:r>
        <w:rPr>
          <w:rFonts w:hint="eastAsia" w:ascii="宋体" w:hAnsi="宋体" w:eastAsia="宋体" w:cs="宋体"/>
          <w:b/>
          <w:bCs/>
          <w:sz w:val="20"/>
          <w:szCs w:val="20"/>
          <w:lang w:val="en-US" w:eastAsia="zh-CN"/>
        </w:rPr>
        <w:t xml:space="preserve">  </w:t>
      </w:r>
      <w:r>
        <w:rPr>
          <w:rFonts w:ascii="宋体" w:hAnsi="宋体" w:eastAsia="宋体" w:cs="宋体"/>
          <w:b/>
          <w:bCs/>
          <w:sz w:val="20"/>
          <w:szCs w:val="20"/>
        </w:rPr>
        <w:t>日</w:t>
      </w:r>
    </w:p>
    <w:p w14:paraId="6C36CF1F">
      <w:pPr>
        <w:pStyle w:val="2"/>
        <w:spacing w:line="257" w:lineRule="auto"/>
      </w:pPr>
    </w:p>
    <w:p w14:paraId="2758FF0D">
      <w:pPr>
        <w:pStyle w:val="2"/>
        <w:spacing w:line="257" w:lineRule="auto"/>
      </w:pPr>
    </w:p>
    <w:p w14:paraId="1F9D7E9A">
      <w:pPr>
        <w:pStyle w:val="2"/>
        <w:spacing w:line="257" w:lineRule="auto"/>
      </w:pPr>
    </w:p>
    <w:p w14:paraId="21AFA9DC">
      <w:pPr>
        <w:pStyle w:val="2"/>
        <w:spacing w:line="257" w:lineRule="auto"/>
      </w:pPr>
    </w:p>
    <w:p w14:paraId="1FE2A77C">
      <w:pPr>
        <w:pStyle w:val="2"/>
        <w:spacing w:line="257" w:lineRule="auto"/>
      </w:pPr>
    </w:p>
    <w:p w14:paraId="1DB903DD">
      <w:pPr>
        <w:pStyle w:val="2"/>
        <w:spacing w:line="258" w:lineRule="auto"/>
      </w:pPr>
    </w:p>
    <w:p w14:paraId="31D8720D">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甲方；</w:t>
      </w:r>
      <w:r>
        <w:rPr>
          <w:rFonts w:hint="eastAsia" w:ascii="方正仿宋_GB2312" w:hAnsi="方正仿宋_GB2312" w:eastAsia="方正仿宋_GB2312" w:cs="方正仿宋_GB2312"/>
          <w:sz w:val="24"/>
          <w:szCs w:val="24"/>
          <w:u w:val="single"/>
        </w:rPr>
        <w:t>西安高新技术产业开发区城市管理和综合执法局</w:t>
      </w:r>
      <w:r>
        <w:rPr>
          <w:rFonts w:hint="eastAsia" w:ascii="方正仿宋_GB2312" w:hAnsi="方正仿宋_GB2312" w:eastAsia="方正仿宋_GB2312" w:cs="方正仿宋_GB2312"/>
          <w:sz w:val="24"/>
          <w:szCs w:val="24"/>
        </w:rPr>
        <w:t xml:space="preserve"> </w:t>
      </w:r>
    </w:p>
    <w:p w14:paraId="023FC21C">
      <w:pPr>
        <w:pStyle w:val="7"/>
        <w:spacing w:line="360" w:lineRule="auto"/>
        <w:ind w:firstLine="480"/>
        <w:rPr>
          <w:rFonts w:hint="default" w:ascii="方正仿宋_GB2312" w:hAnsi="方正仿宋_GB2312" w:eastAsia="方正仿宋_GB2312" w:cs="方正仿宋_GB2312"/>
          <w:sz w:val="24"/>
          <w:szCs w:val="24"/>
          <w:u w:val="single"/>
          <w:lang w:val="en-US" w:eastAsia="zh-CN"/>
        </w:rPr>
      </w:pPr>
      <w:r>
        <w:rPr>
          <w:rFonts w:hint="eastAsia" w:ascii="方正仿宋_GB2312" w:hAnsi="方正仿宋_GB2312" w:eastAsia="方正仿宋_GB2312" w:cs="方正仿宋_GB2312"/>
          <w:sz w:val="24"/>
          <w:szCs w:val="24"/>
        </w:rPr>
        <w:t>乙方：</w:t>
      </w:r>
      <w:r>
        <w:rPr>
          <w:rFonts w:hint="eastAsia" w:ascii="方正仿宋_GB2312" w:hAnsi="方正仿宋_GB2312" w:eastAsia="方正仿宋_GB2312" w:cs="方正仿宋_GB2312"/>
          <w:sz w:val="24"/>
          <w:szCs w:val="24"/>
          <w:u w:val="single"/>
          <w:lang w:val="en-US" w:eastAsia="zh-CN"/>
        </w:rPr>
        <w:t xml:space="preserve">                                               </w:t>
      </w:r>
    </w:p>
    <w:p w14:paraId="50EDAC6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双方根据《中华人民共和国民法典》、《中华人民共和国建筑法》、《中华  人民共和国政府采购法》等法律沃贱，本着率等、自愿、公平、互利和诚实信用的 原则，经双方协商一致签订本合同：</w:t>
      </w:r>
    </w:p>
    <w:p w14:paraId="1DBF378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一、项目概况</w:t>
      </w:r>
    </w:p>
    <w:p w14:paraId="7C685EF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1、项目名称：高新区2025年市政公用照明维护维修项目</w:t>
      </w:r>
    </w:p>
    <w:p w14:paraId="37F6509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2、项目地点：西安市高新区</w:t>
      </w:r>
    </w:p>
    <w:p w14:paraId="12EA8E0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3、承包范围：(详见工程量清单)。</w:t>
      </w:r>
    </w:p>
    <w:p w14:paraId="1902BE0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 、服务期：合同签订之日起</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rPr>
        <w:t>年。</w:t>
      </w:r>
    </w:p>
    <w:p w14:paraId="474912D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 、服务要求</w:t>
      </w:r>
    </w:p>
    <w:p w14:paraId="36F66A5B">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一 ) 巡查、维护、管理要求</w:t>
      </w:r>
    </w:p>
    <w:p w14:paraId="4AB6D8A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一)巡查相关要求</w:t>
      </w:r>
    </w:p>
    <w:p w14:paraId="3AE240D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1、人员配备</w:t>
      </w:r>
    </w:p>
    <w:p w14:paraId="7CBDB25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巡查员：能够熟练驾驶巡查车辆及处理简单故障。</w:t>
      </w:r>
    </w:p>
    <w:p w14:paraId="597FCCB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电工：强电、弱电，持证上岗具有专业的操作技能以及2年以上电气施工或 维修经验。</w:t>
      </w:r>
    </w:p>
    <w:p w14:paraId="6DC6DA1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资料员：有电力施工工程资料相关经验，熟练操作Office、CAD 等办公软件。</w:t>
      </w:r>
    </w:p>
    <w:p w14:paraId="3DF8A43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2、设备配备</w:t>
      </w:r>
    </w:p>
    <w:p w14:paraId="5EF4914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(1)维护单位需配备专用巡查车辆、辅助电动车及电工巡查作业常用工器具 (如：验电笔、万用表、兆欧表、钳流表等)。</w:t>
      </w:r>
    </w:p>
    <w:p w14:paraId="5B206C0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(2)维护单位日常维护中应自行承担上岗人员合格的安全用具(如绝缘手套、 绝缘靴、安全帽等劳保用具)。</w:t>
      </w:r>
    </w:p>
    <w:p w14:paraId="4A517C2B">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(3)维护单位应配备相应的备品备件(如：相关的各类灯具、开关、电缆等)</w:t>
      </w:r>
    </w:p>
    <w:p w14:paraId="73BB617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3、巡查要求</w:t>
      </w:r>
    </w:p>
    <w:p w14:paraId="178366DB">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(1)维护单位需按要求保证24小时具有行业合格资质的人员在岗，并确保 值班电话的畅通和业务信息传递，做好优质的服务。</w:t>
      </w:r>
    </w:p>
    <w:p w14:paraId="52EB29D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(2)维护单位应按照运行维护要求成立巡查机构。为保障设备设施的安全运行要求，维护单位每班次须配备专用巡查车辆，电气工程师，技术人员。其中白  班</w:t>
      </w:r>
    </w:p>
    <w:p w14:paraId="67C70EF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巡查人员巡检区域全面覆盖，夜班巡查人员巡检区域全面覆盖。每天巡查巡检 科学合理安排并做好相关巡查记录。</w:t>
      </w:r>
    </w:p>
    <w:p w14:paraId="2A2E043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(3)每班次巡查人员做好相应的巡查记录，以备查验，巡查过程中发现问题</w:t>
      </w:r>
    </w:p>
    <w:p w14:paraId="554357B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应及时处理并上报主管单位。</w:t>
      </w:r>
    </w:p>
    <w:p w14:paraId="520E2FB3">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(4)巡查人员应做好交接班工作，确保巡查工作的正常进行。</w:t>
      </w:r>
    </w:p>
    <w:p w14:paraId="6A376E2D">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(5)每天每班对所管辖设备巡查不少于一次，如遇甲方通知的特殊任务和设备 过负荷、大风、雷雨、大雾、大雪等天气和短路事故应做相应的巡查调整，做好巡检记录并以文字形式向甲方汇报设备安全运行情况。</w:t>
      </w:r>
    </w:p>
    <w:p w14:paraId="178B64A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(6)节假日、重大活动及接待任务时，维护单位应合理安排巡查人员确保设 备设施的正常运行。</w:t>
      </w:r>
    </w:p>
    <w:p w14:paraId="50E8C91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(二)维修、维护</w:t>
      </w:r>
    </w:p>
    <w:p w14:paraId="7CBC8CE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1、维修人员配备</w:t>
      </w:r>
    </w:p>
    <w:p w14:paraId="6C20D2B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高空作业工人：需持有国家相关机构颁发的特种高空作业证书。</w:t>
      </w:r>
    </w:p>
    <w:p w14:paraId="3ADCE27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电工：强电、弱电，持证上岗具有专业的操作技能以及2年以上电气施工或</w:t>
      </w:r>
    </w:p>
    <w:p w14:paraId="7825F18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维修经验。</w:t>
      </w:r>
    </w:p>
    <w:p w14:paraId="4FA624A6">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2、维修维护设备配备</w:t>
      </w:r>
    </w:p>
    <w:p w14:paraId="6A8597D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(1)维护单位自备或租赁高空作业设备(如：吊篮、高空作业车等)。</w:t>
      </w:r>
    </w:p>
    <w:p w14:paraId="17DB6D9F">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(2)维护单位日常维护中应自行承担上岗人员合格的安全用具(如绝缘手套、绝   缘靴、安全帽等劳保用具)、操作工具(如螺丝刀、电笔、摇表、万用表、测  温 仪 、 钳流表及个人的常用工具等)、备品备件(如指示灯、断路器、时间控制</w:t>
      </w:r>
    </w:p>
    <w:p w14:paraId="5730FA0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器、浪涌保护器等)。</w:t>
      </w:r>
    </w:p>
    <w:p w14:paraId="13153C1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3、维修维护相关要求</w:t>
      </w:r>
    </w:p>
    <w:p w14:paraId="76731206">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(1)计划维修</w:t>
      </w:r>
    </w:p>
    <w:p w14:paraId="63CB7B44">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维护单位进行有计划的维护、检查和修理，以保证设备经常处于完好状态。其 特点在于预防性与计划性，即在设备未曾发生故障时就有计划地进行预防性的</w:t>
      </w:r>
    </w:p>
    <w:p w14:paraId="5E761605">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维修。计划预修制的内容主要有：日常维护、定期检查、和计划修理。</w:t>
      </w:r>
    </w:p>
    <w:p w14:paraId="22B3B2AA">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(2)计划保修</w:t>
      </w:r>
    </w:p>
    <w:p w14:paraId="46FD5FFF">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维护单位在计划预修制的基础上进行针对性维修养护。主要内容是：日常保 养，一级保养和计划大修。</w:t>
      </w:r>
    </w:p>
    <w:p w14:paraId="61FEBBB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(3)预防维修</w:t>
      </w:r>
    </w:p>
    <w:p w14:paraId="34F377E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维护单位在日常的巡查过程中根据设备设施的运行情况进行巡查维修，确保 各个设备设施的正常运行。</w:t>
      </w:r>
    </w:p>
    <w:p w14:paraId="2135026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(三)管理要求</w:t>
      </w:r>
    </w:p>
    <w:p w14:paraId="012186D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1、组织机构设置</w:t>
      </w:r>
    </w:p>
    <w:p w14:paraId="1451A98B">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为保证高新区市政公用照明设施设备运行维护的安全稳定运行，达到为用户 优质、高效服务的管理要求，应成立项目运行维护部。</w:t>
      </w:r>
    </w:p>
    <w:p w14:paraId="7CFE5B53">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四、验收</w:t>
      </w:r>
    </w:p>
    <w:p w14:paraId="46F6AE7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1、按季度分阶段验收，按照经甲方审核通过的工作清单内容分期验收，用于 支付进度款项。</w:t>
      </w:r>
    </w:p>
    <w:p w14:paraId="70AC72E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2、验收依据：合同文本、招投标文件、经双方及第三方监理出具的现场清单 等相关资料。</w:t>
      </w:r>
    </w:p>
    <w:p w14:paraId="79807B39">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五、合同价款及结算办法</w:t>
      </w:r>
    </w:p>
    <w:p w14:paraId="4B9D9F6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1、合同暂定总价金额：¥</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rPr>
        <w:t>(大写：</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rPr>
        <w:t>元整),</w:t>
      </w:r>
    </w:p>
    <w:p w14:paraId="16C6F22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2、本项目采用固定全费用综合单价合同方式；包工包料、包安全、包协调。 承包价格以全费用综合单价形式一次包死，发包人不提供任何机械、水电、食宿、 办公条件等，所有事宜均由承包人承担。</w:t>
      </w:r>
    </w:p>
    <w:p w14:paraId="686E29D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3、当结算金额达到本合同包预算金额时，合同自动终止。</w:t>
      </w:r>
    </w:p>
    <w:p w14:paraId="492F2C1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4、维修费用和巡查费用每季度结算一次，按照考核结果进行支付。</w:t>
      </w:r>
    </w:p>
    <w:p w14:paraId="2BADA6E6">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5、电费和通讯费每季度结算，乙方代缴。</w:t>
      </w:r>
    </w:p>
    <w:p w14:paraId="63A83585">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6、维修的工程量根据实际维修量和全费用综合单价据实结算。维修单位巡检中 发现问题后，向甲方提交维修申请单，经认可后方可进行维修，维修完成后由甲 方确定维修工程量，形成维修工程量确认单，经双方签字确认后作为结算依据。</w:t>
      </w:r>
    </w:p>
    <w:p w14:paraId="46FF1D54">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六、双方责任、权利和义务</w:t>
      </w:r>
    </w:p>
    <w:p w14:paraId="1DED70F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1、甲乙双方必须遵守本合同并执行合同中的各项规定，保证本合同的正常履 行。</w:t>
      </w:r>
    </w:p>
    <w:p w14:paraId="038733A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2、甲方有权根据本合同所约定的内容及标准，对乙方提供的服务进度和服务质 量进行检查，如乙方提供的服务质量不符合本合同的约定，甲方有权要求乙方在 指定时间内作出补充或修正。</w:t>
      </w:r>
    </w:p>
    <w:p w14:paraId="46EC99D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3、甲方有权对乙方的服务成果、服务实施等提出要求或修改建议，乙方应按 甲方要求或修改建议进行完善或修改。</w:t>
      </w:r>
    </w:p>
    <w:p w14:paraId="1A63CBC6">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4、乙方确保本项目涉及统计内容等均不侵犯任何第三方权利，否则应当承担 侵权责任，如因此对甲方造成损失的，还应赔偿甲方损失。</w:t>
      </w:r>
    </w:p>
    <w:p w14:paraId="7A03CBC5">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5、服务结束后，成果所有权、知识产权归甲方所有，乙方不得以任何理由干 涉甲方对项目成果的使用。</w:t>
      </w:r>
    </w:p>
    <w:p w14:paraId="15E6774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6、本项目的相关资料(包括履约过程中获取的相关资料)在未经甲方书面同 意的情况下不得用作其他地方。</w:t>
      </w:r>
    </w:p>
    <w:p w14:paraId="62BE22E7">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7、乙方配备的制作及执行为高水准配套人员，响应迅速。</w:t>
      </w:r>
    </w:p>
    <w:p w14:paraId="3C3E6B2C">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七、违约、索赔</w:t>
      </w:r>
    </w:p>
    <w:p w14:paraId="0A92C2C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1、未按合同要求提供服务或服务质量不能满足合同要求，甲方应当将服务方 违约的情况以及拟采取的措施以书面形式报政府采购监管部门，根据政府采购监 管部门的处理意见，甲方有权依据《民法典》有关条款及合同约定解除合同，服 务方应向甲方支付合同总价款20%的违约金。同时，政府采购监管部门有权依据 《政府采购法》及相关法律法规对服务方的违法行为进行相应的处罚。</w:t>
      </w:r>
    </w:p>
    <w:p w14:paraId="35EE72E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2、在本合同履行过程中，双方因违约或造成对方经济、社会效益等损失的应 当赔偿 。</w:t>
      </w:r>
    </w:p>
    <w:p w14:paraId="5E0EC782">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3、甲方无正当理由拒绝接受服务的，需向乙方偿付本合同总价款20%的违约金。</w:t>
      </w:r>
    </w:p>
    <w:p w14:paraId="0BB0F133">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4、乙方提供的服务不符合本项目相关文件和本合同规定的，甲方有权拒绝，并 且乙方须向甲方支付本合同总价款10%的违约金，若违约金不能弥补甲方损失，乙方 还应赔偿损失。</w:t>
      </w:r>
    </w:p>
    <w:p w14:paraId="73DEAA1D">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5、未经甲方同意，乙方不得擅自将本合同服务转包第三方承担。</w:t>
      </w:r>
    </w:p>
    <w:p w14:paraId="0B2AD61A">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八、合同纠纷或争议</w:t>
      </w:r>
    </w:p>
    <w:p w14:paraId="65992A4F">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因本合同或与本合同有关的一切事项发生争议，由双方友好协商解决。协商不成 的，任何一方均可选择向甲方所在地人民法院提起诉讼。</w:t>
      </w:r>
    </w:p>
    <w:p w14:paraId="5A1F561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九、不可抗力事件处理</w:t>
      </w:r>
    </w:p>
    <w:p w14:paraId="1BC25F40">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1、因不可抗力造成违约的，遭受不可抗力一方应及时向对方通报不能履行或不 能完全履行的理由，并在随后取得有关权威机构出具的证明后的15 日内向另一方提 供不可抗力发生以及持续期间的充分证据。基本于以上行为，允许遭受不可抗力 一方延期履行、部分履行或者不履行合同，并根据情况可部分或全部免于承</w:t>
      </w:r>
    </w:p>
    <w:p w14:paraId="1CAB8FDB">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担违约责任。</w:t>
      </w:r>
    </w:p>
    <w:p w14:paraId="3485F41A">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2、本合同中的不可抗力指不能预见、不能避免并不能克服的客观情况。不可抗 力应以国家和本市有关部门正式发布为准，不可抗力是指战争、严重火灾、水  灾、台风、地震等人力不可抗拒的因素引起的延误和影响。</w:t>
      </w:r>
    </w:p>
    <w:p w14:paraId="59D9E6E1">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十、违约解除合同</w:t>
      </w:r>
    </w:p>
    <w:p w14:paraId="60CC8EED">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1、在乙方违约的情况下，甲方可向乙方发出书面通知，部分或全部终 止本合同，同时保留向对方追诉的权利。</w:t>
      </w:r>
    </w:p>
    <w:p w14:paraId="0AAC6AE4">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2、乙方有转让或未经甲方同意的分包行为，甲方可以单方解除合同。</w:t>
      </w:r>
    </w:p>
    <w:p w14:paraId="2DF143CD">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3、乙方未能履行本合同规定的责任、权利、义务的，甲方可以单方解除</w:t>
      </w:r>
    </w:p>
    <w:p w14:paraId="4CEC043D">
      <w:pPr>
        <w:pStyle w:val="7"/>
        <w:spacing w:line="360" w:lineRule="auto"/>
        <w:ind w:firstLine="480"/>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合同</w:t>
      </w:r>
      <w:r>
        <w:rPr>
          <w:rFonts w:hint="eastAsia" w:ascii="方正仿宋_GB2312" w:hAnsi="方正仿宋_GB2312" w:eastAsia="方正仿宋_GB2312" w:cs="方正仿宋_GB2312"/>
          <w:sz w:val="24"/>
          <w:szCs w:val="24"/>
          <w:lang w:eastAsia="zh-CN"/>
        </w:rPr>
        <w:t>。</w:t>
      </w:r>
    </w:p>
    <w:p w14:paraId="428D4F6A">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4、在本合同履行过程中，乙方有离败、欺诈、违法行为的，甲方可以单 方解除合同。</w:t>
      </w:r>
    </w:p>
    <w:p w14:paraId="7AB2DA98">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十 一、合同的生效</w:t>
      </w:r>
    </w:p>
    <w:p w14:paraId="0A941183">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本合同经双方法定代表人(负责人)或授权代表签字并加盖公章(或合同专用 章),并经本鉴证单位盖章后，即开始生效，在合同完全履行完毕终止。</w:t>
      </w:r>
    </w:p>
    <w:p w14:paraId="4FE1B5AF">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十二、其 他</w:t>
      </w:r>
    </w:p>
    <w:p w14:paraId="483AE2BE">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1、本合同未尽事宜，双方协商解决，签订补充合同，补充合同与本合同具有 同等法律效力。</w:t>
      </w:r>
    </w:p>
    <w:p w14:paraId="255E0E93">
      <w:pPr>
        <w:pStyle w:val="7"/>
        <w:spacing w:line="360" w:lineRule="auto"/>
        <w:ind w:firstLine="48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2、本合同正本一式贰份，双方各执一份，副本肆分，乙方执贰份，甲方壹份，招 标代理机构壹份。</w:t>
      </w:r>
    </w:p>
    <w:p w14:paraId="200AF9EF">
      <w:pPr>
        <w:spacing w:before="187" w:line="360" w:lineRule="auto"/>
        <w:rPr>
          <w:rFonts w:hint="eastAsia" w:ascii="方正仿宋_GB2312" w:hAnsi="方正仿宋_GB2312" w:eastAsia="方正仿宋_GB2312" w:cs="方正仿宋_GB2312"/>
          <w:sz w:val="24"/>
          <w:szCs w:val="24"/>
        </w:rPr>
      </w:pPr>
    </w:p>
    <w:p w14:paraId="4DFE9453">
      <w:pPr>
        <w:spacing w:line="360" w:lineRule="auto"/>
        <w:rPr>
          <w:rFonts w:hint="eastAsia" w:ascii="方正仿宋_GB2312" w:hAnsi="方正仿宋_GB2312" w:eastAsia="方正仿宋_GB2312" w:cs="方正仿宋_GB2312"/>
          <w:sz w:val="24"/>
          <w:szCs w:val="24"/>
        </w:rPr>
        <w:sectPr>
          <w:headerReference r:id="rId5" w:type="default"/>
          <w:footerReference r:id="rId6" w:type="default"/>
          <w:pgSz w:w="11900" w:h="16840"/>
          <w:pgMar w:top="1440" w:right="1803" w:bottom="1440" w:left="1803" w:header="0" w:footer="159" w:gutter="0"/>
          <w:cols w:equalWidth="0" w:num="1">
            <w:col w:w="9697"/>
          </w:cols>
        </w:sectPr>
      </w:pPr>
    </w:p>
    <w:p w14:paraId="622F2C4F">
      <w:pPr>
        <w:bidi w:val="0"/>
        <w:rPr>
          <w:rFonts w:hint="eastAsia"/>
        </w:rPr>
      </w:pPr>
    </w:p>
    <w:p w14:paraId="5AF8916E">
      <w:pPr>
        <w:bidi w:val="0"/>
        <w:rPr>
          <w:rFonts w:hint="eastAsia"/>
        </w:rPr>
      </w:pPr>
    </w:p>
    <w:p w14:paraId="7C64C977">
      <w:pPr>
        <w:bidi w:val="0"/>
        <w:rPr>
          <w:rFonts w:hint="eastAsia"/>
        </w:rPr>
      </w:pPr>
    </w:p>
    <w:p w14:paraId="3E67D756">
      <w:pPr>
        <w:bidi w:val="0"/>
        <w:rPr>
          <w:rFonts w:hint="eastAsia" w:eastAsia="宋体"/>
          <w:lang w:val="en-US" w:eastAsia="zh-CN"/>
        </w:rPr>
      </w:pPr>
      <w:r>
        <w:rPr>
          <w:rFonts w:hint="eastAsia" w:eastAsia="宋体"/>
          <w:lang w:val="en-US" w:eastAsia="zh-CN"/>
        </w:rPr>
        <w:t xml:space="preserve"> </w:t>
      </w:r>
    </w:p>
    <w:p w14:paraId="0B0A91AF">
      <w:pPr>
        <w:bidi w:val="0"/>
        <w:rPr>
          <w:rFonts w:hint="eastAsia" w:eastAsia="宋体"/>
          <w:lang w:val="en-US" w:eastAsia="zh-CN"/>
        </w:rPr>
      </w:pPr>
    </w:p>
    <w:p w14:paraId="28C701B5">
      <w:pPr>
        <w:bidi w:val="0"/>
        <w:rPr>
          <w:rFonts w:hint="eastAsia"/>
        </w:rPr>
      </w:pPr>
    </w:p>
    <w:p w14:paraId="17A6E24E">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发包人：   (盖章)</w:t>
      </w:r>
    </w:p>
    <w:p w14:paraId="2FC9AACC">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法定代表人或其授权的</w:t>
      </w:r>
    </w:p>
    <w:p w14:paraId="48B8C7E9">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委托代理人：           </w:t>
      </w:r>
      <w:r>
        <w:rPr>
          <w:rFonts w:hint="eastAsia" w:ascii="方正仿宋_GB2312" w:hAnsi="方正仿宋_GB2312" w:eastAsia="方正仿宋_GB2312" w:cs="方正仿宋_GB2312"/>
          <w:sz w:val="24"/>
          <w:szCs w:val="24"/>
        </w:rPr>
        <w:t xml:space="preserve"> (签字或盖章) </w:t>
      </w:r>
      <w:r>
        <w:rPr>
          <w:rFonts w:hint="eastAsia" w:ascii="方正仿宋_GB2312" w:hAnsi="方正仿宋_GB2312" w:eastAsia="方正仿宋_GB2312" w:cs="方正仿宋_GB2312"/>
          <w:sz w:val="24"/>
          <w:szCs w:val="24"/>
        </w:rPr>
        <w:t>住 所 ：</w:t>
      </w:r>
    </w:p>
    <w:p w14:paraId="4E40CA13">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开户银行：</w:t>
      </w:r>
    </w:p>
    <w:p w14:paraId="24A588C2">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电 话 ：</w:t>
      </w:r>
    </w:p>
    <w:p w14:paraId="6401D7D3">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电子信箱：</w:t>
      </w:r>
    </w:p>
    <w:p w14:paraId="27CD8F24">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年 月 日</w:t>
      </w:r>
    </w:p>
    <w:p w14:paraId="448D90D8">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br w:type="column"/>
      </w:r>
    </w:p>
    <w:p w14:paraId="6737D26A">
      <w:pPr>
        <w:pStyle w:val="7"/>
        <w:spacing w:line="360" w:lineRule="auto"/>
        <w:ind w:firstLine="480"/>
        <w:rPr>
          <w:rFonts w:hint="eastAsia" w:ascii="方正仿宋_GB2312" w:hAnsi="方正仿宋_GB2312" w:eastAsia="方正仿宋_GB2312" w:cs="方正仿宋_GB2312"/>
          <w:sz w:val="24"/>
          <w:szCs w:val="24"/>
        </w:rPr>
      </w:pPr>
    </w:p>
    <w:p w14:paraId="354AB1AC">
      <w:pPr>
        <w:pStyle w:val="7"/>
        <w:spacing w:line="360" w:lineRule="auto"/>
        <w:ind w:firstLine="480"/>
        <w:rPr>
          <w:rFonts w:hint="eastAsia" w:ascii="方正仿宋_GB2312" w:hAnsi="方正仿宋_GB2312" w:eastAsia="方正仿宋_GB2312" w:cs="方正仿宋_GB2312"/>
          <w:sz w:val="24"/>
          <w:szCs w:val="24"/>
        </w:rPr>
      </w:pPr>
    </w:p>
    <w:p w14:paraId="69B057A9">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承包人：(盖章)</w:t>
      </w:r>
    </w:p>
    <w:p w14:paraId="2D83CBBB">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法定代表人或其授权的</w:t>
      </w:r>
    </w:p>
    <w:p w14:paraId="1764B562">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委托代理人：        (签字或盖章) </w:t>
      </w:r>
    </w:p>
    <w:p w14:paraId="30130033">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住 所 ：</w:t>
      </w:r>
    </w:p>
    <w:p w14:paraId="6CBB3BF4">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开户银行：</w:t>
      </w:r>
    </w:p>
    <w:p w14:paraId="4CDC576C">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电 话 ：</w:t>
      </w:r>
    </w:p>
    <w:p w14:paraId="3C8BDAF9">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电子信箱： </w:t>
      </w:r>
    </w:p>
    <w:p w14:paraId="7847CAF4">
      <w:pPr>
        <w:bidi w:val="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年 月  日</w:t>
      </w:r>
    </w:p>
    <w:p w14:paraId="05A4B7F0">
      <w:pPr>
        <w:pStyle w:val="7"/>
        <w:spacing w:line="360" w:lineRule="auto"/>
        <w:ind w:firstLine="480"/>
        <w:rPr>
          <w:rFonts w:hint="eastAsia" w:ascii="方正仿宋_GB2312" w:hAnsi="方正仿宋_GB2312" w:eastAsia="方正仿宋_GB2312" w:cs="方正仿宋_GB2312"/>
          <w:sz w:val="24"/>
          <w:szCs w:val="24"/>
        </w:rPr>
      </w:pPr>
    </w:p>
    <w:p w14:paraId="18B6D748">
      <w:pPr>
        <w:pStyle w:val="7"/>
        <w:spacing w:line="360" w:lineRule="auto"/>
        <w:rPr>
          <w:rFonts w:hint="eastAsia" w:ascii="方正仿宋_GB2312" w:hAnsi="方正仿宋_GB2312" w:eastAsia="方正仿宋_GB2312" w:cs="方正仿宋_GB2312"/>
          <w:sz w:val="24"/>
          <w:szCs w:val="24"/>
        </w:rPr>
      </w:pPr>
      <w:bookmarkStart w:id="0" w:name="_GoBack"/>
      <w:bookmarkEnd w:id="0"/>
    </w:p>
    <w:sectPr>
      <w:type w:val="continuous"/>
      <w:pgSz w:w="11900" w:h="16840"/>
      <w:pgMar w:top="1081" w:right="418" w:bottom="739" w:left="1785" w:header="0" w:footer="159" w:gutter="0"/>
      <w:cols w:equalWidth="0" w:num="2">
        <w:col w:w="4135" w:space="100"/>
        <w:col w:w="546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04B5FD4-4563-4B56-A6BB-32E9113F87E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字酷堂长林体W">
    <w:panose1 w:val="00020600040101010101"/>
    <w:charset w:val="86"/>
    <w:family w:val="auto"/>
    <w:pitch w:val="default"/>
    <w:sig w:usb0="8000003F" w:usb1="1AC104FA" w:usb2="00000016" w:usb3="00000000" w:csb0="0004009F" w:csb1="00000000"/>
  </w:font>
  <w:font w:name="方正仿宋_GB2312">
    <w:panose1 w:val="02000000000000000000"/>
    <w:charset w:val="86"/>
    <w:family w:val="auto"/>
    <w:pitch w:val="default"/>
    <w:sig w:usb0="A00002BF" w:usb1="184F6CFA" w:usb2="00000012" w:usb3="00000000" w:csb0="00040001" w:csb1="00000000"/>
    <w:embedRegular r:id="rId2" w:fontKey="{54970186-8649-4D04-912B-3B065DD75FA8}"/>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59D95">
    <w:pPr>
      <w:jc w:val="right"/>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0B8B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3190061"/>
    <w:rsid w:val="18CF1F72"/>
    <w:rsid w:val="42F0276F"/>
    <w:rsid w:val="498B355B"/>
    <w:rsid w:val="52C63E41"/>
    <w:rsid w:val="5F4726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1284</Words>
  <Characters>1330</Characters>
  <TotalTime>2</TotalTime>
  <ScaleCrop>false</ScaleCrop>
  <LinksUpToDate>false</LinksUpToDate>
  <CharactersWithSpaces>1362</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2025-11-04T10:54:00Z</dcterms:created>
  <dc:creator>Administrator</dc:creator>
  <cp:lastModifiedBy>cool~静</cp:lastModifiedBy>
  <dcterms:modified xsi:type="dcterms:W3CDTF">2025-11-11T07:38:34Z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2025-11-04T10:54:51Z</vt:filetime>
  </property>
  <property fmtid="{D5CDD505-2E9C-101B-9397-08002B2CF9AE}" pid="4" name="UsrData">
    <vt:lpwstr>69096af665edbf00200c9016wl</vt:lpwstr>
  </property>
  <property fmtid="{D5CDD505-2E9C-101B-9397-08002B2CF9AE}" pid="5" name="KSOTemplateDocerSaveRecord">
    <vt:lpwstr>eyJoZGlkIjoiMjYwZDJiNDExMjgxYjA2ZWQ2YWVkN2M0YWJmMzYzMTMiLCJ1c2VySWQiOiI2MDU1NTA0OTQifQ==</vt:lpwstr>
  </property>
  <property fmtid="{D5CDD505-2E9C-101B-9397-08002B2CF9AE}" pid="6" name="KSOProductBuildVer">
    <vt:lpwstr>2052-12.1.0.23542</vt:lpwstr>
  </property>
  <property fmtid="{D5CDD505-2E9C-101B-9397-08002B2CF9AE}" pid="7" name="ICV">
    <vt:lpwstr>AD4D8F4FC2154C119A401F3CEF294948_13</vt:lpwstr>
  </property>
</Properties>
</file>