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6A43">
      <w:pPr>
        <w:pStyle w:val="2"/>
        <w:spacing w:line="360" w:lineRule="auto"/>
        <w:jc w:val="center"/>
        <w:rPr>
          <w:rFonts w:hint="eastAsia" w:ascii="仿宋" w:hAnsi="仿宋" w:eastAsia="仿宋" w:cs="仿宋"/>
          <w:bCs/>
          <w:sz w:val="44"/>
          <w:szCs w:val="44"/>
        </w:rPr>
      </w:pPr>
      <w:bookmarkStart w:id="0" w:name="_Toc29237"/>
      <w:bookmarkStart w:id="1" w:name="_Toc17123"/>
      <w:bookmarkStart w:id="2" w:name="_Toc26451"/>
      <w:r>
        <w:rPr>
          <w:rFonts w:hint="eastAsia" w:ascii="仿宋" w:hAnsi="仿宋" w:eastAsia="仿宋" w:cs="仿宋"/>
          <w:bCs/>
          <w:sz w:val="36"/>
          <w:szCs w:val="36"/>
        </w:rPr>
        <w:t>合同条款及格式</w:t>
      </w:r>
      <w:bookmarkEnd w:id="0"/>
      <w:bookmarkEnd w:id="1"/>
      <w:bookmarkEnd w:id="2"/>
    </w:p>
    <w:p w14:paraId="3A36E5C8">
      <w:pPr>
        <w:spacing w:line="400" w:lineRule="exact"/>
        <w:rPr>
          <w:rFonts w:hint="eastAsia" w:ascii="黑体" w:hAnsi="宋体" w:eastAsia="黑体" w:cs="黑体"/>
          <w:sz w:val="32"/>
          <w:szCs w:val="32"/>
        </w:rPr>
      </w:pPr>
    </w:p>
    <w:p w14:paraId="6CF4DCF7">
      <w:pPr>
        <w:jc w:val="center"/>
        <w:rPr>
          <w:rFonts w:hint="eastAsia" w:ascii="仿宋" w:hAnsi="仿宋" w:eastAsia="仿宋" w:cs="仿宋"/>
          <w:b/>
          <w:bCs/>
          <w:spacing w:val="-20"/>
          <w:sz w:val="28"/>
          <w:szCs w:val="28"/>
        </w:rPr>
      </w:pPr>
    </w:p>
    <w:p w14:paraId="20D0C8B8">
      <w:pPr>
        <w:jc w:val="center"/>
        <w:rPr>
          <w:rFonts w:hint="eastAsia" w:ascii="仿宋" w:hAnsi="仿宋" w:eastAsia="仿宋" w:cs="仿宋"/>
          <w:b/>
          <w:bCs/>
          <w:spacing w:val="-20"/>
          <w:sz w:val="28"/>
          <w:szCs w:val="28"/>
        </w:rPr>
      </w:pPr>
      <w:r>
        <w:rPr>
          <w:rFonts w:ascii="仿宋" w:hAnsi="仿宋" w:eastAsia="仿宋" w:cs="仿宋"/>
          <w:b/>
          <w:bCs/>
          <w:spacing w:val="-20"/>
          <w:sz w:val="28"/>
          <w:szCs w:val="28"/>
        </w:rPr>
        <w:t xml:space="preserve"> </w:t>
      </w:r>
    </w:p>
    <w:p w14:paraId="7B5ACB72">
      <w:pPr>
        <w:jc w:val="center"/>
        <w:rPr>
          <w:rFonts w:hint="eastAsia" w:ascii="仿宋" w:hAnsi="仿宋" w:eastAsia="仿宋" w:cs="仿宋"/>
          <w:b/>
          <w:bCs/>
          <w:spacing w:val="-20"/>
          <w:sz w:val="28"/>
          <w:szCs w:val="28"/>
        </w:rPr>
      </w:pPr>
    </w:p>
    <w:p w14:paraId="233D4282">
      <w:pPr>
        <w:jc w:val="center"/>
        <w:rPr>
          <w:rFonts w:hint="eastAsia" w:ascii="仿宋" w:hAnsi="仿宋" w:eastAsia="仿宋" w:cs="仿宋"/>
          <w:b/>
          <w:bCs/>
          <w:spacing w:val="-20"/>
          <w:sz w:val="28"/>
          <w:szCs w:val="28"/>
        </w:rPr>
      </w:pPr>
    </w:p>
    <w:p w14:paraId="5F99C17B">
      <w:pPr>
        <w:jc w:val="center"/>
        <w:rPr>
          <w:rFonts w:hint="eastAsia" w:ascii="黑体" w:hAnsi="宋体" w:eastAsia="黑体"/>
          <w:sz w:val="40"/>
          <w:szCs w:val="40"/>
        </w:rPr>
      </w:pPr>
      <w:r>
        <w:rPr>
          <w:rFonts w:hint="eastAsia" w:ascii="黑体" w:hAnsi="宋体" w:eastAsia="黑体"/>
          <w:sz w:val="40"/>
          <w:szCs w:val="40"/>
        </w:rPr>
        <w:t>西安高新区“幸福社区”智慧平台建设项目</w:t>
      </w:r>
    </w:p>
    <w:p w14:paraId="138BBF91">
      <w:pPr>
        <w:jc w:val="center"/>
        <w:rPr>
          <w:rFonts w:hint="eastAsia" w:ascii="黑体" w:hAnsi="宋体" w:eastAsia="黑体"/>
          <w:sz w:val="52"/>
          <w:szCs w:val="52"/>
        </w:rPr>
      </w:pPr>
      <w:r>
        <w:rPr>
          <w:rFonts w:hint="eastAsia" w:ascii="黑体" w:hAnsi="宋体" w:eastAsia="黑体" w:cs="黑体"/>
          <w:sz w:val="52"/>
          <w:szCs w:val="52"/>
        </w:rPr>
        <w:t>服</w:t>
      </w:r>
      <w:r>
        <w:rPr>
          <w:rFonts w:ascii="黑体" w:hAnsi="宋体" w:eastAsia="黑体" w:cs="黑体"/>
          <w:sz w:val="52"/>
          <w:szCs w:val="52"/>
        </w:rPr>
        <w:t xml:space="preserve"> </w:t>
      </w:r>
      <w:r>
        <w:rPr>
          <w:rFonts w:hint="eastAsia" w:ascii="黑体" w:hAnsi="宋体" w:eastAsia="黑体" w:cs="黑体"/>
          <w:sz w:val="52"/>
          <w:szCs w:val="52"/>
        </w:rPr>
        <w:t>务</w:t>
      </w:r>
      <w:r>
        <w:rPr>
          <w:rFonts w:ascii="黑体" w:hAnsi="宋体" w:eastAsia="黑体" w:cs="黑体"/>
          <w:sz w:val="52"/>
          <w:szCs w:val="52"/>
        </w:rPr>
        <w:t xml:space="preserve"> </w:t>
      </w:r>
      <w:r>
        <w:rPr>
          <w:rFonts w:hint="eastAsia" w:ascii="黑体" w:hAnsi="宋体" w:eastAsia="黑体" w:cs="黑体"/>
          <w:sz w:val="52"/>
          <w:szCs w:val="52"/>
        </w:rPr>
        <w:t>合</w:t>
      </w:r>
      <w:r>
        <w:rPr>
          <w:rFonts w:ascii="黑体" w:hAnsi="宋体" w:eastAsia="黑体" w:cs="黑体"/>
          <w:sz w:val="52"/>
          <w:szCs w:val="52"/>
        </w:rPr>
        <w:t xml:space="preserve"> </w:t>
      </w:r>
      <w:r>
        <w:rPr>
          <w:rFonts w:hint="eastAsia" w:ascii="黑体" w:hAnsi="宋体" w:eastAsia="黑体" w:cs="黑体"/>
          <w:sz w:val="52"/>
          <w:szCs w:val="52"/>
        </w:rPr>
        <w:t>同</w:t>
      </w:r>
    </w:p>
    <w:p w14:paraId="72D993C2">
      <w:pPr>
        <w:jc w:val="center"/>
        <w:rPr>
          <w:rFonts w:hint="eastAsia" w:ascii="黑体" w:hAnsi="宋体" w:eastAsia="黑体"/>
          <w:sz w:val="52"/>
          <w:szCs w:val="52"/>
        </w:rPr>
      </w:pPr>
    </w:p>
    <w:p w14:paraId="39BA79C7">
      <w:pPr>
        <w:jc w:val="center"/>
        <w:rPr>
          <w:rFonts w:hint="eastAsia" w:ascii="仿宋" w:hAnsi="仿宋" w:eastAsia="仿宋"/>
          <w:sz w:val="28"/>
          <w:szCs w:val="28"/>
        </w:rPr>
      </w:pPr>
    </w:p>
    <w:p w14:paraId="02F78C07">
      <w:pPr>
        <w:jc w:val="center"/>
        <w:rPr>
          <w:rFonts w:hint="eastAsia" w:ascii="仿宋" w:hAnsi="仿宋" w:eastAsia="仿宋"/>
          <w:sz w:val="28"/>
          <w:szCs w:val="28"/>
        </w:rPr>
      </w:pPr>
    </w:p>
    <w:p w14:paraId="06EA8001">
      <w:pPr>
        <w:jc w:val="center"/>
        <w:rPr>
          <w:rFonts w:hint="eastAsia" w:ascii="仿宋" w:hAnsi="仿宋" w:eastAsia="仿宋"/>
          <w:sz w:val="28"/>
          <w:szCs w:val="28"/>
        </w:rPr>
      </w:pPr>
    </w:p>
    <w:p w14:paraId="7DDF5883">
      <w:pPr>
        <w:pStyle w:val="4"/>
      </w:pPr>
    </w:p>
    <w:p w14:paraId="34A1D677">
      <w:pPr>
        <w:jc w:val="center"/>
        <w:rPr>
          <w:rFonts w:hint="eastAsia" w:ascii="仿宋" w:hAnsi="仿宋" w:eastAsia="仿宋"/>
          <w:sz w:val="28"/>
          <w:szCs w:val="28"/>
        </w:rPr>
      </w:pPr>
    </w:p>
    <w:p w14:paraId="57E80509">
      <w:pPr>
        <w:jc w:val="center"/>
        <w:rPr>
          <w:rFonts w:hint="eastAsia" w:ascii="仿宋" w:hAnsi="仿宋" w:eastAsia="仿宋"/>
          <w:sz w:val="28"/>
          <w:szCs w:val="28"/>
        </w:rPr>
      </w:pPr>
    </w:p>
    <w:p w14:paraId="2A6D117C">
      <w:pPr>
        <w:ind w:firstLine="640" w:firstLineChars="200"/>
        <w:rPr>
          <w:rFonts w:ascii="黑体" w:eastAsia="黑体"/>
          <w:sz w:val="32"/>
          <w:szCs w:val="32"/>
        </w:rPr>
      </w:pPr>
      <w:r>
        <w:rPr>
          <w:rFonts w:hint="eastAsia" w:ascii="黑体" w:eastAsia="黑体" w:cs="黑体"/>
          <w:sz w:val="32"/>
          <w:szCs w:val="32"/>
        </w:rPr>
        <w:t>甲</w:t>
      </w:r>
      <w:r>
        <w:rPr>
          <w:rFonts w:ascii="黑体" w:eastAsia="黑体" w:cs="黑体"/>
          <w:sz w:val="32"/>
          <w:szCs w:val="32"/>
        </w:rPr>
        <w:t xml:space="preserve">  </w:t>
      </w:r>
      <w:r>
        <w:rPr>
          <w:rFonts w:hint="eastAsia" w:ascii="黑体" w:eastAsia="黑体" w:cs="黑体"/>
          <w:sz w:val="32"/>
          <w:szCs w:val="32"/>
        </w:rPr>
        <w:t>方：</w:t>
      </w:r>
    </w:p>
    <w:p w14:paraId="7EEE1FF5">
      <w:pPr>
        <w:ind w:firstLine="640" w:firstLineChars="200"/>
        <w:rPr>
          <w:rFonts w:ascii="黑体" w:eastAsia="黑体" w:cs="黑体"/>
          <w:sz w:val="32"/>
          <w:szCs w:val="32"/>
        </w:rPr>
      </w:pPr>
      <w:r>
        <w:rPr>
          <w:rFonts w:hint="eastAsia" w:ascii="黑体" w:eastAsia="黑体" w:cs="黑体"/>
          <w:sz w:val="32"/>
          <w:szCs w:val="32"/>
        </w:rPr>
        <w:t>乙</w:t>
      </w:r>
      <w:r>
        <w:rPr>
          <w:rFonts w:ascii="黑体" w:eastAsia="黑体" w:cs="黑体"/>
          <w:sz w:val="32"/>
          <w:szCs w:val="32"/>
        </w:rPr>
        <w:t xml:space="preserve">  </w:t>
      </w:r>
      <w:r>
        <w:rPr>
          <w:rFonts w:hint="eastAsia" w:ascii="黑体" w:eastAsia="黑体" w:cs="黑体"/>
          <w:sz w:val="32"/>
          <w:szCs w:val="32"/>
        </w:rPr>
        <w:t>方：</w:t>
      </w:r>
    </w:p>
    <w:p w14:paraId="276FC32C">
      <w:pPr>
        <w:pStyle w:val="4"/>
        <w:ind w:firstLine="360" w:firstLineChars="200"/>
      </w:pPr>
      <w:r>
        <w:rPr>
          <w:rFonts w:hint="eastAsia"/>
        </w:rPr>
        <w:t xml:space="preserve"> </w:t>
      </w:r>
    </w:p>
    <w:p w14:paraId="2E005CAB">
      <w:pPr>
        <w:ind w:firstLine="320" w:firstLineChars="100"/>
        <w:rPr>
          <w:rFonts w:ascii="黑体" w:eastAsia="黑体"/>
          <w:sz w:val="32"/>
          <w:szCs w:val="32"/>
        </w:rPr>
      </w:pPr>
      <w:r>
        <w:rPr>
          <w:rFonts w:ascii="黑体" w:eastAsia="黑体" w:cs="黑体"/>
          <w:sz w:val="32"/>
          <w:szCs w:val="32"/>
        </w:rPr>
        <w:t xml:space="preserve"> </w:t>
      </w:r>
    </w:p>
    <w:p w14:paraId="685771BF">
      <w:pPr>
        <w:rPr>
          <w:rFonts w:hint="eastAsia" w:ascii="仿宋" w:hAnsi="仿宋" w:eastAsia="仿宋"/>
          <w:sz w:val="28"/>
          <w:szCs w:val="28"/>
        </w:rPr>
      </w:pPr>
    </w:p>
    <w:p w14:paraId="02BF6C71">
      <w:pPr>
        <w:jc w:val="center"/>
        <w:rPr>
          <w:rFonts w:hint="eastAsia" w:ascii="仿宋" w:hAnsi="仿宋" w:eastAsia="仿宋"/>
          <w:b/>
          <w:bCs/>
          <w:sz w:val="28"/>
          <w:szCs w:val="28"/>
        </w:rPr>
      </w:pPr>
      <w:r>
        <w:rPr>
          <w:rFonts w:hint="eastAsia" w:ascii="黑体" w:hAnsi="宋体" w:eastAsia="黑体" w:cs="黑体"/>
          <w:sz w:val="32"/>
          <w:szCs w:val="32"/>
        </w:rPr>
        <w:t>中国</w:t>
      </w:r>
      <w:r>
        <w:rPr>
          <w:rFonts w:ascii="黑体" w:hAnsi="宋体" w:eastAsia="黑体" w:cs="黑体"/>
          <w:sz w:val="32"/>
          <w:szCs w:val="32"/>
        </w:rPr>
        <w:t xml:space="preserve">  </w:t>
      </w:r>
      <w:r>
        <w:rPr>
          <w:rFonts w:hint="eastAsia" w:ascii="黑体" w:hAnsi="宋体" w:eastAsia="黑体" w:cs="黑体"/>
          <w:sz w:val="32"/>
          <w:szCs w:val="32"/>
        </w:rPr>
        <w:t>西安</w:t>
      </w:r>
    </w:p>
    <w:p w14:paraId="0324EE74">
      <w:pPr>
        <w:spacing w:line="360" w:lineRule="exact"/>
        <w:jc w:val="center"/>
        <w:rPr>
          <w:rFonts w:hint="eastAsia" w:ascii="仿宋" w:hAnsi="仿宋" w:eastAsia="仿宋"/>
          <w:b/>
          <w:bCs/>
          <w:sz w:val="28"/>
          <w:szCs w:val="28"/>
        </w:rPr>
      </w:pPr>
    </w:p>
    <w:p w14:paraId="56B5630D">
      <w:pPr>
        <w:spacing w:line="360" w:lineRule="auto"/>
        <w:jc w:val="center"/>
        <w:rPr>
          <w:rFonts w:hint="eastAsia" w:ascii="仿宋" w:hAnsi="仿宋" w:eastAsia="仿宋" w:cs="仿宋"/>
          <w:b/>
          <w:bCs/>
          <w:sz w:val="24"/>
        </w:rPr>
      </w:pPr>
      <w:r>
        <w:rPr>
          <w:rFonts w:hint="eastAsia" w:ascii="仿宋" w:hAnsi="仿宋" w:eastAsia="仿宋" w:cs="仿宋"/>
          <w:b/>
          <w:bCs/>
          <w:sz w:val="24"/>
        </w:rPr>
        <w:t>服 务 合 同</w:t>
      </w:r>
    </w:p>
    <w:p w14:paraId="1A04CFC0">
      <w:pPr>
        <w:spacing w:line="360" w:lineRule="auto"/>
        <w:rPr>
          <w:rFonts w:hint="eastAsia" w:ascii="仿宋" w:hAnsi="仿宋" w:eastAsia="仿宋" w:cs="仿宋"/>
          <w:b/>
        </w:rPr>
      </w:pPr>
      <w:r>
        <w:rPr>
          <w:rFonts w:hint="eastAsia" w:ascii="仿宋" w:hAnsi="仿宋" w:eastAsia="仿宋" w:cs="仿宋"/>
          <w:b/>
        </w:rPr>
        <w:t>一、项目概况</w:t>
      </w:r>
    </w:p>
    <w:p w14:paraId="6B72A999">
      <w:pPr>
        <w:adjustRightInd w:val="0"/>
        <w:snapToGrid w:val="0"/>
        <w:spacing w:line="360" w:lineRule="auto"/>
        <w:ind w:firstLine="420" w:firstLineChars="200"/>
        <w:rPr>
          <w:rFonts w:hint="eastAsia" w:ascii="仿宋" w:hAnsi="仿宋" w:eastAsia="仿宋" w:cs="仿宋"/>
        </w:rPr>
      </w:pPr>
      <w:bookmarkStart w:id="3" w:name="_Toc14051"/>
      <w:bookmarkStart w:id="4" w:name="_Toc20252"/>
      <w:bookmarkStart w:id="5" w:name="_Toc9887"/>
      <w:r>
        <w:rPr>
          <w:rFonts w:hint="eastAsia" w:ascii="仿宋" w:hAnsi="仿宋" w:eastAsia="仿宋" w:cs="仿宋"/>
        </w:rPr>
        <w:t>1、项目名称：</w:t>
      </w:r>
      <w:r>
        <w:rPr>
          <w:rFonts w:hint="eastAsia" w:ascii="仿宋" w:hAnsi="仿宋" w:eastAsia="仿宋" w:cs="仿宋"/>
          <w:u w:val="single"/>
        </w:rPr>
        <w:t xml:space="preserve">                   </w:t>
      </w:r>
      <w:r>
        <w:rPr>
          <w:rFonts w:hint="eastAsia" w:ascii="仿宋" w:hAnsi="仿宋" w:eastAsia="仿宋" w:cs="仿宋"/>
        </w:rPr>
        <w:t>；</w:t>
      </w:r>
      <w:bookmarkEnd w:id="3"/>
      <w:bookmarkEnd w:id="4"/>
      <w:bookmarkEnd w:id="5"/>
    </w:p>
    <w:p w14:paraId="36304FE9">
      <w:pPr>
        <w:adjustRightInd w:val="0"/>
        <w:snapToGrid w:val="0"/>
        <w:spacing w:line="360" w:lineRule="auto"/>
        <w:ind w:firstLine="420" w:firstLineChars="200"/>
        <w:rPr>
          <w:rFonts w:hint="eastAsia" w:ascii="仿宋" w:hAnsi="仿宋" w:eastAsia="仿宋" w:cs="仿宋"/>
        </w:rPr>
      </w:pPr>
      <w:bookmarkStart w:id="6" w:name="_Toc27168"/>
      <w:bookmarkStart w:id="7" w:name="_Toc7927"/>
      <w:bookmarkStart w:id="8" w:name="_Toc26738"/>
      <w:r>
        <w:rPr>
          <w:rFonts w:hint="eastAsia" w:ascii="仿宋" w:hAnsi="仿宋" w:eastAsia="仿宋" w:cs="仿宋"/>
        </w:rPr>
        <w:t>2、项目地点：</w:t>
      </w:r>
      <w:r>
        <w:rPr>
          <w:rFonts w:hint="eastAsia" w:ascii="仿宋" w:hAnsi="仿宋" w:eastAsia="仿宋" w:cs="仿宋"/>
          <w:u w:val="single"/>
        </w:rPr>
        <w:t xml:space="preserve">                   </w:t>
      </w:r>
      <w:r>
        <w:rPr>
          <w:rFonts w:hint="eastAsia" w:ascii="仿宋" w:hAnsi="仿宋" w:eastAsia="仿宋" w:cs="仿宋"/>
        </w:rPr>
        <w:t>；</w:t>
      </w:r>
      <w:bookmarkEnd w:id="6"/>
      <w:bookmarkEnd w:id="7"/>
      <w:bookmarkEnd w:id="8"/>
    </w:p>
    <w:p w14:paraId="4F3A7A81">
      <w:pPr>
        <w:spacing w:line="360" w:lineRule="auto"/>
        <w:rPr>
          <w:rFonts w:hint="eastAsia" w:ascii="仿宋" w:hAnsi="仿宋" w:eastAsia="仿宋" w:cs="仿宋"/>
          <w:b/>
        </w:rPr>
      </w:pPr>
      <w:r>
        <w:rPr>
          <w:rFonts w:hint="eastAsia" w:ascii="仿宋" w:hAnsi="仿宋" w:eastAsia="仿宋" w:cs="仿宋"/>
          <w:b/>
        </w:rPr>
        <w:t>二、组成本合同的文件</w:t>
      </w:r>
    </w:p>
    <w:p w14:paraId="2434591D">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 合同书；</w:t>
      </w:r>
    </w:p>
    <w:p w14:paraId="14985600">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 成交通知书、响应文件、竞争性磋商文件、澄清、补充文件；</w:t>
      </w:r>
    </w:p>
    <w:p w14:paraId="10142CB0">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 相关服务建议书；</w:t>
      </w:r>
    </w:p>
    <w:p w14:paraId="2EBD5D40">
      <w:pPr>
        <w:adjustRightInd w:val="0"/>
        <w:snapToGrid w:val="0"/>
        <w:spacing w:line="360" w:lineRule="auto"/>
        <w:rPr>
          <w:rFonts w:hint="eastAsia" w:ascii="仿宋" w:hAnsi="仿宋" w:eastAsia="仿宋" w:cs="仿宋"/>
        </w:rPr>
      </w:pPr>
      <w:r>
        <w:rPr>
          <w:rFonts w:hint="eastAsia" w:ascii="仿宋" w:hAnsi="仿宋" w:eastAsia="仿宋" w:cs="仿宋"/>
        </w:rPr>
        <w:t xml:space="preserve">    4. 附录，即：附表内相关服务的范围和内容；</w:t>
      </w:r>
    </w:p>
    <w:p w14:paraId="4CCEB4CC">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本合同签订后，双方依法签订的补充协议也是本合同文件的组成部分，具有同等法律效力。</w:t>
      </w:r>
    </w:p>
    <w:p w14:paraId="60F2955E">
      <w:pPr>
        <w:spacing w:line="360" w:lineRule="auto"/>
        <w:rPr>
          <w:rFonts w:hint="eastAsia" w:ascii="仿宋" w:hAnsi="仿宋" w:eastAsia="仿宋" w:cs="仿宋"/>
          <w:b/>
        </w:rPr>
      </w:pPr>
      <w:r>
        <w:rPr>
          <w:rFonts w:hint="eastAsia" w:ascii="仿宋" w:hAnsi="仿宋" w:eastAsia="仿宋" w:cs="仿宋"/>
          <w:b/>
        </w:rPr>
        <w:t>三、合同价款</w:t>
      </w:r>
    </w:p>
    <w:p w14:paraId="0ED07CFF">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合同金额（大写）：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14:paraId="522CC1D2">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合同价格为含税价，合同总价一次包死，不受市场价变化的影响。供应商提供服务及产品所发生的一切税（包括增值税）费等都已包含于合同价款中。</w:t>
      </w:r>
    </w:p>
    <w:p w14:paraId="2CB13006">
      <w:pPr>
        <w:spacing w:line="360" w:lineRule="auto"/>
        <w:rPr>
          <w:rFonts w:hint="eastAsia" w:ascii="仿宋" w:hAnsi="仿宋" w:eastAsia="仿宋" w:cs="仿宋"/>
          <w:b/>
          <w:highlight w:val="none"/>
        </w:rPr>
      </w:pPr>
      <w:r>
        <w:rPr>
          <w:rFonts w:hint="eastAsia" w:ascii="仿宋" w:hAnsi="仿宋" w:eastAsia="仿宋" w:cs="仿宋"/>
          <w:b/>
        </w:rPr>
        <w:t>四、结算方式：</w:t>
      </w:r>
    </w:p>
    <w:p w14:paraId="1B925D8C">
      <w:pPr>
        <w:pStyle w:val="7"/>
        <w:rPr>
          <w:rFonts w:hint="default"/>
          <w:highlight w:val="none"/>
        </w:rPr>
      </w:pPr>
      <w:r>
        <w:rPr>
          <w:rFonts w:ascii="仿宋_GB2312" w:hAnsi="仿宋_GB2312" w:eastAsia="仿宋_GB2312" w:cs="仿宋_GB2312"/>
          <w:highlight w:val="none"/>
        </w:rPr>
        <w:t>采购包1： 付款条件说明： 合同签订后 ，达到付款条件起 30 日内，支付合同总金额的 40.00%。</w:t>
      </w:r>
    </w:p>
    <w:p w14:paraId="0E691F37">
      <w:pPr>
        <w:pStyle w:val="7"/>
        <w:rPr>
          <w:rFonts w:hint="default"/>
          <w:highlight w:val="none"/>
        </w:rPr>
      </w:pPr>
      <w:r>
        <w:rPr>
          <w:rFonts w:ascii="仿宋_GB2312" w:hAnsi="仿宋_GB2312" w:eastAsia="仿宋_GB2312" w:cs="仿宋_GB2312"/>
          <w:highlight w:val="none"/>
        </w:rPr>
        <w:t>采购包1： 付款条件说明： 交付使用半年后 ，达到付款条件起 30 日内，支付合同总金额的 20.00%。</w:t>
      </w:r>
    </w:p>
    <w:p w14:paraId="4BE4856E">
      <w:pPr>
        <w:pStyle w:val="7"/>
        <w:rPr>
          <w:rFonts w:hint="default"/>
          <w:highlight w:val="none"/>
        </w:rPr>
      </w:pPr>
      <w:r>
        <w:rPr>
          <w:rFonts w:ascii="仿宋_GB2312" w:hAnsi="仿宋_GB2312" w:eastAsia="仿宋_GB2312" w:cs="仿宋_GB2312"/>
          <w:highlight w:val="none"/>
        </w:rPr>
        <w:t>采购包1： 付款条件说明： 交付使用</w:t>
      </w:r>
      <w:r>
        <w:rPr>
          <w:rFonts w:ascii="仿宋_GB2312" w:hAnsi="仿宋_GB2312" w:eastAsia="仿宋_GB2312" w:cs="仿宋_GB2312"/>
          <w:highlight w:val="none"/>
          <w:lang w:eastAsia="zh-CN"/>
        </w:rPr>
        <w:t>一年</w:t>
      </w:r>
      <w:r>
        <w:rPr>
          <w:rFonts w:ascii="仿宋_GB2312" w:hAnsi="仿宋_GB2312" w:eastAsia="仿宋_GB2312" w:cs="仿宋_GB2312"/>
          <w:highlight w:val="none"/>
        </w:rPr>
        <w:t>后 ，达到付款条件起 30 日内，支付合同总金额的 40.00%。</w:t>
      </w:r>
    </w:p>
    <w:p w14:paraId="3CCAD66B">
      <w:pPr>
        <w:tabs>
          <w:tab w:val="left" w:pos="735"/>
        </w:tabs>
        <w:autoSpaceDE w:val="0"/>
        <w:autoSpaceDN w:val="0"/>
        <w:adjustRightInd w:val="0"/>
        <w:snapToGrid w:val="0"/>
        <w:spacing w:line="360" w:lineRule="auto"/>
        <w:rPr>
          <w:rFonts w:hint="eastAsia" w:ascii="仿宋" w:hAnsi="仿宋" w:eastAsia="仿宋" w:cs="仿宋"/>
          <w:b/>
          <w:bCs/>
          <w:sz w:val="24"/>
          <w:highlight w:val="none"/>
          <w:lang w:val="zh-CN"/>
        </w:rPr>
      </w:pPr>
      <w:r>
        <w:rPr>
          <w:rFonts w:hint="eastAsia" w:ascii="仿宋" w:hAnsi="仿宋" w:eastAsia="仿宋" w:cs="仿宋"/>
          <w:b/>
          <w:bCs/>
          <w:sz w:val="24"/>
          <w:highlight w:val="none"/>
        </w:rPr>
        <w:t>五</w:t>
      </w:r>
      <w:r>
        <w:rPr>
          <w:rFonts w:hint="eastAsia" w:ascii="仿宋" w:hAnsi="仿宋" w:eastAsia="仿宋" w:cs="仿宋"/>
          <w:b/>
          <w:bCs/>
          <w:sz w:val="24"/>
          <w:highlight w:val="none"/>
          <w:lang w:val="zh-CN"/>
        </w:rPr>
        <w:t>、服务</w:t>
      </w:r>
      <w:r>
        <w:rPr>
          <w:rFonts w:hint="eastAsia" w:ascii="仿宋" w:hAnsi="仿宋" w:eastAsia="仿宋" w:cs="仿宋"/>
          <w:b/>
          <w:bCs/>
          <w:sz w:val="24"/>
          <w:highlight w:val="none"/>
        </w:rPr>
        <w:t>地点、供货期及质保期</w:t>
      </w:r>
      <w:r>
        <w:rPr>
          <w:rFonts w:hint="eastAsia" w:ascii="仿宋" w:hAnsi="仿宋" w:eastAsia="仿宋" w:cs="仿宋"/>
          <w:b/>
          <w:bCs/>
          <w:sz w:val="24"/>
          <w:highlight w:val="none"/>
          <w:lang w:val="zh-CN"/>
        </w:rPr>
        <w:t>:</w:t>
      </w:r>
    </w:p>
    <w:p w14:paraId="2E4F56F0">
      <w:pPr>
        <w:tabs>
          <w:tab w:val="left" w:pos="735"/>
        </w:tabs>
        <w:autoSpaceDE w:val="0"/>
        <w:autoSpaceDN w:val="0"/>
        <w:adjustRightInd w:val="0"/>
        <w:snapToGrid w:val="0"/>
        <w:spacing w:line="360" w:lineRule="auto"/>
        <w:ind w:firstLine="631"/>
        <w:rPr>
          <w:rFonts w:hint="eastAsia" w:ascii="仿宋" w:hAnsi="仿宋" w:eastAsia="仿宋" w:cs="仿宋"/>
          <w:bCs/>
          <w:sz w:val="24"/>
          <w:lang w:val="zh-CN"/>
        </w:rPr>
      </w:pPr>
      <w:r>
        <w:rPr>
          <w:rFonts w:hint="eastAsia" w:ascii="仿宋" w:hAnsi="仿宋" w:eastAsia="仿宋" w:cs="仿宋"/>
          <w:bCs/>
          <w:sz w:val="24"/>
          <w:lang w:val="zh-CN"/>
        </w:rPr>
        <w:t>1、服务地点：</w:t>
      </w:r>
      <w:r>
        <w:rPr>
          <w:rFonts w:hint="eastAsia" w:ascii="仿宋" w:hAnsi="仿宋" w:eastAsia="仿宋" w:cs="仿宋"/>
          <w:bCs/>
          <w:sz w:val="24"/>
        </w:rPr>
        <w:t>甲方</w:t>
      </w:r>
      <w:r>
        <w:rPr>
          <w:rFonts w:hint="eastAsia" w:ascii="仿宋" w:hAnsi="仿宋" w:eastAsia="仿宋" w:cs="仿宋"/>
          <w:bCs/>
          <w:sz w:val="24"/>
          <w:lang w:val="zh-CN"/>
        </w:rPr>
        <w:t>指定地点。</w:t>
      </w:r>
    </w:p>
    <w:p w14:paraId="3274E7DD">
      <w:pPr>
        <w:pStyle w:val="3"/>
        <w:ind w:firstLine="720" w:firstLineChars="300"/>
        <w:rPr>
          <w:rFonts w:hint="eastAsia" w:ascii="仿宋" w:hAnsi="仿宋" w:eastAsia="仿宋" w:cs="仿宋"/>
          <w:bCs/>
          <w:sz w:val="24"/>
          <w:szCs w:val="24"/>
          <w:lang w:val="zh-CN"/>
        </w:rPr>
      </w:pPr>
      <w:r>
        <w:rPr>
          <w:rFonts w:hint="eastAsia" w:ascii="仿宋" w:hAnsi="仿宋" w:eastAsia="仿宋" w:cs="仿宋"/>
          <w:bCs/>
          <w:sz w:val="24"/>
          <w:szCs w:val="24"/>
          <w:lang w:val="zh-CN"/>
        </w:rPr>
        <w:t>2、</w:t>
      </w:r>
      <w:r>
        <w:rPr>
          <w:rFonts w:hint="eastAsia" w:ascii="仿宋" w:hAnsi="仿宋" w:eastAsia="仿宋" w:cs="仿宋"/>
          <w:bCs/>
          <w:sz w:val="24"/>
          <w:szCs w:val="24"/>
        </w:rPr>
        <w:t>供货期</w:t>
      </w:r>
      <w:r>
        <w:rPr>
          <w:rFonts w:hint="eastAsia" w:ascii="仿宋" w:hAnsi="仿宋" w:eastAsia="仿宋" w:cs="仿宋"/>
          <w:bCs/>
          <w:sz w:val="24"/>
          <w:szCs w:val="24"/>
          <w:lang w:val="zh-CN"/>
        </w:rPr>
        <w:t>：自合同签订之日起</w:t>
      </w:r>
      <w:r>
        <w:rPr>
          <w:rFonts w:hint="eastAsia" w:ascii="仿宋" w:hAnsi="仿宋" w:eastAsia="仿宋" w:cs="仿宋"/>
          <w:bCs/>
          <w:sz w:val="24"/>
          <w:szCs w:val="24"/>
        </w:rPr>
        <w:t>60</w:t>
      </w:r>
      <w:r>
        <w:rPr>
          <w:rFonts w:hint="eastAsia" w:ascii="仿宋" w:hAnsi="仿宋" w:eastAsia="仿宋" w:cs="仿宋"/>
          <w:bCs/>
          <w:sz w:val="24"/>
          <w:szCs w:val="24"/>
          <w:lang w:val="zh-CN"/>
        </w:rPr>
        <w:t>个日历日内交付使用。</w:t>
      </w:r>
    </w:p>
    <w:p w14:paraId="405EC388">
      <w:pPr>
        <w:ind w:firstLine="720" w:firstLineChars="300"/>
      </w:pPr>
      <w:r>
        <w:rPr>
          <w:rFonts w:hint="eastAsia" w:ascii="仿宋" w:hAnsi="仿宋" w:eastAsia="仿宋" w:cs="仿宋"/>
          <w:bCs/>
          <w:sz w:val="24"/>
        </w:rPr>
        <w:t>3、质保期：自验收合格之日起36个月。</w:t>
      </w:r>
    </w:p>
    <w:p w14:paraId="5B6F31C7">
      <w:pPr>
        <w:widowControl/>
        <w:spacing w:line="360" w:lineRule="auto"/>
        <w:rPr>
          <w:rFonts w:hint="eastAsia" w:ascii="仿宋" w:hAnsi="仿宋" w:eastAsia="仿宋" w:cs="仿宋"/>
          <w:b/>
          <w:sz w:val="24"/>
        </w:rPr>
      </w:pPr>
      <w:r>
        <w:rPr>
          <w:rFonts w:hint="eastAsia" w:ascii="仿宋" w:hAnsi="仿宋" w:eastAsia="仿宋" w:cs="仿宋"/>
          <w:b/>
          <w:sz w:val="24"/>
        </w:rPr>
        <w:t>六、采购内容及服务要求：详见竞争性磋商文件第四章。</w:t>
      </w:r>
    </w:p>
    <w:p w14:paraId="50200F9E">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七、争议的解决：</w:t>
      </w:r>
    </w:p>
    <w:p w14:paraId="735B928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合同未尽事宜，双方协商解决。协商不成，向项目所在地的法院提起诉讼，诉讼费用由败诉方承担。</w:t>
      </w:r>
    </w:p>
    <w:p w14:paraId="74BB04AA">
      <w:pPr>
        <w:adjustRightInd w:val="0"/>
        <w:snapToGrid w:val="0"/>
        <w:spacing w:line="360" w:lineRule="auto"/>
        <w:rPr>
          <w:rFonts w:hint="eastAsia" w:ascii="仿宋" w:hAnsi="仿宋" w:eastAsia="仿宋" w:cs="仿宋"/>
          <w:sz w:val="24"/>
        </w:rPr>
      </w:pPr>
      <w:r>
        <w:rPr>
          <w:rFonts w:hint="eastAsia" w:ascii="仿宋" w:hAnsi="仿宋" w:eastAsia="仿宋" w:cs="仿宋"/>
          <w:b/>
          <w:sz w:val="24"/>
        </w:rPr>
        <w:t>八、验收：</w:t>
      </w:r>
    </w:p>
    <w:p w14:paraId="396A4F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1、验收依据：</w:t>
      </w:r>
    </w:p>
    <w:p w14:paraId="1499359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1-1、合同文本、合同附件、竞争性磋商文件、响应文件。</w:t>
      </w:r>
    </w:p>
    <w:p w14:paraId="3C9C0967">
      <w:pPr>
        <w:snapToGrid w:val="0"/>
        <w:spacing w:line="360" w:lineRule="auto"/>
        <w:ind w:right="893" w:firstLine="480" w:firstLineChars="200"/>
        <w:rPr>
          <w:rFonts w:hint="eastAsia" w:ascii="仿宋" w:hAnsi="仿宋" w:eastAsia="仿宋" w:cs="仿宋"/>
          <w:sz w:val="24"/>
        </w:rPr>
      </w:pPr>
      <w:r>
        <w:rPr>
          <w:rFonts w:hint="eastAsia" w:ascii="仿宋" w:hAnsi="仿宋" w:eastAsia="仿宋" w:cs="仿宋"/>
          <w:sz w:val="24"/>
        </w:rPr>
        <w:t>1-2、国内相应的标准、规范。</w:t>
      </w:r>
    </w:p>
    <w:p w14:paraId="783467BA">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2、验收方法和标准：由采购人参照《财政部关于进一步加强政府采购需求和履约验收管理的指导意见》（财库﹝2016﹞205号）的相关法律法规自行组织验收。</w:t>
      </w:r>
    </w:p>
    <w:p w14:paraId="7BEF2464">
      <w:pPr>
        <w:spacing w:line="360" w:lineRule="auto"/>
        <w:jc w:val="left"/>
        <w:rPr>
          <w:rFonts w:hint="eastAsia" w:ascii="仿宋" w:hAnsi="仿宋" w:eastAsia="仿宋" w:cs="仿宋"/>
          <w:b/>
        </w:rPr>
      </w:pPr>
      <w:r>
        <w:rPr>
          <w:rFonts w:hint="eastAsia" w:ascii="仿宋" w:hAnsi="仿宋" w:eastAsia="仿宋" w:cs="仿宋"/>
          <w:b/>
        </w:rPr>
        <w:t>九、双方权利及义务</w:t>
      </w:r>
    </w:p>
    <w:p w14:paraId="374E296E">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1.甲乙双方必须遵守本合同并执行合同中的各项规定，保证本合同的正常履行。</w:t>
      </w:r>
    </w:p>
    <w:p w14:paraId="53949871">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2.本合同签订后甲乙双方不得单方终止合同，如乙方违约，应赔偿给甲方实际造成的损失；如甲方违约，乙方收取的钱款不予退还。</w:t>
      </w:r>
    </w:p>
    <w:p w14:paraId="21B3F9D9">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3.如因乙方存在以下行为，甲方有权终止合同，依法向乙方进行经济索赔，并报请政府采购监督管理机关进行相应的行政处罚。</w:t>
      </w:r>
    </w:p>
    <w:p w14:paraId="1559DAAF">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①存在弄虚作假、传递虚假信息等违法违规行为；</w:t>
      </w:r>
    </w:p>
    <w:p w14:paraId="53B72D0A">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②存在不规范操作行为；</w:t>
      </w:r>
    </w:p>
    <w:p w14:paraId="643B5707">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③未全面履行合同义务或者发生违约。</w:t>
      </w:r>
    </w:p>
    <w:p w14:paraId="7F222D9D">
      <w:pPr>
        <w:adjustRightInd w:val="0"/>
        <w:snapToGrid w:val="0"/>
        <w:spacing w:line="360" w:lineRule="auto"/>
        <w:ind w:firstLine="480" w:firstLineChars="200"/>
        <w:rPr>
          <w:rFonts w:hint="eastAsia" w:ascii="仿宋" w:hAnsi="仿宋" w:eastAsia="仿宋" w:cs="仿宋"/>
          <w:b/>
          <w:sz w:val="24"/>
        </w:rPr>
      </w:pPr>
      <w:r>
        <w:rPr>
          <w:rFonts w:hint="eastAsia" w:ascii="仿宋" w:hAnsi="仿宋" w:eastAsia="仿宋" w:cs="仿宋"/>
          <w:bCs/>
          <w:sz w:val="24"/>
          <w:szCs w:val="22"/>
        </w:rPr>
        <w:t>4.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90455A0">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十、保密责任</w:t>
      </w:r>
    </w:p>
    <w:p w14:paraId="68F371CE">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5343A0AD">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十一、安全</w:t>
      </w:r>
    </w:p>
    <w:p w14:paraId="50313402">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乙方必须按照国家有关安全生产规范进行作业，项目实施过程中发生的安全事故责任由乙方承担。</w:t>
      </w:r>
    </w:p>
    <w:p w14:paraId="48479ABA">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十二、 违约责任</w:t>
      </w:r>
    </w:p>
    <w:p w14:paraId="559A5459">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按《中华人民共和国民法典》中的相关条款和本合同的约定执行。未按合同或磋商文件要求提供产品或供应的产品质量不能满足采购人技术要求，采购人有权终止合同，甚至对供应商违约行为进行追究。</w:t>
      </w:r>
    </w:p>
    <w:p w14:paraId="09F73A93">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十三、 合同生效、变更、解除的条件</w:t>
      </w:r>
    </w:p>
    <w:p w14:paraId="27A68638">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1、本合同自双方法定代表人或委托人签字并加盖公章后生效，合同履行完毕自行终止。</w:t>
      </w:r>
    </w:p>
    <w:p w14:paraId="4BFA593D">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2、本合同的变更必须经过甲乙双方共同协商并签订补充协议，补充协议与本合同具有同等法律效力。</w:t>
      </w:r>
    </w:p>
    <w:p w14:paraId="1BF1B492">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十四、 附则</w:t>
      </w:r>
    </w:p>
    <w:p w14:paraId="69EFF280">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1、本合同执行过程中的未尽事宜，双方应本着实事求是，友好协商的态度加以解决。</w:t>
      </w:r>
    </w:p>
    <w:p w14:paraId="2F904377">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2、本合同由双方代表签字，加盖公章生效。全部成果和费用结算完后，本合同终止。</w:t>
      </w:r>
    </w:p>
    <w:p w14:paraId="43F1C50D">
      <w:pPr>
        <w:spacing w:line="360" w:lineRule="auto"/>
        <w:ind w:firstLine="480" w:firstLineChars="200"/>
        <w:rPr>
          <w:rFonts w:hint="eastAsia" w:ascii="仿宋" w:hAnsi="仿宋" w:eastAsia="仿宋" w:cs="仿宋"/>
          <w:bCs/>
          <w:color w:val="FF0000"/>
          <w:sz w:val="24"/>
        </w:rPr>
      </w:pPr>
      <w:r>
        <w:rPr>
          <w:rFonts w:hint="eastAsia" w:ascii="仿宋" w:hAnsi="仿宋" w:eastAsia="仿宋" w:cs="仿宋"/>
          <w:bCs/>
          <w:color w:val="000000"/>
          <w:sz w:val="24"/>
        </w:rPr>
        <w:t>3、本合同</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式</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份，甲、乙双方各</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份。</w:t>
      </w:r>
      <w:r>
        <w:rPr>
          <w:rFonts w:hint="eastAsia" w:ascii="仿宋" w:hAnsi="仿宋" w:eastAsia="仿宋" w:cs="仿宋"/>
          <w:bCs/>
          <w:color w:val="FF0000"/>
          <w:sz w:val="24"/>
        </w:rPr>
        <w:t xml:space="preserve"> </w:t>
      </w:r>
    </w:p>
    <w:p w14:paraId="13AA1296">
      <w:pPr>
        <w:spacing w:line="360" w:lineRule="auto"/>
        <w:ind w:right="195" w:rightChars="93"/>
        <w:rPr>
          <w:rFonts w:hint="eastAsia" w:ascii="仿宋" w:hAnsi="仿宋" w:eastAsia="仿宋" w:cs="仿宋"/>
          <w:b/>
          <w:bCs/>
          <w:sz w:val="24"/>
        </w:rPr>
      </w:pPr>
    </w:p>
    <w:p w14:paraId="63988A00">
      <w:pPr>
        <w:pStyle w:val="3"/>
      </w:pPr>
      <w:r>
        <w:rPr>
          <w:rFonts w:hint="eastAsia" w:ascii="仿宋" w:hAnsi="仿宋" w:eastAsia="仿宋" w:cs="仿宋"/>
          <w:sz w:val="24"/>
          <w:szCs w:val="24"/>
        </w:rPr>
        <w:t>【以下无正文】</w:t>
      </w:r>
    </w:p>
    <w:p w14:paraId="6AA56C33">
      <w:pPr>
        <w:spacing w:line="360" w:lineRule="auto"/>
        <w:rPr>
          <w:rFonts w:hint="eastAsia" w:ascii="仿宋" w:hAnsi="仿宋" w:eastAsia="仿宋" w:cs="仿宋"/>
          <w:b/>
          <w:bCs/>
          <w:sz w:val="24"/>
        </w:rPr>
      </w:pPr>
      <w:r>
        <w:rPr>
          <w:rFonts w:hint="eastAsia" w:ascii="仿宋" w:hAnsi="仿宋" w:eastAsia="仿宋" w:cs="仿宋"/>
          <w:bCs/>
          <w:sz w:val="24"/>
        </w:rPr>
        <w:t>甲方（章）：                       乙方（章）：</w:t>
      </w:r>
      <w:r>
        <w:rPr>
          <w:rFonts w:hint="eastAsia" w:ascii="仿宋" w:hAnsi="仿宋" w:eastAsia="仿宋" w:cs="仿宋"/>
          <w:sz w:val="24"/>
        </w:rPr>
        <w:t xml:space="preserve"> </w:t>
      </w:r>
      <w:r>
        <w:rPr>
          <w:rFonts w:hint="eastAsia" w:ascii="仿宋" w:hAnsi="仿宋" w:eastAsia="仿宋" w:cs="仿宋"/>
          <w:b/>
          <w:bCs/>
          <w:sz w:val="24"/>
        </w:rPr>
        <w:t xml:space="preserve">           </w:t>
      </w:r>
    </w:p>
    <w:p w14:paraId="40F89E2A">
      <w:pPr>
        <w:spacing w:line="360" w:lineRule="auto"/>
        <w:rPr>
          <w:rFonts w:hint="eastAsia" w:ascii="仿宋" w:hAnsi="仿宋" w:eastAsia="仿宋" w:cs="仿宋"/>
          <w:sz w:val="24"/>
        </w:rPr>
      </w:pPr>
      <w:r>
        <w:rPr>
          <w:rFonts w:hint="eastAsia" w:ascii="仿宋" w:hAnsi="仿宋" w:eastAsia="仿宋" w:cs="仿宋"/>
          <w:sz w:val="24"/>
        </w:rPr>
        <w:t xml:space="preserve">法人代表或委托代理人：             法人代表或委托代理人：      </w:t>
      </w:r>
    </w:p>
    <w:p w14:paraId="356F4A0E">
      <w:pPr>
        <w:spacing w:line="360" w:lineRule="auto"/>
        <w:rPr>
          <w:rFonts w:hint="eastAsia" w:ascii="仿宋" w:hAnsi="仿宋" w:eastAsia="仿宋" w:cs="仿宋"/>
          <w:sz w:val="24"/>
        </w:rPr>
      </w:pPr>
      <w:r>
        <w:rPr>
          <w:rFonts w:hint="eastAsia" w:ascii="仿宋" w:hAnsi="仿宋" w:eastAsia="仿宋" w:cs="仿宋"/>
          <w:sz w:val="24"/>
        </w:rPr>
        <w:t xml:space="preserve">                                     </w:t>
      </w:r>
    </w:p>
    <w:p w14:paraId="40C8BF06">
      <w:pPr>
        <w:spacing w:line="360" w:lineRule="auto"/>
        <w:rPr>
          <w:rFonts w:hint="eastAsia" w:ascii="仿宋" w:hAnsi="仿宋" w:eastAsia="仿宋" w:cs="仿宋"/>
          <w:sz w:val="24"/>
        </w:rPr>
      </w:pPr>
      <w:r>
        <w:rPr>
          <w:rFonts w:hint="eastAsia" w:ascii="仿宋" w:hAnsi="仿宋" w:eastAsia="仿宋" w:cs="仿宋"/>
          <w:sz w:val="24"/>
        </w:rPr>
        <w:t xml:space="preserve">地 址：                            地 址： </w:t>
      </w:r>
    </w:p>
    <w:p w14:paraId="3F86992E">
      <w:pPr>
        <w:spacing w:line="360" w:lineRule="auto"/>
        <w:rPr>
          <w:rFonts w:hint="eastAsia" w:ascii="仿宋" w:hAnsi="仿宋" w:eastAsia="仿宋" w:cs="仿宋"/>
          <w:sz w:val="24"/>
        </w:rPr>
      </w:pPr>
      <w:r>
        <w:rPr>
          <w:rFonts w:hint="eastAsia" w:ascii="仿宋" w:hAnsi="仿宋" w:eastAsia="仿宋" w:cs="仿宋"/>
          <w:sz w:val="24"/>
        </w:rPr>
        <w:t xml:space="preserve">电 话：                            电 话：     </w:t>
      </w:r>
    </w:p>
    <w:p w14:paraId="0F38FED8">
      <w:pPr>
        <w:spacing w:line="360" w:lineRule="auto"/>
        <w:rPr>
          <w:rFonts w:hint="eastAsia" w:ascii="仿宋" w:hAnsi="仿宋" w:eastAsia="仿宋" w:cs="仿宋"/>
          <w:sz w:val="24"/>
        </w:rPr>
      </w:pPr>
      <w:r>
        <w:rPr>
          <w:rFonts w:hint="eastAsia" w:ascii="仿宋" w:hAnsi="仿宋" w:eastAsia="仿宋" w:cs="仿宋"/>
          <w:sz w:val="24"/>
        </w:rPr>
        <w:t xml:space="preserve">开户银行：                         开户银行： </w:t>
      </w:r>
    </w:p>
    <w:p w14:paraId="0B786E1C">
      <w:pPr>
        <w:spacing w:line="360" w:lineRule="auto"/>
        <w:rPr>
          <w:rFonts w:hint="eastAsia" w:ascii="仿宋" w:hAnsi="仿宋" w:eastAsia="仿宋" w:cs="仿宋"/>
          <w:sz w:val="24"/>
        </w:rPr>
      </w:pPr>
      <w:r>
        <w:rPr>
          <w:rFonts w:hint="eastAsia" w:ascii="仿宋" w:hAnsi="仿宋" w:eastAsia="仿宋" w:cs="仿宋"/>
          <w:sz w:val="24"/>
        </w:rPr>
        <w:t xml:space="preserve">开户名称：                         开户名称： </w:t>
      </w:r>
    </w:p>
    <w:p w14:paraId="61D539F8">
      <w:pPr>
        <w:spacing w:line="360" w:lineRule="auto"/>
        <w:rPr>
          <w:rFonts w:hint="eastAsia" w:ascii="仿宋" w:hAnsi="仿宋" w:eastAsia="仿宋" w:cs="仿宋"/>
          <w:sz w:val="24"/>
        </w:rPr>
      </w:pPr>
      <w:r>
        <w:rPr>
          <w:rFonts w:hint="eastAsia" w:ascii="仿宋" w:hAnsi="仿宋" w:eastAsia="仿宋" w:cs="仿宋"/>
          <w:sz w:val="24"/>
        </w:rPr>
        <w:t>账 号：                            账 号：</w:t>
      </w:r>
      <w:r>
        <w:rPr>
          <w:rFonts w:hint="eastAsia" w:ascii="仿宋" w:hAnsi="仿宋" w:eastAsia="仿宋" w:cs="仿宋"/>
          <w:bCs/>
          <w:sz w:val="24"/>
        </w:rPr>
        <w:t xml:space="preserve"> </w:t>
      </w:r>
      <w:r>
        <w:rPr>
          <w:rFonts w:hint="eastAsia" w:ascii="仿宋" w:hAnsi="仿宋" w:eastAsia="仿宋" w:cs="仿宋"/>
          <w:sz w:val="24"/>
        </w:rPr>
        <w:t xml:space="preserve">              </w:t>
      </w:r>
    </w:p>
    <w:p w14:paraId="4676F482">
      <w:pPr>
        <w:tabs>
          <w:tab w:val="left" w:pos="980"/>
        </w:tabs>
        <w:kinsoku w:val="0"/>
        <w:spacing w:line="580" w:lineRule="exact"/>
        <w:rPr>
          <w:rFonts w:hint="eastAsia" w:ascii="仿宋" w:hAnsi="仿宋" w:eastAsia="仿宋" w:cs="仿宋"/>
        </w:rPr>
      </w:pPr>
      <w:r>
        <w:rPr>
          <w:rFonts w:hint="eastAsia" w:ascii="仿宋" w:hAnsi="仿宋" w:eastAsia="仿宋" w:cs="仿宋"/>
          <w:sz w:val="24"/>
        </w:rPr>
        <w:t>日 期：    年   月   日            日 期：   年   月   日</w:t>
      </w:r>
    </w:p>
    <w:p w14:paraId="11E15D5C">
      <w:pPr>
        <w:pStyle w:val="7"/>
        <w:rPr>
          <w:rFonts w:hint="default"/>
        </w:rPr>
      </w:pPr>
      <w:r>
        <w:rPr>
          <w:rFonts w:ascii="仿宋_GB2312" w:hAnsi="仿宋_GB2312" w:eastAsia="仿宋_GB2312" w:cs="仿宋_GB2312"/>
        </w:rPr>
        <w:br w:type="textWrapping"/>
      </w:r>
    </w:p>
    <w:p w14:paraId="179815DC">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B1689"/>
    <w:rsid w:val="376B1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outlineLvl w:val="0"/>
    </w:pPr>
    <w:rPr>
      <w:rFonts w:ascii="仿宋_GB2312" w:hAnsi="宋体" w:eastAsia="仿宋_GB2312"/>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eastAsia="仿宋_GB2312"/>
      <w:sz w:val="32"/>
      <w:szCs w:val="20"/>
    </w:rPr>
  </w:style>
  <w:style w:type="paragraph" w:styleId="4">
    <w:name w:val="footer"/>
    <w:basedOn w:val="1"/>
    <w:next w:val="1"/>
    <w:qFormat/>
    <w:uiPriority w:val="99"/>
    <w:pPr>
      <w:tabs>
        <w:tab w:val="center" w:pos="4153"/>
        <w:tab w:val="right" w:pos="8306"/>
      </w:tabs>
      <w:snapToGrid w:val="0"/>
      <w:jc w:val="left"/>
    </w:pPr>
    <w:rPr>
      <w:rFonts w:ascii="Times New Roman"/>
      <w:sz w:val="18"/>
      <w:szCs w:val="18"/>
    </w:r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2025-11-21T10:50:00Z</dcterms:created>
  <dc:creator>华夏国际-招标部</dc:creator>
  <cp:lastModifiedBy>华夏国际-招标部</cp:lastModifiedBy>
  <dcterms:modified xsi:type="dcterms:W3CDTF">2025-11-21T10:50:23Z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FC226DD52C844753A7060FF800DBFA22_11</vt:lpwstr>
  </property>
  <property fmtid="{D5CDD505-2E9C-101B-9397-08002B2CF9AE}" pid="4" name="KSOTemplateDocerSaveRecord">
    <vt:lpwstr>eyJoZGlkIjoiOTliZmFiMTgxMjAzMGU2Mjk0ZGExYmI2MWRhM2Y3ZjgiLCJ1c2VySWQiOiIxNTQ4NTM4NTMxIn0=</vt:lpwstr>
  </property>
</Properties>
</file>