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版本号：SXHC2025-28220251124001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西安高新区2025年度城市国土空间监测服务项目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SXHC2025-282</w:t>
      </w:r>
      <w:r>
        <w:br/>
      </w:r>
      <w:r>
        <w:br/>
      </w:r>
      <w:r>
        <w:br/>
      </w:r>
    </w:p>
    <w:p>
      <w:pPr>
        <w:pStyle w:val="null3"/>
        <w:jc w:val="center"/>
        <w:outlineLvl w:val="2"/>
      </w:pPr>
      <w:r>
        <w:rPr>
          <w:rFonts w:ascii="仿宋_GB2312" w:hAnsi="仿宋_GB2312" w:cs="仿宋_GB2312" w:eastAsia="仿宋_GB2312"/>
          <w:sz w:val="28"/>
          <w:b/>
        </w:rPr>
        <w:t>西安高新技术产业开发区自然资源和规划局</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西安高新技术产业开发区自然资源和规划局</w:t>
      </w:r>
      <w:r>
        <w:rPr>
          <w:rFonts w:ascii="仿宋_GB2312" w:hAnsi="仿宋_GB2312" w:cs="仿宋_GB2312" w:eastAsia="仿宋_GB2312"/>
        </w:rPr>
        <w:t>委托，拟对</w:t>
      </w:r>
      <w:r>
        <w:rPr>
          <w:rFonts w:ascii="仿宋_GB2312" w:hAnsi="仿宋_GB2312" w:cs="仿宋_GB2312" w:eastAsia="仿宋_GB2312"/>
        </w:rPr>
        <w:t>西安高新区2025年度城市国土空间监测服务项目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SXHC2025-282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西安高新区2025年度城市国土空间监测服务项目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以2024年度国土变更调查成果为底图，在2024年度城市国土空间监测成果基础上，依据2025年6月底之前的高分辨率遥感影像和最新的相关专题资料，结合实地调查等开展工作。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采购包1（西安高新区2025年度城市国土空间监测服务项目）：属于专门面向中小企业采购。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3、企业资质：供应商须具有测绘乙级（含乙级）以上资质。</w:t>
      </w:r>
    </w:p>
    <w:p>
      <w:pPr>
        <w:pStyle w:val="null3"/>
      </w:pPr>
      <w:r>
        <w:rPr>
          <w:rFonts w:ascii="仿宋_GB2312" w:hAnsi="仿宋_GB2312" w:cs="仿宋_GB2312" w:eastAsia="仿宋_GB2312"/>
        </w:rPr>
        <w:t>4、信誉要求：供应商未列入“失信被执行人”、“重大税收违法案件当事人名单”和“政府采购严重违法失信行为记录名单”。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陕西省西安市高新区成章路丝路创智谷6号楼510室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029-81155726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潘聪、张聪聪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的计算方法：以成交金额为基数，参考《国家计委关于印发&lt;招标代理服务收费管理暂行办法&gt;的通知》（计价格〔2002〕1980号）及《国家发改委关于降低部分建设项目收费标准规范收费行为等有关问题的通知（发改价格〔2011〕534号）规定按标准收取，若按照标准收取不足6000元，按6000元计取。 （2）代理服务费可以采取现金、支票、银行汇票、电汇、网银等方式缴纳。 （3）代理服务费缴纳信息： 银行户名：陕西华采招标有限公司 开户银行：招商银行陕西自贸试验区西安高新科技支行 账 号：1299 0594 2210 666 联 系人：韩工 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西安高新技术产业开发区自然资源和规划局</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联系电话：029-68255920转806</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以2024年度国土变更调查成果为底图，在2024年度城市国土空间监测成果基础上，依据2025年6月底之前的高分辨率遥感影像和最新的相关专题资料，结合实地调查等开展工作。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西安高新区2025年度城市国土空间监测服务项目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标的名称：西安高新区2025年度城市国土空间监测服务项目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pPr>
            <w:r>
              <w:rPr>
                <w:rFonts w:ascii="仿宋_GB2312" w:hAnsi="仿宋_GB2312" w:cs="仿宋_GB2312" w:eastAsia="仿宋_GB2312"/>
                <w:b/>
              </w:rPr>
              <w:t>一、项目概况</w:t>
            </w:r>
          </w:p>
          <w:p>
            <w:pPr>
              <w:pStyle w:val="null3"/>
              <w:ind w:firstLine="560"/>
            </w:pPr>
            <w:r>
              <w:rPr>
                <w:rFonts w:ascii="仿宋_GB2312" w:hAnsi="仿宋_GB2312" w:cs="仿宋_GB2312" w:eastAsia="仿宋_GB2312"/>
              </w:rPr>
              <w:t>以2024年度国土变更调查成果为底图，在2024年度城市国土空间监测成果基础上，依据2025年6月底之前的高分辨率遥感影像和最新的相关专题资料，结合实地调查等开展工作。</w:t>
            </w:r>
          </w:p>
          <w:p>
            <w:pPr>
              <w:pStyle w:val="null3"/>
              <w:ind w:firstLine="562"/>
            </w:pPr>
            <w:r>
              <w:rPr>
                <w:rFonts w:ascii="仿宋_GB2312" w:hAnsi="仿宋_GB2312" w:cs="仿宋_GB2312" w:eastAsia="仿宋_GB2312"/>
                <w:b/>
              </w:rPr>
              <w:t>二、主要功能和目标</w:t>
            </w:r>
          </w:p>
          <w:p>
            <w:pPr>
              <w:pStyle w:val="null3"/>
              <w:ind w:firstLine="560"/>
            </w:pPr>
            <w:r>
              <w:rPr>
                <w:rFonts w:ascii="仿宋_GB2312" w:hAnsi="仿宋_GB2312" w:cs="仿宋_GB2312" w:eastAsia="仿宋_GB2312"/>
              </w:rPr>
              <w:t>监测工作以土地利用现状为依据确定监测要素的空问位置、占地范围、面积（长度）、相关属性等，对变化情况和相关属性进行更新和完善，对新增的要素进行监测，掌握城市建设总量、用地结构、基础设施和服务功能等情况，支撑城市建设用地细化、国土空间规划编制及实施监督、国土空间规划城市体检评估、活存量土地、用途管制等国土空间治理工作。</w:t>
            </w:r>
          </w:p>
          <w:p>
            <w:pPr>
              <w:pStyle w:val="null3"/>
              <w:ind w:firstLine="562"/>
            </w:pPr>
            <w:r>
              <w:rPr>
                <w:rFonts w:ascii="仿宋_GB2312" w:hAnsi="仿宋_GB2312" w:cs="仿宋_GB2312" w:eastAsia="仿宋_GB2312"/>
                <w:b/>
              </w:rPr>
              <w:t>三、工作内容与要求</w:t>
            </w:r>
          </w:p>
          <w:p>
            <w:pPr>
              <w:pStyle w:val="null3"/>
              <w:ind w:firstLine="560"/>
            </w:pPr>
            <w:r>
              <w:rPr>
                <w:rFonts w:ascii="仿宋_GB2312" w:hAnsi="仿宋_GB2312" w:cs="仿宋_GB2312" w:eastAsia="仿宋_GB2312"/>
              </w:rPr>
              <w:t>（一）遥感影像收集与正射处理</w:t>
            </w:r>
          </w:p>
          <w:p>
            <w:pPr>
              <w:pStyle w:val="null3"/>
              <w:ind w:firstLine="560"/>
            </w:pPr>
            <w:r>
              <w:rPr>
                <w:rFonts w:ascii="仿宋_GB2312" w:hAnsi="仿宋_GB2312" w:cs="仿宋_GB2312" w:eastAsia="仿宋_GB2312"/>
              </w:rPr>
              <w:t xml:space="preserve">收集时相为按照采购人要求收集卫星遥感影像、1米或者更高分辨率的卫星遥感影像、无人机退感影像、倾斜摄影影像等，综合分析选择时相较新、分辨率更优的影像制作正射影像图，用于城市国土空间监测。    </w:t>
            </w:r>
          </w:p>
          <w:p>
            <w:pPr>
              <w:pStyle w:val="null3"/>
              <w:ind w:firstLine="560"/>
            </w:pPr>
            <w:r>
              <w:rPr>
                <w:rFonts w:ascii="仿宋_GB2312" w:hAnsi="仿宋_GB2312" w:cs="仿宋_GB2312" w:eastAsia="仿宋_GB2312"/>
              </w:rPr>
              <w:t>（二）资料收集与整理</w:t>
            </w:r>
          </w:p>
          <w:p>
            <w:pPr>
              <w:pStyle w:val="null3"/>
              <w:ind w:firstLine="560"/>
            </w:pPr>
            <w:r>
              <w:rPr>
                <w:rFonts w:ascii="仿宋_GB2312" w:hAnsi="仿宋_GB2312" w:cs="仿宋_GB2312" w:eastAsia="仿宋_GB2312"/>
              </w:rPr>
              <w:t xml:space="preserve">收集涉及教育、公安、民政、生态环境、住建、交通、水利、商务、文化旅游、卫生健康、应急、市场监管、体育、统计、能源管理、邮政等行业，现势性为2024年1月1日之后的最新专题资料、POI数据，结合地籍调查和不动产登记、供地、城市大比例尺基础测绘、数字城市、智慧城市等数据成果，为确定各类监测对象空问位置、占地范围和属性做参考和指引。 </w:t>
            </w:r>
          </w:p>
          <w:p>
            <w:pPr>
              <w:pStyle w:val="null3"/>
              <w:ind w:firstLine="560"/>
            </w:pPr>
            <w:r>
              <w:rPr>
                <w:rFonts w:ascii="仿宋_GB2312" w:hAnsi="仿宋_GB2312" w:cs="仿宋_GB2312" w:eastAsia="仿宋_GB2312"/>
              </w:rPr>
              <w:t>（三）监测内容采集</w:t>
            </w:r>
          </w:p>
          <w:p>
            <w:pPr>
              <w:pStyle w:val="null3"/>
              <w:ind w:firstLine="560"/>
            </w:pPr>
            <w:r>
              <w:rPr>
                <w:rFonts w:ascii="仿宋_GB2312" w:hAnsi="仿宋_GB2312" w:cs="仿宋_GB2312" w:eastAsia="仿宋_GB2312"/>
              </w:rPr>
              <w:t>以2024年度国土变更调查成果为底图，以收集的资料为指引，套合最新遥感影像，利用多种技术手段，结合实地调查，确定相关监测内容的位置、占地范围和相关属性。</w:t>
            </w:r>
          </w:p>
          <w:p>
            <w:pPr>
              <w:pStyle w:val="null3"/>
              <w:ind w:firstLine="560"/>
            </w:pPr>
            <w:r>
              <w:rPr>
                <w:rFonts w:ascii="仿宋_GB2312" w:hAnsi="仿宋_GB2312" w:cs="仿宋_GB2312" w:eastAsia="仿宋_GB2312"/>
              </w:rPr>
              <w:t>（四）质量控制</w:t>
            </w:r>
          </w:p>
          <w:p>
            <w:pPr>
              <w:pStyle w:val="null3"/>
              <w:ind w:firstLine="560"/>
            </w:pPr>
            <w:r>
              <w:rPr>
                <w:rFonts w:ascii="仿宋_GB2312" w:hAnsi="仿宋_GB2312" w:cs="仿宋_GB2312" w:eastAsia="仿宋_GB2312"/>
              </w:rPr>
              <w:t>监测成果是城市基本情况的体现，是城市国土空问规划和国土空问治理科学决策的重要支撑，要把数据真实性、准确性，客观性摆在城市国土空问监测工作的首要位置，采取有效措施，加强数据质量管控，确保成果数据与实际情况一致。</w:t>
            </w:r>
          </w:p>
          <w:p>
            <w:pPr>
              <w:pStyle w:val="null3"/>
              <w:ind w:firstLine="560"/>
            </w:pPr>
            <w:r>
              <w:rPr>
                <w:rFonts w:ascii="仿宋_GB2312" w:hAnsi="仿宋_GB2312" w:cs="仿宋_GB2312" w:eastAsia="仿宋_GB2312"/>
              </w:rPr>
              <w:t>（五）数据成果</w:t>
            </w:r>
          </w:p>
          <w:p>
            <w:pPr>
              <w:pStyle w:val="null3"/>
              <w:ind w:firstLine="560"/>
            </w:pPr>
            <w:r>
              <w:rPr>
                <w:rFonts w:ascii="仿宋_GB2312" w:hAnsi="仿宋_GB2312" w:cs="仿宋_GB2312" w:eastAsia="仿宋_GB2312"/>
              </w:rPr>
              <w:t>监测成果按照省级自然资源主管部门要求，完成数据成果汇交。</w:t>
            </w:r>
          </w:p>
          <w:p>
            <w:pPr>
              <w:pStyle w:val="null3"/>
              <w:ind w:firstLine="560"/>
            </w:pPr>
            <w:r>
              <w:rPr>
                <w:rFonts w:ascii="仿宋_GB2312" w:hAnsi="仿宋_GB2312" w:cs="仿宋_GB2312" w:eastAsia="仿宋_GB2312"/>
              </w:rPr>
              <w:t>1、基础成果：按照统一要求，通过整合、采集、细化与更新形成的空间数据成果。</w:t>
            </w:r>
          </w:p>
          <w:p>
            <w:pPr>
              <w:pStyle w:val="null3"/>
              <w:ind w:firstLine="560"/>
            </w:pPr>
            <w:r>
              <w:rPr>
                <w:rFonts w:ascii="仿宋_GB2312" w:hAnsi="仿宋_GB2312" w:cs="仿宋_GB2312" w:eastAsia="仿宋_GB2312"/>
              </w:rPr>
              <w:t>2、统计成果：基于基础成果进行汇总统计形成的数据成果。</w:t>
            </w:r>
          </w:p>
          <w:p>
            <w:pPr>
              <w:pStyle w:val="null3"/>
              <w:ind w:firstLine="560"/>
            </w:pPr>
            <w:r>
              <w:rPr>
                <w:rFonts w:ascii="仿宋_GB2312" w:hAnsi="仿宋_GB2312" w:cs="仿宋_GB2312" w:eastAsia="仿宋_GB2312"/>
              </w:rPr>
              <w:t>3、分析成果：根据业务管理需要，结合其他有关数据通过计算和分析形成的数据成果和报告。</w:t>
            </w:r>
          </w:p>
          <w:p>
            <w:pPr>
              <w:pStyle w:val="null3"/>
              <w:ind w:firstLine="562"/>
            </w:pPr>
            <w:r>
              <w:rPr>
                <w:rFonts w:ascii="仿宋_GB2312" w:hAnsi="仿宋_GB2312" w:cs="仿宋_GB2312" w:eastAsia="仿宋_GB2312"/>
                <w:b/>
              </w:rPr>
              <w:t>四、商务要求</w:t>
            </w:r>
          </w:p>
          <w:p>
            <w:pPr>
              <w:pStyle w:val="null3"/>
              <w:ind w:firstLine="560"/>
            </w:pPr>
            <w:r>
              <w:rPr>
                <w:rFonts w:ascii="仿宋_GB2312" w:hAnsi="仿宋_GB2312" w:cs="仿宋_GB2312" w:eastAsia="仿宋_GB2312"/>
              </w:rPr>
              <w:t>（一）服务期：自合同签订之日起一年。</w:t>
            </w:r>
          </w:p>
          <w:p>
            <w:pPr>
              <w:pStyle w:val="null3"/>
            </w:pPr>
            <w:r>
              <w:rPr>
                <w:rFonts w:ascii="仿宋_GB2312" w:hAnsi="仿宋_GB2312" w:cs="仿宋_GB2312" w:eastAsia="仿宋_GB2312"/>
                <w:color w:val="000000"/>
              </w:rPr>
              <w:t xml:space="preserve">    （二）服务地点：西安市范围内，具体以采购人指定地点为准。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西安市范围内，具体以采购人指定地点为准。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完成合同约定的所有工作，并提交成果资料经验收合格后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根据《中小企业划型标准规定》（工信部联企业〔2011〕300号），其他未列明行业划分标准为“从业人员300人以下的为中小微型企业。其中，从业人员100人及以上的为中型企业；从业人员10人及以上的为小型企业；从业人员10人以下的为微型企业”）。（2）因系统格式设置无法调整，合同付款支付要求以第八章“拟签订采购合同文本”中体现的内容为准。（3）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签字盖章。（4）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供应商须具有测绘乙级（含乙级）以上资质。</w:t>
            </w:r>
          </w:p>
        </w:tc>
        <w:tc>
          <w:tcPr>
            <w:tcW w:type="dxa" w:w="1661"/>
          </w:tcPr>
          <w:p>
            <w:pPr>
              <w:pStyle w:val="null3"/>
            </w:pPr>
            <w:r>
              <w:rPr>
                <w:rFonts w:ascii="仿宋_GB2312" w:hAnsi="仿宋_GB2312" w:cs="仿宋_GB2312" w:eastAsia="仿宋_GB2312"/>
              </w:rPr>
              <w:t>企业资质.docx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内容至少包括①对本项目工作内容的理解及背景分析；②遥感影像收集与正射处理; ③资料收集与整理；④监测内容采集；⑤质量控制；⑥数据成果等。 评审标准：整体服务方案各部分内容全面详细、阐述条理清晰详尽、符合本项目采购需求得24分，每缺一项内容扣4分，评审内容有瑕疵的根据情况扣分，扣完为止。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内容至少包括①重点、难点分析；②重难点范围的把握；③关于重难点的应对措施等。 评审标准：项目重点、难点分析各部分内容全面详细、阐述条理清晰详尽、符合本项目采购需求得9分，每缺一项内容扣3分，评审内容有瑕疵的根据情况扣分，扣完为止。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内容至少包括①项目实施进度计划；②项目完成进度保障措施；③突发情况的应急方案等。 评审标准：项目实施进度计划各部分内容全面详细、阐述条理清晰详尽、符合本项目采购需求得9分，每缺一项内容扣3分，评审内容有瑕疵的根据情况扣分，扣完为止。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内容至少包括①质量保障方案；②质量目标；③服务承诺等。 评审标准：质量保障措施各部分内容全面详细、阐述条理清晰详尽、符合本项目采购需求得9分，每缺一项内容扣3分，评审内容有瑕疵的根据情况扣分，扣完为止。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拟投入人员配备方案-项目负责人</w:t>
            </w:r>
          </w:p>
        </w:tc>
        <w:tc>
          <w:tcPr>
            <w:tcW w:type="dxa" w:w="2492"/>
          </w:tcPr>
          <w:p>
            <w:pPr>
              <w:pStyle w:val="null3"/>
            </w:pPr>
            <w:r>
              <w:rPr>
                <w:rFonts w:ascii="仿宋_GB2312" w:hAnsi="仿宋_GB2312" w:cs="仿宋_GB2312" w:eastAsia="仿宋_GB2312"/>
              </w:rPr>
              <w:t>（1）项目负责人具有国家注册测绘师或测绘类中级以上（含中级）职称得2分。 （2）项目负责人有丰富的相关领域工作经验和曾担任过类似项目（提供证明材料），每提供一个业绩计1分，满分3分。 注：响应文件中提供相关证书及证明材料加盖供应商公章，未提供不得分。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拟投入人员配备方案-项目团队配置</w:t>
            </w:r>
          </w:p>
        </w:tc>
        <w:tc>
          <w:tcPr>
            <w:tcW w:type="dxa" w:w="2492"/>
          </w:tcPr>
          <w:p>
            <w:pPr>
              <w:pStyle w:val="null3"/>
            </w:pPr>
            <w:r>
              <w:rPr>
                <w:rFonts w:ascii="仿宋_GB2312" w:hAnsi="仿宋_GB2312" w:cs="仿宋_GB2312" w:eastAsia="仿宋_GB2312"/>
              </w:rPr>
              <w:t>内容至少包括①团队人员配置清单；②团队人员管理制度；③各专业岗位分工；④配置人员资格、职称及工作经验等。 评审标准：项目团队配置各部分内容全面详细、阐述条理清晰详尽、符合本项目采购需求得12分，每缺一项内容扣3分，评审内容有瑕疵的根据情况扣分，扣完为止。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内容至少包括①保密管理制度；②保密内容；③具体工作保密措施；④保密承诺等。 评审标准：保密措施各部分内容全面详细、阐述条理清晰详尽、符合本项目采购需求得12分，每缺一项内容扣3分，评审内容有瑕疵的根据情况扣分，扣完为止。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供应商提供2022年11月01日至今（以合同签订时间为准）的类似项目业绩，每提供一份得2分，满分10分。 注：响应文件中提供合同复印件加盖供应商公章。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满足磋商文件要求且最后报价最低的价格为评审基准价，其价格分为满分。其他供应商的价格分统一按照下列公式计算：最后报价得分=(评审基准价／最后报价)×价格权值×100。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