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6ABD18">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仿宋_GB2312" w:hAnsi="仿宋" w:eastAsia="仿宋_GB2312"/>
          <w:bCs/>
          <w:sz w:val="44"/>
          <w:szCs w:val="44"/>
          <w:highlight w:val="none"/>
        </w:rPr>
      </w:pPr>
      <w:r>
        <w:rPr>
          <w:rFonts w:hint="eastAsia" w:ascii="仿宋_GB2312" w:hAnsi="仿宋" w:eastAsia="仿宋_GB2312"/>
          <w:b/>
          <w:bCs w:val="0"/>
          <w:sz w:val="44"/>
          <w:szCs w:val="44"/>
          <w:highlight w:val="none"/>
        </w:rPr>
        <w:t>拟签订采购合同文本</w:t>
      </w:r>
    </w:p>
    <w:p w14:paraId="0C3058C1">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甲方（采购人）： </w:t>
      </w:r>
    </w:p>
    <w:p w14:paraId="4A0BF239">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乙方（成交供应商）： </w:t>
      </w:r>
    </w:p>
    <w:p w14:paraId="219CC755">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u w:val="single"/>
          <w:lang w:val="en-US" w:eastAsia="zh-CN"/>
        </w:rPr>
        <w:t xml:space="preserve">西安高新区2025年度城市国土空间监测服务项目 </w:t>
      </w:r>
      <w:r>
        <w:rPr>
          <w:rFonts w:hint="eastAsia" w:ascii="仿宋_GB2312" w:hAnsi="仿宋_GB2312" w:eastAsia="仿宋_GB2312" w:cs="仿宋_GB2312"/>
          <w:bCs/>
          <w:sz w:val="28"/>
          <w:szCs w:val="28"/>
          <w:u w:val="single"/>
        </w:rPr>
        <w:t>(项目编号：SXHC202</w:t>
      </w:r>
      <w:r>
        <w:rPr>
          <w:rFonts w:hint="eastAsia" w:ascii="仿宋_GB2312" w:hAnsi="仿宋_GB2312" w:eastAsia="仿宋_GB2312" w:cs="仿宋_GB2312"/>
          <w:bCs/>
          <w:sz w:val="28"/>
          <w:szCs w:val="28"/>
          <w:u w:val="single"/>
          <w:lang w:val="en-US" w:eastAsia="zh-CN"/>
        </w:rPr>
        <w:t>5-282</w:t>
      </w:r>
      <w:r>
        <w:rPr>
          <w:rFonts w:hint="eastAsia" w:ascii="仿宋_GB2312" w:hAnsi="仿宋_GB2312" w:eastAsia="仿宋_GB2312" w:cs="仿宋_GB2312"/>
          <w:bCs/>
          <w:sz w:val="28"/>
          <w:szCs w:val="28"/>
          <w:u w:val="single"/>
        </w:rPr>
        <w:t>)</w:t>
      </w:r>
      <w:r>
        <w:rPr>
          <w:rFonts w:hint="eastAsia" w:ascii="仿宋_GB2312" w:hAnsi="仿宋_GB2312" w:eastAsia="仿宋_GB2312" w:cs="仿宋_GB2312"/>
          <w:bCs/>
          <w:sz w:val="28"/>
          <w:szCs w:val="28"/>
        </w:rPr>
        <w:t>，由陕西华采招标有</w:t>
      </w:r>
      <w:bookmarkStart w:id="0" w:name="_GoBack"/>
      <w:bookmarkEnd w:id="0"/>
      <w:r>
        <w:rPr>
          <w:rFonts w:hint="eastAsia" w:ascii="仿宋_GB2312" w:hAnsi="仿宋_GB2312" w:eastAsia="仿宋_GB2312" w:cs="仿宋_GB2312"/>
          <w:bCs/>
          <w:sz w:val="28"/>
          <w:szCs w:val="28"/>
        </w:rPr>
        <w:t>限公司组织竞争性磋商，</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(以下简称“甲方”)确定</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（以下简称“乙方”）为该项目的成交供应商。</w:t>
      </w:r>
    </w:p>
    <w:p w14:paraId="0C008BE9">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依据《中华人民共和国</w:t>
      </w:r>
      <w:r>
        <w:rPr>
          <w:rFonts w:hint="eastAsia" w:ascii="仿宋_GB2312" w:hAnsi="仿宋_GB2312" w:eastAsia="仿宋_GB2312" w:cs="仿宋_GB2312"/>
          <w:bCs/>
          <w:sz w:val="28"/>
          <w:szCs w:val="28"/>
          <w:lang w:val="en-US" w:eastAsia="zh-CN"/>
        </w:rPr>
        <w:t>民法典</w:t>
      </w:r>
      <w:r>
        <w:rPr>
          <w:rFonts w:hint="eastAsia" w:ascii="仿宋_GB2312" w:hAnsi="仿宋_GB2312" w:eastAsia="仿宋_GB2312" w:cs="仿宋_GB2312"/>
          <w:bCs/>
          <w:sz w:val="28"/>
          <w:szCs w:val="28"/>
        </w:rPr>
        <w:t>》和《中华人民共和国政府采购法》之规定，经双方在平等、自愿、互利的基础上，签订本合同，共同信守。</w:t>
      </w:r>
    </w:p>
    <w:p w14:paraId="798909E0">
      <w:pPr>
        <w:autoSpaceDE w:val="0"/>
        <w:autoSpaceDN w:val="0"/>
        <w:adjustRightInd w:val="0"/>
        <w:snapToGrid w:val="0"/>
        <w:spacing w:line="360" w:lineRule="auto"/>
        <w:ind w:firstLine="562" w:firstLineChars="200"/>
        <w:rPr>
          <w:rFonts w:hint="default" w:ascii="仿宋_GB2312" w:hAnsi="仿宋" w:eastAsia="仿宋_GB2312"/>
          <w:b/>
          <w:sz w:val="28"/>
          <w:szCs w:val="28"/>
          <w:u w:val="single"/>
          <w:lang w:val="en-US" w:eastAsia="zh-CN"/>
        </w:rPr>
      </w:pPr>
      <w:r>
        <w:rPr>
          <w:rFonts w:hint="eastAsia" w:ascii="仿宋_GB2312" w:hAnsi="仿宋" w:eastAsia="仿宋_GB2312"/>
          <w:b/>
          <w:sz w:val="28"/>
          <w:szCs w:val="28"/>
          <w:lang w:val="en-US" w:eastAsia="zh-CN"/>
        </w:rPr>
        <w:t>一</w:t>
      </w:r>
      <w:r>
        <w:rPr>
          <w:rFonts w:hint="eastAsia" w:ascii="仿宋_GB2312" w:hAnsi="仿宋" w:eastAsia="仿宋_GB2312"/>
          <w:b/>
          <w:sz w:val="28"/>
          <w:szCs w:val="28"/>
        </w:rPr>
        <w:t>、委托工作内容</w:t>
      </w:r>
      <w:r>
        <w:rPr>
          <w:rFonts w:hint="eastAsia" w:ascii="仿宋_GB2312" w:hAnsi="仿宋" w:eastAsia="仿宋_GB2312"/>
          <w:b/>
          <w:sz w:val="28"/>
          <w:szCs w:val="28"/>
          <w:lang w:eastAsia="zh-CN"/>
        </w:rPr>
        <w:t>：</w:t>
      </w:r>
      <w:r>
        <w:rPr>
          <w:rFonts w:hint="eastAsia" w:ascii="仿宋_GB2312" w:hAnsi="仿宋" w:eastAsia="仿宋_GB2312"/>
          <w:b/>
          <w:bCs/>
          <w:color w:val="auto"/>
          <w:sz w:val="28"/>
          <w:szCs w:val="28"/>
          <w:u w:val="single"/>
          <w:lang w:val="en-US" w:eastAsia="zh-CN"/>
        </w:rPr>
        <w:t xml:space="preserve">                                 </w:t>
      </w:r>
      <w:r>
        <w:rPr>
          <w:rFonts w:hint="eastAsia" w:ascii="仿宋_GB2312" w:hAnsi="仿宋" w:eastAsia="仿宋_GB2312"/>
          <w:b/>
          <w:bCs/>
          <w:color w:val="auto"/>
          <w:sz w:val="28"/>
          <w:szCs w:val="28"/>
          <w:u w:val="none"/>
          <w:lang w:val="en-US" w:eastAsia="zh-CN"/>
        </w:rPr>
        <w:t>。</w:t>
      </w:r>
    </w:p>
    <w:p w14:paraId="790EF7C2">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二</w:t>
      </w:r>
      <w:r>
        <w:rPr>
          <w:rFonts w:hint="eastAsia" w:ascii="仿宋_GB2312" w:hAnsi="仿宋_GB2312" w:eastAsia="仿宋_GB2312" w:cs="仿宋_GB2312"/>
          <w:b/>
          <w:sz w:val="28"/>
          <w:szCs w:val="28"/>
          <w:highlight w:val="none"/>
        </w:rPr>
        <w:t>、合同价款</w:t>
      </w:r>
    </w:p>
    <w:p w14:paraId="5E13E30F">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（一）合同总价款为人民币（大写）</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w:t>
      </w:r>
      <w:r>
        <w:rPr>
          <w:rFonts w:hint="eastAsia" w:ascii="微软雅黑" w:hAnsi="微软雅黑" w:eastAsia="微软雅黑" w:cs="微软雅黑"/>
          <w:sz w:val="28"/>
          <w:szCs w:val="28"/>
          <w:highlight w:val="none"/>
          <w:lang w:val="en-US" w:eastAsia="zh-CN"/>
        </w:rPr>
        <w:t>￥</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w:t>
      </w:r>
    </w:p>
    <w:p w14:paraId="1F8C44DE">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（二）</w:t>
      </w:r>
      <w:r>
        <w:rPr>
          <w:rFonts w:hint="eastAsia" w:ascii="仿宋_GB2312" w:hAnsi="仿宋_GB2312" w:eastAsia="仿宋_GB2312" w:cs="仿宋_GB2312"/>
          <w:bCs/>
          <w:sz w:val="28"/>
          <w:szCs w:val="28"/>
          <w:highlight w:val="none"/>
        </w:rPr>
        <w:t>合同总价</w:t>
      </w:r>
      <w:r>
        <w:rPr>
          <w:rFonts w:hint="eastAsia" w:ascii="仿宋_GB2312" w:hAnsi="仿宋_GB2312" w:eastAsia="仿宋_GB2312" w:cs="仿宋_GB2312"/>
          <w:bCs/>
          <w:sz w:val="28"/>
          <w:szCs w:val="28"/>
          <w:highlight w:val="none"/>
          <w:lang w:val="en-US" w:eastAsia="zh-CN"/>
        </w:rPr>
        <w:t>包括</w:t>
      </w:r>
      <w:r>
        <w:rPr>
          <w:rFonts w:hint="eastAsia" w:ascii="仿宋_GB2312" w:hAnsi="仿宋_GB2312" w:eastAsia="仿宋_GB2312" w:cs="仿宋_GB2312"/>
          <w:bCs/>
          <w:sz w:val="28"/>
          <w:szCs w:val="28"/>
          <w:highlight w:val="none"/>
        </w:rPr>
        <w:t>但不限于</w:t>
      </w:r>
      <w:r>
        <w:rPr>
          <w:rFonts w:hint="eastAsia" w:ascii="仿宋_GB2312" w:hAnsi="仿宋_GB2312" w:eastAsia="仿宋_GB2312" w:cs="仿宋_GB2312"/>
          <w:b w:val="0"/>
          <w:bCs w:val="0"/>
          <w:sz w:val="28"/>
          <w:szCs w:val="28"/>
          <w:highlight w:val="none"/>
          <w:lang w:val="en-US" w:eastAsia="zh-CN"/>
        </w:rPr>
        <w:t>人工费</w:t>
      </w:r>
      <w:r>
        <w:rPr>
          <w:rFonts w:hint="eastAsia" w:ascii="仿宋_GB2312" w:hAnsi="仿宋_GB2312" w:eastAsia="仿宋_GB2312" w:cs="仿宋_GB2312"/>
          <w:b w:val="0"/>
          <w:bCs w:val="0"/>
          <w:sz w:val="28"/>
          <w:szCs w:val="28"/>
          <w:highlight w:val="none"/>
        </w:rPr>
        <w:t>、</w:t>
      </w:r>
      <w:r>
        <w:rPr>
          <w:rFonts w:hint="eastAsia" w:ascii="仿宋_GB2312" w:hAnsi="仿宋_GB2312" w:eastAsia="仿宋_GB2312" w:cs="仿宋_GB2312"/>
          <w:b w:val="0"/>
          <w:bCs w:val="0"/>
          <w:sz w:val="28"/>
          <w:szCs w:val="28"/>
          <w:highlight w:val="none"/>
          <w:lang w:val="en-US" w:eastAsia="zh-CN"/>
        </w:rPr>
        <w:t>监测费</w:t>
      </w:r>
      <w:r>
        <w:rPr>
          <w:rFonts w:hint="eastAsia" w:ascii="仿宋_GB2312" w:hAnsi="仿宋_GB2312" w:eastAsia="仿宋_GB2312" w:cs="仿宋_GB2312"/>
          <w:b w:val="0"/>
          <w:bCs w:val="0"/>
          <w:sz w:val="28"/>
          <w:szCs w:val="28"/>
          <w:highlight w:val="none"/>
          <w:lang w:eastAsia="zh-CN"/>
        </w:rPr>
        <w:t>、</w:t>
      </w:r>
      <w:r>
        <w:rPr>
          <w:rFonts w:hint="eastAsia" w:ascii="仿宋_GB2312" w:hAnsi="仿宋_GB2312" w:eastAsia="仿宋_GB2312" w:cs="仿宋_GB2312"/>
          <w:b w:val="0"/>
          <w:bCs w:val="0"/>
          <w:sz w:val="28"/>
          <w:szCs w:val="28"/>
          <w:highlight w:val="none"/>
          <w:lang w:val="en-US" w:eastAsia="zh-CN"/>
        </w:rPr>
        <w:t>交通</w:t>
      </w:r>
      <w:r>
        <w:rPr>
          <w:rFonts w:hint="eastAsia" w:ascii="仿宋_GB2312" w:hAnsi="仿宋_GB2312" w:eastAsia="仿宋_GB2312" w:cs="仿宋_GB2312"/>
          <w:b w:val="0"/>
          <w:bCs w:val="0"/>
          <w:sz w:val="28"/>
          <w:szCs w:val="28"/>
          <w:highlight w:val="none"/>
          <w:lang w:eastAsia="zh-CN"/>
        </w:rPr>
        <w:t>费、</w:t>
      </w:r>
      <w:r>
        <w:rPr>
          <w:rFonts w:hint="eastAsia" w:ascii="仿宋_GB2312" w:hAnsi="仿宋_GB2312" w:eastAsia="仿宋_GB2312" w:cs="仿宋_GB2312"/>
          <w:b w:val="0"/>
          <w:bCs w:val="0"/>
          <w:sz w:val="28"/>
          <w:szCs w:val="28"/>
          <w:highlight w:val="none"/>
          <w:lang w:val="en-US" w:eastAsia="zh-CN"/>
        </w:rPr>
        <w:t>住宿费</w:t>
      </w:r>
      <w:r>
        <w:rPr>
          <w:rFonts w:hint="eastAsia" w:ascii="仿宋_GB2312" w:hAnsi="仿宋_GB2312" w:eastAsia="仿宋_GB2312" w:cs="仿宋_GB2312"/>
          <w:bCs/>
          <w:sz w:val="28"/>
          <w:szCs w:val="28"/>
          <w:highlight w:val="none"/>
        </w:rPr>
        <w:t>、税金等一切相关费用，</w:t>
      </w:r>
      <w:r>
        <w:rPr>
          <w:rFonts w:hint="eastAsia" w:ascii="仿宋_GB2312" w:hAnsi="仿宋_GB2312" w:eastAsia="仿宋_GB2312" w:cs="仿宋_GB2312"/>
          <w:sz w:val="28"/>
          <w:szCs w:val="28"/>
          <w:highlight w:val="none"/>
        </w:rPr>
        <w:t>服务期内甲方不再增加任何费用</w:t>
      </w:r>
      <w:r>
        <w:rPr>
          <w:rFonts w:hint="eastAsia" w:ascii="仿宋_GB2312" w:hAnsi="仿宋_GB2312" w:eastAsia="仿宋_GB2312" w:cs="仿宋_GB2312"/>
          <w:color w:val="auto"/>
          <w:sz w:val="28"/>
          <w:szCs w:val="28"/>
          <w:highlight w:val="none"/>
          <w:lang w:val="en-US" w:eastAsia="zh-CN"/>
        </w:rPr>
        <w:t>。</w:t>
      </w:r>
    </w:p>
    <w:p w14:paraId="11B4395E">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_GB2312" w:eastAsia="仿宋_GB2312" w:cs="仿宋_GB2312"/>
          <w:sz w:val="28"/>
          <w:szCs w:val="28"/>
          <w:highlight w:val="none"/>
        </w:rPr>
        <w:t>（三）合同总价一次性包死，不受市场价格变化因素的影响</w:t>
      </w:r>
      <w:r>
        <w:rPr>
          <w:rFonts w:hint="eastAsia" w:ascii="仿宋_GB2312" w:hAnsi="仿宋" w:eastAsia="仿宋_GB2312"/>
          <w:bCs/>
          <w:sz w:val="28"/>
          <w:szCs w:val="28"/>
          <w:lang w:val="zh-CN"/>
        </w:rPr>
        <w:t>。</w:t>
      </w:r>
    </w:p>
    <w:p w14:paraId="60D3B4CD">
      <w:pPr>
        <w:autoSpaceDE w:val="0"/>
        <w:autoSpaceDN w:val="0"/>
        <w:adjustRightInd w:val="0"/>
        <w:snapToGrid w:val="0"/>
        <w:spacing w:line="360" w:lineRule="auto"/>
        <w:ind w:firstLine="562" w:firstLineChars="200"/>
        <w:rPr>
          <w:rFonts w:hint="eastAsia" w:ascii="仿宋_GB2312" w:hAnsi="仿宋" w:eastAsia="仿宋_GB2312"/>
          <w:b/>
          <w:bCs/>
          <w:sz w:val="28"/>
          <w:szCs w:val="28"/>
        </w:rPr>
      </w:pPr>
      <w:r>
        <w:rPr>
          <w:rFonts w:hint="eastAsia" w:ascii="仿宋_GB2312" w:hAnsi="仿宋" w:eastAsia="仿宋_GB2312"/>
          <w:b/>
          <w:bCs/>
          <w:sz w:val="28"/>
          <w:szCs w:val="28"/>
        </w:rPr>
        <w:t>三、款项结算</w:t>
      </w:r>
    </w:p>
    <w:p w14:paraId="1C8F6BD2">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rPr>
        <w:t>（一）项款支</w:t>
      </w:r>
      <w:r>
        <w:rPr>
          <w:rFonts w:hint="eastAsia" w:ascii="仿宋_GB2312" w:hAnsi="仿宋_GB2312" w:eastAsia="仿宋_GB2312" w:cs="仿宋_GB2312"/>
          <w:sz w:val="28"/>
          <w:szCs w:val="28"/>
          <w:highlight w:val="none"/>
        </w:rPr>
        <w:t xml:space="preserve">付: </w:t>
      </w:r>
      <w:r>
        <w:rPr>
          <w:rFonts w:hint="eastAsia" w:ascii="仿宋_GB2312" w:hAnsi="仿宋_GB2312" w:eastAsia="仿宋_GB2312" w:cs="仿宋_GB2312"/>
          <w:sz w:val="28"/>
          <w:szCs w:val="28"/>
          <w:highlight w:val="none"/>
          <w:lang w:val="en-US" w:eastAsia="zh-CN"/>
        </w:rPr>
        <w:t>合同签订后，达到付款条件起30日内，支付合同总金额的40.00%。即</w:t>
      </w:r>
      <w:r>
        <w:rPr>
          <w:rFonts w:hint="eastAsia" w:ascii="仿宋_GB2312" w:hAnsi="仿宋_GB2312" w:eastAsia="仿宋_GB2312" w:cs="仿宋_GB2312"/>
          <w:sz w:val="28"/>
          <w:szCs w:val="28"/>
          <w:highlight w:val="none"/>
          <w:u w:val="single"/>
          <w:lang w:val="en-US" w:eastAsia="zh-CN"/>
        </w:rPr>
        <w:t>¥       元,大写：人民币   元</w:t>
      </w:r>
      <w:r>
        <w:rPr>
          <w:rFonts w:hint="eastAsia" w:ascii="仿宋_GB2312" w:hAnsi="仿宋_GB2312" w:eastAsia="仿宋_GB2312" w:cs="仿宋_GB2312"/>
          <w:sz w:val="28"/>
          <w:szCs w:val="28"/>
          <w:highlight w:val="none"/>
          <w:u w:val="none"/>
          <w:lang w:val="en-US" w:eastAsia="zh-CN"/>
        </w:rPr>
        <w:t>；完成合同约定的所有工作，并提交成果资料经验收合格后 ，达到付款条件起30日内，支付合同总金额的60.00%。</w:t>
      </w:r>
      <w:r>
        <w:rPr>
          <w:rFonts w:hint="eastAsia" w:ascii="仿宋_GB2312" w:hAnsi="仿宋_GB2312" w:eastAsia="仿宋_GB2312" w:cs="仿宋_GB2312"/>
          <w:sz w:val="28"/>
          <w:szCs w:val="28"/>
          <w:highlight w:val="none"/>
          <w:lang w:val="en-US" w:eastAsia="zh-CN"/>
        </w:rPr>
        <w:t>即</w:t>
      </w:r>
      <w:r>
        <w:rPr>
          <w:rFonts w:hint="eastAsia" w:ascii="仿宋_GB2312" w:hAnsi="仿宋_GB2312" w:eastAsia="仿宋_GB2312" w:cs="仿宋_GB2312"/>
          <w:sz w:val="28"/>
          <w:szCs w:val="28"/>
          <w:highlight w:val="none"/>
          <w:u w:val="single"/>
          <w:lang w:val="en-US" w:eastAsia="zh-CN"/>
        </w:rPr>
        <w:t>¥        元,大写：人民币    元</w:t>
      </w:r>
      <w:r>
        <w:rPr>
          <w:rFonts w:hint="eastAsia" w:ascii="仿宋_GB2312" w:hAnsi="仿宋_GB2312" w:eastAsia="仿宋_GB2312" w:cs="仿宋_GB2312"/>
          <w:sz w:val="28"/>
          <w:szCs w:val="28"/>
          <w:highlight w:val="none"/>
          <w:lang w:val="en-US" w:eastAsia="zh-CN"/>
        </w:rPr>
        <w:t>。</w:t>
      </w:r>
    </w:p>
    <w:p w14:paraId="2D4D9325">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（二）支付方式：银行转账。</w:t>
      </w:r>
    </w:p>
    <w:p w14:paraId="4A57B01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（三）结算方式：乙方在接受付款前，</w:t>
      </w:r>
      <w:r>
        <w:rPr>
          <w:rFonts w:hint="eastAsia" w:ascii="仿宋_GB2312" w:hAnsi="仿宋_GB2312" w:eastAsia="仿宋_GB2312" w:cs="仿宋_GB2312"/>
          <w:sz w:val="28"/>
          <w:szCs w:val="28"/>
          <w:highlight w:val="none"/>
          <w:lang w:val="en-US" w:eastAsia="zh-CN"/>
        </w:rPr>
        <w:t>根据支付方式开具</w:t>
      </w:r>
      <w:r>
        <w:rPr>
          <w:rFonts w:hint="eastAsia" w:ascii="仿宋_GB2312" w:hAnsi="仿宋_GB2312" w:eastAsia="仿宋_GB2312" w:cs="仿宋_GB2312"/>
          <w:sz w:val="28"/>
          <w:szCs w:val="28"/>
          <w:highlight w:val="none"/>
        </w:rPr>
        <w:t>发票给甲方。</w:t>
      </w:r>
    </w:p>
    <w:p w14:paraId="11A5222A">
      <w:pPr>
        <w:autoSpaceDE w:val="0"/>
        <w:autoSpaceDN w:val="0"/>
        <w:adjustRightInd w:val="0"/>
        <w:snapToGrid w:val="0"/>
        <w:spacing w:line="360" w:lineRule="auto"/>
        <w:ind w:firstLine="560" w:firstLineChars="200"/>
        <w:rPr>
          <w:rFonts w:hint="eastAsia" w:ascii="仿宋_GB2312" w:hAnsi="仿宋" w:eastAsia="仿宋_GB2312" w:cs="Times New Roman"/>
          <w:bCs/>
          <w:sz w:val="28"/>
          <w:szCs w:val="28"/>
          <w:highlight w:val="none"/>
          <w:lang w:eastAsia="zh-CN"/>
        </w:rPr>
      </w:pPr>
      <w:r>
        <w:rPr>
          <w:rFonts w:hint="eastAsia" w:ascii="仿宋_GB2312" w:hAnsi="仿宋_GB2312" w:eastAsia="仿宋_GB2312" w:cs="仿宋_GB2312"/>
          <w:bCs/>
          <w:sz w:val="28"/>
          <w:szCs w:val="28"/>
          <w:highlight w:val="none"/>
        </w:rPr>
        <w:t>（四）验收依据：合同文本</w:t>
      </w:r>
      <w:r>
        <w:rPr>
          <w:rFonts w:hint="eastAsia" w:ascii="仿宋_GB2312" w:hAnsi="仿宋_GB2312" w:eastAsia="仿宋_GB2312" w:cs="仿宋_GB2312"/>
          <w:bCs/>
          <w:sz w:val="28"/>
          <w:szCs w:val="28"/>
          <w:highlight w:val="none"/>
          <w:lang w:eastAsia="zh-CN"/>
        </w:rPr>
        <w:t>，磋商响应</w:t>
      </w:r>
      <w:r>
        <w:rPr>
          <w:rFonts w:hint="eastAsia" w:ascii="仿宋_GB2312" w:hAnsi="仿宋_GB2312" w:eastAsia="仿宋_GB2312" w:cs="仿宋_GB2312"/>
          <w:bCs/>
          <w:sz w:val="28"/>
          <w:szCs w:val="28"/>
          <w:highlight w:val="none"/>
        </w:rPr>
        <w:t>文件和其他与项目相关的资料；国家和行业制定的相应的标准和规范：验收清单（注明各成果资料的品名、数量）</w:t>
      </w:r>
      <w:r>
        <w:rPr>
          <w:rFonts w:hint="eastAsia" w:ascii="仿宋_GB2312" w:hAnsi="仿宋" w:eastAsia="仿宋_GB2312" w:cs="Times New Roman"/>
          <w:bCs/>
          <w:sz w:val="28"/>
          <w:szCs w:val="28"/>
          <w:highlight w:val="none"/>
          <w:lang w:eastAsia="zh-CN"/>
        </w:rPr>
        <w:t>。</w:t>
      </w:r>
    </w:p>
    <w:p w14:paraId="240E2BA6">
      <w:pPr>
        <w:autoSpaceDE w:val="0"/>
        <w:autoSpaceDN w:val="0"/>
        <w:adjustRightInd w:val="0"/>
        <w:snapToGrid w:val="0"/>
        <w:spacing w:line="360" w:lineRule="auto"/>
        <w:ind w:firstLine="562" w:firstLineChars="200"/>
        <w:rPr>
          <w:rFonts w:hint="eastAsia" w:ascii="仿宋_GB2312" w:hAnsi="仿宋" w:eastAsia="仿宋_GB2312"/>
          <w:b/>
          <w:bCs/>
          <w:sz w:val="28"/>
          <w:szCs w:val="28"/>
        </w:rPr>
      </w:pPr>
      <w:r>
        <w:rPr>
          <w:rFonts w:hint="eastAsia" w:ascii="仿宋_GB2312" w:hAnsi="仿宋" w:eastAsia="仿宋_GB2312"/>
          <w:b/>
          <w:bCs/>
          <w:sz w:val="28"/>
          <w:szCs w:val="28"/>
        </w:rPr>
        <w:t>四、服务地点及服务期</w:t>
      </w:r>
    </w:p>
    <w:p w14:paraId="65803DF0">
      <w:pPr>
        <w:autoSpaceDE w:val="0"/>
        <w:autoSpaceDN w:val="0"/>
        <w:adjustRightInd w:val="0"/>
        <w:snapToGrid w:val="0"/>
        <w:spacing w:line="360" w:lineRule="auto"/>
        <w:ind w:firstLine="560" w:firstLineChars="200"/>
        <w:rPr>
          <w:rFonts w:hint="eastAsia" w:ascii="仿宋_GB2312" w:hAnsi="仿宋" w:eastAsia="仿宋_GB2312"/>
          <w:bCs/>
          <w:sz w:val="28"/>
          <w:szCs w:val="28"/>
          <w:highlight w:val="none"/>
        </w:rPr>
      </w:pPr>
      <w:r>
        <w:rPr>
          <w:rFonts w:hint="eastAsia" w:ascii="仿宋_GB2312" w:hAnsi="仿宋" w:eastAsia="仿宋_GB2312"/>
          <w:bCs/>
          <w:sz w:val="28"/>
          <w:szCs w:val="28"/>
          <w:highlight w:val="none"/>
        </w:rPr>
        <w:t>（一）服务地点：</w:t>
      </w:r>
      <w:r>
        <w:rPr>
          <w:rFonts w:hint="eastAsia" w:ascii="仿宋_GB2312" w:hAnsi="仿宋_GB2312" w:eastAsia="仿宋_GB2312" w:cs="仿宋_GB2312"/>
          <w:b w:val="0"/>
          <w:bCs w:val="0"/>
          <w:sz w:val="28"/>
          <w:szCs w:val="28"/>
          <w:highlight w:val="none"/>
          <w:lang w:val="en-US" w:eastAsia="zh-CN"/>
        </w:rPr>
        <w:t>西安市范围内，具体以采购人指定地点为准</w:t>
      </w:r>
      <w:r>
        <w:rPr>
          <w:rFonts w:hint="eastAsia" w:ascii="仿宋_GB2312" w:hAnsi="仿宋" w:eastAsia="仿宋_GB2312"/>
          <w:bCs/>
          <w:sz w:val="28"/>
          <w:szCs w:val="28"/>
          <w:highlight w:val="none"/>
        </w:rPr>
        <w:t>。</w:t>
      </w:r>
    </w:p>
    <w:p w14:paraId="70868BCB">
      <w:pPr>
        <w:autoSpaceDE w:val="0"/>
        <w:autoSpaceDN w:val="0"/>
        <w:adjustRightInd w:val="0"/>
        <w:snapToGrid w:val="0"/>
        <w:spacing w:line="360" w:lineRule="auto"/>
        <w:ind w:firstLine="560" w:firstLineChars="200"/>
        <w:rPr>
          <w:rFonts w:hint="eastAsia"/>
          <w:highlight w:val="yellow"/>
        </w:rPr>
      </w:pPr>
      <w:r>
        <w:rPr>
          <w:rFonts w:hint="eastAsia" w:ascii="仿宋_GB2312" w:hAnsi="仿宋" w:eastAsia="仿宋_GB2312"/>
          <w:bCs/>
          <w:sz w:val="28"/>
          <w:szCs w:val="28"/>
          <w:highlight w:val="none"/>
        </w:rPr>
        <w:t>（二）服务期：</w:t>
      </w:r>
      <w:r>
        <w:rPr>
          <w:rFonts w:hint="eastAsia" w:ascii="仿宋_GB2312" w:hAnsi="仿宋" w:eastAsia="仿宋_GB2312"/>
          <w:bCs/>
          <w:sz w:val="28"/>
          <w:szCs w:val="28"/>
          <w:highlight w:val="none"/>
          <w:lang w:eastAsia="zh-CN"/>
        </w:rPr>
        <w:t>自合同签订之日起一年</w:t>
      </w:r>
      <w:r>
        <w:rPr>
          <w:rFonts w:hint="eastAsia" w:ascii="仿宋_GB2312" w:hAnsi="仿宋_GB2312" w:eastAsia="仿宋_GB2312" w:cs="仿宋_GB2312"/>
          <w:sz w:val="28"/>
          <w:szCs w:val="28"/>
          <w:highlight w:val="none"/>
          <w:lang w:val="en-US" w:eastAsia="zh-CN"/>
        </w:rPr>
        <w:t>。</w:t>
      </w:r>
    </w:p>
    <w:p w14:paraId="2647A70D">
      <w:pPr>
        <w:autoSpaceDE w:val="0"/>
        <w:autoSpaceDN w:val="0"/>
        <w:adjustRightInd w:val="0"/>
        <w:snapToGrid w:val="0"/>
        <w:spacing w:line="360" w:lineRule="auto"/>
        <w:ind w:firstLine="562" w:firstLineChars="200"/>
        <w:rPr>
          <w:rFonts w:hint="eastAsia" w:ascii="仿宋_GB2312" w:hAnsi="仿宋" w:eastAsia="仿宋_GB2312"/>
          <w:b/>
          <w:bCs/>
          <w:sz w:val="28"/>
          <w:szCs w:val="28"/>
          <w:lang w:val="en-US" w:eastAsia="zh-CN"/>
        </w:rPr>
      </w:pPr>
      <w:r>
        <w:rPr>
          <w:rFonts w:hint="eastAsia" w:ascii="仿宋_GB2312" w:hAnsi="仿宋" w:eastAsia="仿宋_GB2312"/>
          <w:b/>
          <w:bCs/>
          <w:sz w:val="28"/>
          <w:szCs w:val="28"/>
        </w:rPr>
        <w:t>五、服务</w:t>
      </w:r>
      <w:r>
        <w:rPr>
          <w:rFonts w:hint="eastAsia" w:ascii="仿宋_GB2312" w:hAnsi="仿宋" w:eastAsia="仿宋_GB2312"/>
          <w:b/>
          <w:bCs/>
          <w:sz w:val="28"/>
          <w:szCs w:val="28"/>
          <w:lang w:val="en-US" w:eastAsia="zh-CN"/>
        </w:rPr>
        <w:t>承诺：</w:t>
      </w:r>
      <w:r>
        <w:rPr>
          <w:rFonts w:hint="eastAsia" w:ascii="仿宋_GB2312" w:hAnsi="仿宋_GB2312" w:eastAsia="仿宋_GB2312" w:cs="仿宋_GB2312"/>
          <w:sz w:val="28"/>
          <w:szCs w:val="28"/>
          <w:highlight w:val="none"/>
        </w:rPr>
        <w:t>要求具有完善的管理及服务体系、高效的工作作风。</w:t>
      </w:r>
      <w:r>
        <w:rPr>
          <w:rFonts w:hint="eastAsia" w:ascii="仿宋_GB2312" w:hAnsi="仿宋_GB2312" w:eastAsia="仿宋_GB2312" w:cs="仿宋_GB2312"/>
          <w:sz w:val="28"/>
          <w:szCs w:val="28"/>
          <w:highlight w:val="none"/>
          <w:lang w:val="en-US" w:eastAsia="zh-CN"/>
        </w:rPr>
        <w:t>承诺调查结果通过专家验收。</w:t>
      </w:r>
    </w:p>
    <w:p w14:paraId="3C52C778">
      <w:pPr>
        <w:autoSpaceDE w:val="0"/>
        <w:autoSpaceDN w:val="0"/>
        <w:adjustRightInd w:val="0"/>
        <w:snapToGrid w:val="0"/>
        <w:spacing w:line="360" w:lineRule="auto"/>
        <w:ind w:firstLine="562" w:firstLineChars="200"/>
        <w:rPr>
          <w:rFonts w:hint="eastAsia" w:ascii="仿宋_GB2312" w:hAnsi="仿宋" w:eastAsia="仿宋_GB2312"/>
          <w:b/>
          <w:bCs/>
          <w:sz w:val="28"/>
          <w:szCs w:val="28"/>
        </w:rPr>
      </w:pPr>
      <w:r>
        <w:rPr>
          <w:rFonts w:hint="eastAsia" w:ascii="仿宋_GB2312" w:hAnsi="仿宋" w:eastAsia="仿宋_GB2312"/>
          <w:b/>
          <w:bCs/>
          <w:sz w:val="28"/>
          <w:szCs w:val="28"/>
          <w:lang w:val="en-US" w:eastAsia="zh-CN"/>
        </w:rPr>
        <w:t>六、</w:t>
      </w:r>
      <w:r>
        <w:rPr>
          <w:rFonts w:hint="eastAsia" w:ascii="仿宋_GB2312" w:hAnsi="仿宋" w:eastAsia="仿宋_GB2312"/>
          <w:b/>
          <w:bCs/>
          <w:sz w:val="28"/>
          <w:szCs w:val="28"/>
        </w:rPr>
        <w:t>双方的权利和义务</w:t>
      </w:r>
    </w:p>
    <w:p w14:paraId="75D7C81E">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（一）甲方的权利与义务</w:t>
      </w:r>
    </w:p>
    <w:p w14:paraId="206FFB1A">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1、甲方有权对乙方的项目实施情况进行检查和监督，对检查中发现的问题及时向乙方提出书面或口头改进意见，并要求乙方限期予以整改。对乙方不符合本项目要求规定，造成严重影响的行为进行处罚。 </w:t>
      </w:r>
    </w:p>
    <w:p w14:paraId="081CC843">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2、甲方有权监督检查乙方的检查情况。 </w:t>
      </w:r>
    </w:p>
    <w:p w14:paraId="0AC114C7">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3、甲方可要求乙方调整不合格的服务人员，并于5日内调整到位。 </w:t>
      </w:r>
    </w:p>
    <w:p w14:paraId="7A9FEE25">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4、双方可根据政策的变动并结合实际情况对合同项目内容进行修改和补充，对项目内容的修改和补充双方以书面补充协议形式做出。 </w:t>
      </w:r>
    </w:p>
    <w:p w14:paraId="661B0BD2">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_GB2312" w:eastAsia="仿宋_GB2312" w:cs="仿宋_GB2312"/>
          <w:sz w:val="28"/>
          <w:szCs w:val="28"/>
          <w:highlight w:val="none"/>
          <w:lang w:val="en-US" w:eastAsia="zh-CN"/>
        </w:rPr>
        <w:t>5、甲方有权调阅乙方关于该项目的全部工作资料，并对本项目的检查和研究成果拥有所有权</w:t>
      </w:r>
      <w:r>
        <w:rPr>
          <w:rFonts w:hint="eastAsia" w:ascii="仿宋_GB2312" w:hAnsi="仿宋" w:eastAsia="仿宋_GB2312"/>
          <w:bCs/>
          <w:sz w:val="28"/>
          <w:szCs w:val="28"/>
        </w:rPr>
        <w:t>。</w:t>
      </w:r>
    </w:p>
    <w:p w14:paraId="5B66A2C0">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（二）乙方的权利与义务</w:t>
      </w:r>
    </w:p>
    <w:p w14:paraId="3260292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1、乙方应按照国家服务规范、标准、规程和甲方的采购需求和服务要求进行工作，根据甲方要求按时提交质量合格的服务成果，满足甲方需求。 </w:t>
      </w:r>
    </w:p>
    <w:p w14:paraId="00F0D53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2、乙方有权对业务工作提出建议。 </w:t>
      </w:r>
    </w:p>
    <w:p w14:paraId="393AE36F">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3、乙方应接受甲方的检查监督及指导，完成甲方依合同约定交办的各项工作任务。 </w:t>
      </w:r>
    </w:p>
    <w:p w14:paraId="66E025B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4、按合同约定要求开展工作，如有改变，乙方应提出书面申请，并征得甲方的书面同意。 </w:t>
      </w:r>
    </w:p>
    <w:p w14:paraId="64F3192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5、乙方负责检查人员的管理，确保人员足额到位、并且具备足够的能力以满足岗位需要。乙方应在签订合同后5日内，按照响应文件的承诺，完成组建足额检查队员上岗。乙方对所人员负责，对人员进行车辆行驶、现场检查、检查工具使用等安全教育，人员管理中出现的一切问题与甲方无关。 </w:t>
      </w:r>
    </w:p>
    <w:p w14:paraId="490B9FB8">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6、乙方应向甲方提供工作人员名单，并保证检查人员的相对稳定。同时乙方应为本项目设置固定项目管理团队，并保证团队骨干的稳定性。 </w:t>
      </w:r>
    </w:p>
    <w:p w14:paraId="15268644">
      <w:pPr>
        <w:autoSpaceDE w:val="0"/>
        <w:autoSpaceDN w:val="0"/>
        <w:adjustRightInd w:val="0"/>
        <w:snapToGrid w:val="0"/>
        <w:spacing w:line="360" w:lineRule="auto"/>
        <w:ind w:firstLine="560" w:firstLineChars="200"/>
        <w:rPr>
          <w:rFonts w:hint="default" w:ascii="仿宋_GB2312" w:hAnsi="仿宋" w:eastAsia="仿宋_GB2312"/>
          <w:bCs/>
          <w:sz w:val="28"/>
          <w:szCs w:val="28"/>
          <w:lang w:val="en-US" w:eastAsia="zh-CN"/>
        </w:rPr>
      </w:pPr>
      <w:r>
        <w:rPr>
          <w:rFonts w:hint="eastAsia" w:ascii="仿宋_GB2312" w:hAnsi="仿宋_GB2312" w:eastAsia="仿宋_GB2312" w:cs="仿宋_GB2312"/>
          <w:sz w:val="28"/>
          <w:szCs w:val="28"/>
          <w:highlight w:val="none"/>
          <w:lang w:val="en-US" w:eastAsia="zh-CN"/>
        </w:rPr>
        <w:t>7、在现场的乙方工作人员，应遵守甲方或管理单位的安全保卫及其他有关的规章制度，承担其有关资料保密义务。对于不称职或不合适服务岗位的乙方工作人员，甲方有权要求乙方立即更换</w:t>
      </w:r>
      <w:r>
        <w:rPr>
          <w:rFonts w:hint="eastAsia" w:ascii="仿宋_GB2312" w:hAnsi="仿宋" w:eastAsia="仿宋_GB2312"/>
          <w:bCs/>
          <w:sz w:val="28"/>
          <w:szCs w:val="28"/>
          <w:lang w:val="en-US" w:eastAsia="zh-CN"/>
        </w:rPr>
        <w:t>。</w:t>
      </w:r>
    </w:p>
    <w:p w14:paraId="505CB3C2">
      <w:pPr>
        <w:autoSpaceDE w:val="0"/>
        <w:autoSpaceDN w:val="0"/>
        <w:adjustRightInd w:val="0"/>
        <w:snapToGrid w:val="0"/>
        <w:spacing w:line="360" w:lineRule="auto"/>
        <w:ind w:firstLine="562" w:firstLineChars="200"/>
        <w:rPr>
          <w:rFonts w:hint="eastAsia" w:ascii="仿宋_GB2312" w:hAnsi="仿宋" w:eastAsia="仿宋_GB2312"/>
          <w:b/>
          <w:bCs/>
          <w:sz w:val="28"/>
          <w:szCs w:val="28"/>
        </w:rPr>
      </w:pPr>
      <w:r>
        <w:rPr>
          <w:rFonts w:hint="eastAsia" w:ascii="仿宋_GB2312" w:hAnsi="仿宋" w:eastAsia="仿宋_GB2312"/>
          <w:b/>
          <w:bCs/>
          <w:sz w:val="28"/>
          <w:szCs w:val="28"/>
          <w:lang w:eastAsia="zh-CN"/>
        </w:rPr>
        <w:t>七</w:t>
      </w:r>
      <w:r>
        <w:rPr>
          <w:rFonts w:hint="eastAsia" w:ascii="仿宋_GB2312" w:hAnsi="仿宋" w:eastAsia="仿宋_GB2312"/>
          <w:b/>
          <w:bCs/>
          <w:sz w:val="28"/>
          <w:szCs w:val="28"/>
        </w:rPr>
        <w:t>、服务质量保证</w:t>
      </w:r>
    </w:p>
    <w:p w14:paraId="09F39195">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（一）乙方需建立高效的管理团队，项目团队组成合理。</w:t>
      </w:r>
    </w:p>
    <w:p w14:paraId="715EA692">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（二）乙方需派一名项目经理，直接与甲方沟通，项目经理接收甲方提出的问题与要求，并及时反馈给工作组，解决在项目实施过程中遇到的问题。</w:t>
      </w:r>
    </w:p>
    <w:p w14:paraId="41DBE6DE">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（三）项目在实施过程中会出现不可预料的需求变更</w:t>
      </w:r>
      <w:r>
        <w:rPr>
          <w:rFonts w:hint="eastAsia" w:ascii="仿宋_GB2312" w:hAnsi="仿宋" w:eastAsia="仿宋_GB2312"/>
          <w:bCs/>
          <w:sz w:val="28"/>
          <w:szCs w:val="28"/>
          <w:lang w:eastAsia="zh-CN"/>
        </w:rPr>
        <w:t>、</w:t>
      </w:r>
      <w:r>
        <w:rPr>
          <w:rFonts w:hint="eastAsia" w:ascii="仿宋_GB2312" w:hAnsi="仿宋" w:eastAsia="仿宋_GB2312"/>
          <w:bCs/>
          <w:sz w:val="28"/>
          <w:szCs w:val="28"/>
          <w:lang w:val="en-US" w:eastAsia="zh-CN"/>
        </w:rPr>
        <w:t>需求细化</w:t>
      </w:r>
      <w:r>
        <w:rPr>
          <w:rFonts w:hint="eastAsia" w:ascii="仿宋_GB2312" w:hAnsi="仿宋" w:eastAsia="仿宋_GB2312"/>
          <w:bCs/>
          <w:sz w:val="28"/>
          <w:szCs w:val="28"/>
        </w:rPr>
        <w:t>，乙方需积极配合甲方的需求变更</w:t>
      </w:r>
      <w:r>
        <w:rPr>
          <w:rFonts w:hint="eastAsia" w:ascii="仿宋_GB2312" w:hAnsi="仿宋" w:eastAsia="仿宋_GB2312"/>
          <w:bCs/>
          <w:sz w:val="28"/>
          <w:szCs w:val="28"/>
          <w:lang w:eastAsia="zh-CN"/>
        </w:rPr>
        <w:t>、</w:t>
      </w:r>
      <w:r>
        <w:rPr>
          <w:rFonts w:hint="eastAsia" w:ascii="仿宋_GB2312" w:hAnsi="仿宋" w:eastAsia="仿宋_GB2312"/>
          <w:bCs/>
          <w:sz w:val="28"/>
          <w:szCs w:val="28"/>
          <w:lang w:val="en-US" w:eastAsia="zh-CN"/>
        </w:rPr>
        <w:t>需求细化</w:t>
      </w:r>
      <w:r>
        <w:rPr>
          <w:rFonts w:hint="eastAsia" w:ascii="仿宋_GB2312" w:hAnsi="仿宋" w:eastAsia="仿宋_GB2312"/>
          <w:bCs/>
          <w:sz w:val="28"/>
          <w:szCs w:val="28"/>
        </w:rPr>
        <w:t>，并按照变更</w:t>
      </w:r>
      <w:r>
        <w:rPr>
          <w:rFonts w:hint="eastAsia" w:ascii="仿宋_GB2312" w:hAnsi="仿宋" w:eastAsia="仿宋_GB2312"/>
          <w:bCs/>
          <w:sz w:val="28"/>
          <w:szCs w:val="28"/>
          <w:lang w:eastAsia="zh-CN"/>
        </w:rPr>
        <w:t>、</w:t>
      </w:r>
      <w:r>
        <w:rPr>
          <w:rFonts w:hint="eastAsia" w:ascii="仿宋_GB2312" w:hAnsi="仿宋" w:eastAsia="仿宋_GB2312"/>
          <w:bCs/>
          <w:sz w:val="28"/>
          <w:szCs w:val="28"/>
          <w:lang w:val="en-US" w:eastAsia="zh-CN"/>
        </w:rPr>
        <w:t>细化</w:t>
      </w:r>
      <w:r>
        <w:rPr>
          <w:rFonts w:hint="eastAsia" w:ascii="仿宋_GB2312" w:hAnsi="仿宋" w:eastAsia="仿宋_GB2312"/>
          <w:bCs/>
          <w:sz w:val="28"/>
          <w:szCs w:val="28"/>
        </w:rPr>
        <w:t>后的需求继续实施。</w:t>
      </w:r>
    </w:p>
    <w:p w14:paraId="03AB5FDF">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（四）乙方需设有详细的技术资料档案和服务档案以便于更好地提供服务</w:t>
      </w:r>
    </w:p>
    <w:p w14:paraId="25E65568">
      <w:pPr>
        <w:spacing w:line="360" w:lineRule="auto"/>
        <w:ind w:firstLine="562" w:firstLineChars="200"/>
        <w:rPr>
          <w:rFonts w:hint="eastAsia" w:ascii="仿宋_GB2312" w:hAnsi="仿宋" w:eastAsia="仿宋_GB2312"/>
          <w:b/>
          <w:sz w:val="28"/>
          <w:szCs w:val="28"/>
          <w:lang w:val="en-US" w:eastAsia="zh-CN"/>
        </w:rPr>
      </w:pPr>
      <w:r>
        <w:rPr>
          <w:rFonts w:hint="eastAsia" w:ascii="仿宋_GB2312" w:hAnsi="仿宋" w:eastAsia="仿宋_GB2312"/>
          <w:b/>
          <w:sz w:val="28"/>
          <w:szCs w:val="28"/>
          <w:lang w:val="en-US" w:eastAsia="zh-CN"/>
        </w:rPr>
        <w:t>八</w:t>
      </w:r>
      <w:r>
        <w:rPr>
          <w:rFonts w:hint="eastAsia" w:ascii="仿宋_GB2312" w:hAnsi="仿宋" w:eastAsia="仿宋_GB2312"/>
          <w:b/>
          <w:sz w:val="28"/>
          <w:szCs w:val="28"/>
        </w:rPr>
        <w:t>、</w:t>
      </w:r>
      <w:r>
        <w:rPr>
          <w:rFonts w:hint="eastAsia" w:ascii="仿宋_GB2312" w:hAnsi="仿宋" w:eastAsia="仿宋_GB2312"/>
          <w:b/>
          <w:sz w:val="28"/>
          <w:szCs w:val="28"/>
          <w:lang w:val="en-US" w:eastAsia="zh-CN"/>
        </w:rPr>
        <w:t>验收</w:t>
      </w:r>
    </w:p>
    <w:p w14:paraId="6A729001">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（一）本项目验收费用，由乙方自行承担。</w:t>
      </w:r>
    </w:p>
    <w:p w14:paraId="6446F698">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（二）服务期满后，由乙方向甲方递交验收通知书，经甲方确认后，组织乙方进行系统验收。验收合格后，填写项目验收单作为对本次服务的最终认可。</w:t>
      </w:r>
    </w:p>
    <w:p w14:paraId="5B3D05DA">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（三）验收依据：</w:t>
      </w:r>
    </w:p>
    <w:p w14:paraId="3D90B2A8">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1、本合同及附加文本；</w:t>
      </w:r>
    </w:p>
    <w:p w14:paraId="4A1AD91A">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2、</w:t>
      </w:r>
      <w:r>
        <w:rPr>
          <w:rFonts w:hint="eastAsia" w:ascii="仿宋_GB2312" w:hAnsi="仿宋_GB2312" w:eastAsia="仿宋_GB2312" w:cs="仿宋_GB2312"/>
          <w:bCs/>
          <w:sz w:val="28"/>
          <w:szCs w:val="28"/>
          <w:highlight w:val="none"/>
          <w:lang w:val="en-US" w:eastAsia="zh-CN"/>
        </w:rPr>
        <w:t>磋商</w:t>
      </w:r>
      <w:r>
        <w:rPr>
          <w:rFonts w:hint="eastAsia" w:ascii="仿宋_GB2312" w:hAnsi="仿宋_GB2312" w:eastAsia="仿宋_GB2312" w:cs="仿宋_GB2312"/>
          <w:bCs/>
          <w:sz w:val="28"/>
          <w:szCs w:val="28"/>
          <w:highlight w:val="none"/>
        </w:rPr>
        <w:t>文件、</w:t>
      </w:r>
      <w:r>
        <w:rPr>
          <w:rFonts w:hint="eastAsia" w:ascii="仿宋_GB2312" w:hAnsi="仿宋_GB2312" w:eastAsia="仿宋_GB2312" w:cs="仿宋_GB2312"/>
          <w:bCs/>
          <w:sz w:val="28"/>
          <w:szCs w:val="28"/>
          <w:highlight w:val="none"/>
          <w:lang w:val="en-US" w:eastAsia="zh-CN"/>
        </w:rPr>
        <w:t>成交供应商</w:t>
      </w:r>
      <w:r>
        <w:rPr>
          <w:rFonts w:hint="eastAsia" w:ascii="仿宋_GB2312" w:hAnsi="仿宋_GB2312" w:eastAsia="仿宋_GB2312" w:cs="仿宋_GB2312"/>
          <w:bCs/>
          <w:sz w:val="28"/>
          <w:szCs w:val="28"/>
          <w:highlight w:val="none"/>
        </w:rPr>
        <w:t>的</w:t>
      </w:r>
      <w:r>
        <w:rPr>
          <w:rFonts w:hint="eastAsia" w:ascii="仿宋_GB2312" w:hAnsi="仿宋_GB2312" w:eastAsia="仿宋_GB2312" w:cs="仿宋_GB2312"/>
          <w:bCs/>
          <w:sz w:val="28"/>
          <w:szCs w:val="28"/>
          <w:highlight w:val="none"/>
          <w:lang w:val="en-US" w:eastAsia="zh-CN"/>
        </w:rPr>
        <w:t>响应</w:t>
      </w:r>
      <w:r>
        <w:rPr>
          <w:rFonts w:hint="eastAsia" w:ascii="仿宋_GB2312" w:hAnsi="仿宋_GB2312" w:eastAsia="仿宋_GB2312" w:cs="仿宋_GB2312"/>
          <w:bCs/>
          <w:sz w:val="28"/>
          <w:szCs w:val="28"/>
          <w:highlight w:val="none"/>
        </w:rPr>
        <w:t>文件及澄清（承诺）函；</w:t>
      </w:r>
    </w:p>
    <w:p w14:paraId="6F313A44">
      <w:pPr>
        <w:spacing w:line="360" w:lineRule="auto"/>
        <w:ind w:firstLine="560" w:firstLineChars="200"/>
        <w:rPr>
          <w:rFonts w:hint="eastAsia" w:ascii="仿宋_GB2312" w:hAnsi="仿宋" w:eastAsia="仿宋_GB2312"/>
          <w:b/>
          <w:sz w:val="28"/>
          <w:szCs w:val="28"/>
          <w:lang w:eastAsia="zh-CN"/>
        </w:rPr>
      </w:pPr>
      <w:r>
        <w:rPr>
          <w:rFonts w:hint="eastAsia" w:ascii="仿宋_GB2312" w:hAnsi="仿宋_GB2312" w:eastAsia="仿宋_GB2312" w:cs="仿宋_GB2312"/>
          <w:bCs/>
          <w:sz w:val="28"/>
          <w:szCs w:val="28"/>
          <w:highlight w:val="none"/>
        </w:rPr>
        <w:t>3、国家相应的标准、规范</w:t>
      </w:r>
      <w:r>
        <w:rPr>
          <w:rFonts w:hint="eastAsia" w:ascii="仿宋_GB2312" w:hAnsi="仿宋_GB2312" w:eastAsia="仿宋_GB2312" w:cs="仿宋_GB2312"/>
          <w:bCs/>
          <w:sz w:val="28"/>
          <w:szCs w:val="28"/>
          <w:highlight w:val="none"/>
          <w:lang w:eastAsia="zh-CN"/>
        </w:rPr>
        <w:t>。</w:t>
      </w:r>
    </w:p>
    <w:p w14:paraId="4A302999">
      <w:pPr>
        <w:spacing w:line="360" w:lineRule="auto"/>
        <w:ind w:firstLine="562" w:firstLineChars="200"/>
        <w:rPr>
          <w:rFonts w:hint="eastAsia" w:ascii="仿宋_GB2312" w:hAnsi="仿宋" w:eastAsia="仿宋_GB2312"/>
          <w:b/>
          <w:sz w:val="28"/>
          <w:szCs w:val="28"/>
          <w:lang w:eastAsia="zh-CN"/>
        </w:rPr>
      </w:pPr>
      <w:r>
        <w:rPr>
          <w:rFonts w:hint="eastAsia" w:ascii="仿宋_GB2312" w:eastAsia="仿宋_GB2312"/>
          <w:b/>
          <w:bCs/>
          <w:sz w:val="28"/>
          <w:szCs w:val="28"/>
          <w:lang w:val="en-US" w:eastAsia="zh-CN"/>
        </w:rPr>
        <w:t>九</w:t>
      </w:r>
      <w:r>
        <w:rPr>
          <w:rFonts w:hint="eastAsia" w:ascii="仿宋_GB2312" w:hAnsi="仿宋" w:eastAsia="仿宋_GB2312"/>
          <w:b/>
          <w:sz w:val="28"/>
          <w:szCs w:val="28"/>
        </w:rPr>
        <w:t>、保密</w:t>
      </w:r>
      <w:r>
        <w:rPr>
          <w:rFonts w:hint="eastAsia" w:ascii="仿宋_GB2312" w:hAnsi="仿宋" w:eastAsia="仿宋_GB2312"/>
          <w:b/>
          <w:sz w:val="28"/>
          <w:szCs w:val="28"/>
          <w:lang w:val="en-US" w:eastAsia="zh-CN"/>
        </w:rPr>
        <w:t>规定</w:t>
      </w:r>
    </w:p>
    <w:p w14:paraId="14E33049">
      <w:pPr>
        <w:keepNext w:val="0"/>
        <w:keepLines w:val="0"/>
        <w:pageBreakBefore w:val="0"/>
        <w:widowControl w:val="0"/>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eastAsia="仿宋_GB2312"/>
          <w:sz w:val="28"/>
          <w:szCs w:val="28"/>
        </w:rPr>
      </w:pPr>
      <w:r>
        <w:rPr>
          <w:rFonts w:hint="eastAsia" w:ascii="仿宋_GB2312" w:hAnsi="仿宋" w:eastAsia="仿宋_GB2312" w:cs="Times New Roman"/>
          <w:bCs/>
          <w:sz w:val="28"/>
          <w:szCs w:val="28"/>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r>
        <w:rPr>
          <w:rFonts w:hint="eastAsia" w:ascii="仿宋_GB2312" w:eastAsia="仿宋_GB2312"/>
          <w:sz w:val="28"/>
          <w:szCs w:val="28"/>
        </w:rPr>
        <w:t>。</w:t>
      </w:r>
    </w:p>
    <w:p w14:paraId="1D460B41">
      <w:pPr>
        <w:keepNext w:val="0"/>
        <w:keepLines w:val="0"/>
        <w:pageBreakBefore w:val="0"/>
        <w:widowControl w:val="0"/>
        <w:kinsoku/>
        <w:wordWrap w:val="0"/>
        <w:overflowPunct/>
        <w:topLinePunct w:val="0"/>
        <w:autoSpaceDE/>
        <w:autoSpaceDN/>
        <w:bidi w:val="0"/>
        <w:adjustRightInd/>
        <w:snapToGrid/>
        <w:spacing w:line="360" w:lineRule="auto"/>
        <w:ind w:firstLine="562" w:firstLineChars="200"/>
        <w:jc w:val="left"/>
        <w:textAlignment w:val="auto"/>
        <w:rPr>
          <w:rFonts w:hint="eastAsia" w:ascii="仿宋_GB2312" w:hAnsi="仿宋" w:eastAsia="仿宋_GB2312"/>
          <w:b/>
          <w:sz w:val="28"/>
          <w:szCs w:val="28"/>
        </w:rPr>
      </w:pPr>
      <w:r>
        <w:rPr>
          <w:rFonts w:hint="eastAsia" w:ascii="仿宋_GB2312" w:hAnsi="仿宋" w:eastAsia="仿宋_GB2312"/>
          <w:b/>
          <w:sz w:val="28"/>
          <w:szCs w:val="28"/>
          <w:lang w:val="en-US" w:eastAsia="zh-CN"/>
        </w:rPr>
        <w:t>十</w:t>
      </w:r>
      <w:r>
        <w:rPr>
          <w:rFonts w:hint="eastAsia" w:ascii="仿宋_GB2312" w:hAnsi="仿宋" w:eastAsia="仿宋_GB2312"/>
          <w:b/>
          <w:sz w:val="28"/>
          <w:szCs w:val="28"/>
        </w:rPr>
        <w:t>、其他事项</w:t>
      </w:r>
    </w:p>
    <w:p w14:paraId="2DBE8AD7">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（一）乙方不得将项目转让、分包给其它单位或个人。</w:t>
      </w:r>
    </w:p>
    <w:p w14:paraId="413EC975">
      <w:pPr>
        <w:spacing w:line="360" w:lineRule="auto"/>
        <w:ind w:firstLine="560" w:firstLineChars="200"/>
        <w:rPr>
          <w:rFonts w:hint="eastAsia" w:ascii="仿宋_GB2312" w:hAnsi="仿宋" w:eastAsia="仿宋_GB2312"/>
          <w:bCs/>
          <w:sz w:val="28"/>
          <w:szCs w:val="28"/>
        </w:rPr>
      </w:pPr>
      <w:r>
        <w:rPr>
          <w:rFonts w:hint="eastAsia" w:ascii="仿宋_GB2312" w:hAnsi="仿宋_GB2312" w:eastAsia="仿宋_GB2312" w:cs="仿宋_GB2312"/>
          <w:b w:val="0"/>
          <w:bCs/>
          <w:sz w:val="28"/>
          <w:szCs w:val="28"/>
          <w:highlight w:val="none"/>
        </w:rPr>
        <w:t>（二）乙方的磋商响应文件和承诺等内容将列入合同</w:t>
      </w:r>
      <w:r>
        <w:rPr>
          <w:rFonts w:hint="eastAsia" w:ascii="仿宋_GB2312" w:hAnsi="仿宋" w:eastAsia="仿宋_GB2312"/>
          <w:bCs/>
          <w:sz w:val="28"/>
          <w:szCs w:val="28"/>
        </w:rPr>
        <w:t>。</w:t>
      </w:r>
    </w:p>
    <w:p w14:paraId="351C2BEE">
      <w:pPr>
        <w:autoSpaceDE w:val="0"/>
        <w:autoSpaceDN w:val="0"/>
        <w:adjustRightInd w:val="0"/>
        <w:snapToGrid w:val="0"/>
        <w:spacing w:line="360" w:lineRule="auto"/>
        <w:ind w:firstLine="562" w:firstLineChars="200"/>
        <w:rPr>
          <w:rFonts w:hint="eastAsia" w:ascii="仿宋_GB2312" w:hAnsi="仿宋" w:eastAsia="仿宋_GB2312"/>
          <w:b/>
          <w:sz w:val="28"/>
          <w:szCs w:val="28"/>
        </w:rPr>
      </w:pPr>
      <w:r>
        <w:rPr>
          <w:rFonts w:hint="eastAsia" w:ascii="仿宋_GB2312" w:hAnsi="仿宋" w:eastAsia="仿宋_GB2312"/>
          <w:b/>
          <w:sz w:val="28"/>
          <w:szCs w:val="28"/>
          <w:lang w:val="en-US" w:eastAsia="zh-CN"/>
        </w:rPr>
        <w:t>十一</w:t>
      </w:r>
      <w:r>
        <w:rPr>
          <w:rFonts w:hint="eastAsia" w:ascii="仿宋_GB2312" w:hAnsi="仿宋" w:eastAsia="仿宋_GB2312"/>
          <w:b/>
          <w:sz w:val="28"/>
          <w:szCs w:val="28"/>
        </w:rPr>
        <w:t>、违约责任</w:t>
      </w:r>
    </w:p>
    <w:p w14:paraId="490D7D8A">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（一）按《中华人民共和国民法典》中的相关条款执行。</w:t>
      </w:r>
    </w:p>
    <w:p w14:paraId="5806328D">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（二）按合同要求提供服务或服务质量不能满足</w:t>
      </w:r>
      <w:r>
        <w:rPr>
          <w:rFonts w:hint="eastAsia" w:ascii="仿宋_GB2312" w:hAnsi="仿宋_GB2312" w:eastAsia="仿宋_GB2312" w:cs="仿宋_GB2312"/>
          <w:sz w:val="28"/>
          <w:szCs w:val="28"/>
          <w:highlight w:val="none"/>
        </w:rPr>
        <w:t>不能满足本次磋商要求</w:t>
      </w:r>
      <w:r>
        <w:rPr>
          <w:rFonts w:hint="eastAsia" w:ascii="仿宋_GB2312" w:hAnsi="仿宋_GB2312" w:eastAsia="仿宋_GB2312" w:cs="仿宋_GB2312"/>
          <w:bCs/>
          <w:sz w:val="28"/>
          <w:szCs w:val="28"/>
          <w:highlight w:val="none"/>
        </w:rPr>
        <w:t>，乙方必须无条件提高技术，完善服务质量，否则，甲方会同监督机构、采购代理机构有权终止合同并对乙方违约行为进行追究，同时按政府采购供应商管理办法进行相应的处罚。</w:t>
      </w:r>
    </w:p>
    <w:p w14:paraId="60E6A732">
      <w:pPr>
        <w:autoSpaceDE w:val="0"/>
        <w:autoSpaceDN w:val="0"/>
        <w:adjustRightInd w:val="0"/>
        <w:snapToGrid w:val="0"/>
        <w:spacing w:line="360" w:lineRule="auto"/>
        <w:ind w:firstLine="560" w:firstLineChars="200"/>
        <w:rPr>
          <w:rFonts w:hint="eastAsia"/>
        </w:rPr>
      </w:pPr>
      <w:r>
        <w:rPr>
          <w:rFonts w:hint="eastAsia" w:ascii="仿宋_GB2312" w:hAnsi="仿宋_GB2312" w:eastAsia="仿宋_GB2312" w:cs="仿宋_GB2312"/>
          <w:bCs/>
          <w:sz w:val="28"/>
          <w:szCs w:val="28"/>
          <w:highlight w:val="none"/>
        </w:rPr>
        <w:t>（三）任何一方因不可抗力原因不能履行协议时，应尽快通知对方，双方均设法补偿。如仍无法履约协议，可协商延缓或撤销协议，双方责任免除</w:t>
      </w:r>
      <w:r>
        <w:rPr>
          <w:rFonts w:hint="eastAsia" w:ascii="仿宋_GB2312" w:hAnsi="仿宋" w:eastAsia="仿宋_GB2312"/>
          <w:bCs/>
          <w:sz w:val="28"/>
          <w:szCs w:val="28"/>
        </w:rPr>
        <w:t>。</w:t>
      </w:r>
    </w:p>
    <w:p w14:paraId="19D120AA">
      <w:pPr>
        <w:autoSpaceDE w:val="0"/>
        <w:autoSpaceDN w:val="0"/>
        <w:adjustRightInd w:val="0"/>
        <w:snapToGrid w:val="0"/>
        <w:spacing w:line="360" w:lineRule="auto"/>
        <w:ind w:firstLine="562" w:firstLineChars="200"/>
        <w:rPr>
          <w:rFonts w:hint="eastAsia" w:ascii="仿宋_GB2312" w:hAnsi="仿宋" w:eastAsia="仿宋_GB2312"/>
          <w:b/>
          <w:sz w:val="28"/>
          <w:szCs w:val="28"/>
        </w:rPr>
      </w:pPr>
      <w:r>
        <w:rPr>
          <w:rFonts w:hint="eastAsia" w:ascii="仿宋_GB2312" w:hAnsi="仿宋" w:eastAsia="仿宋_GB2312"/>
          <w:b/>
          <w:sz w:val="28"/>
          <w:szCs w:val="28"/>
        </w:rPr>
        <w:t>十</w:t>
      </w:r>
      <w:r>
        <w:rPr>
          <w:rFonts w:hint="eastAsia" w:ascii="仿宋_GB2312" w:hAnsi="仿宋" w:eastAsia="仿宋_GB2312"/>
          <w:b/>
          <w:sz w:val="28"/>
          <w:szCs w:val="28"/>
          <w:lang w:val="en-US" w:eastAsia="zh-CN"/>
        </w:rPr>
        <w:t>二</w:t>
      </w:r>
      <w:r>
        <w:rPr>
          <w:rFonts w:hint="eastAsia" w:ascii="仿宋_GB2312" w:hAnsi="仿宋" w:eastAsia="仿宋_GB2312"/>
          <w:b/>
          <w:sz w:val="28"/>
          <w:szCs w:val="28"/>
        </w:rPr>
        <w:t>、合同争议解决的方式</w:t>
      </w:r>
    </w:p>
    <w:p w14:paraId="6F966444">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本合同在履行过程中发生的争议，由甲、乙双方当事人协商解决，协商不成的按下列第</w:t>
      </w:r>
      <w:r>
        <w:rPr>
          <w:rFonts w:hint="eastAsia" w:ascii="仿宋_GB2312" w:hAnsi="仿宋" w:eastAsia="仿宋_GB2312"/>
          <w:bCs/>
          <w:sz w:val="28"/>
          <w:szCs w:val="28"/>
          <w:u w:val="single"/>
        </w:rPr>
        <w:t>（二）</w:t>
      </w:r>
      <w:r>
        <w:rPr>
          <w:rFonts w:hint="eastAsia" w:ascii="仿宋_GB2312" w:hAnsi="仿宋" w:eastAsia="仿宋_GB2312"/>
          <w:bCs/>
          <w:sz w:val="28"/>
          <w:szCs w:val="28"/>
        </w:rPr>
        <w:t>种方式解决：</w:t>
      </w:r>
    </w:p>
    <w:p w14:paraId="5B09D952">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（一）提交西安仲裁委员会仲裁；</w:t>
      </w:r>
    </w:p>
    <w:p w14:paraId="49BAA56E">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（二）依法向甲方所在地人民法院起诉。</w:t>
      </w:r>
    </w:p>
    <w:p w14:paraId="5967EF8E">
      <w:pPr>
        <w:autoSpaceDE w:val="0"/>
        <w:autoSpaceDN w:val="0"/>
        <w:adjustRightInd w:val="0"/>
        <w:snapToGrid w:val="0"/>
        <w:spacing w:line="360" w:lineRule="auto"/>
        <w:ind w:firstLine="562" w:firstLineChars="200"/>
        <w:rPr>
          <w:rFonts w:hint="eastAsia" w:ascii="仿宋_GB2312" w:hAnsi="仿宋" w:eastAsia="仿宋_GB2312"/>
          <w:b/>
          <w:sz w:val="28"/>
          <w:szCs w:val="28"/>
        </w:rPr>
      </w:pPr>
      <w:r>
        <w:rPr>
          <w:rFonts w:hint="eastAsia" w:ascii="仿宋_GB2312" w:hAnsi="仿宋" w:eastAsia="仿宋_GB2312"/>
          <w:b/>
          <w:sz w:val="28"/>
          <w:szCs w:val="28"/>
          <w:lang w:val="en-US" w:eastAsia="zh-CN"/>
        </w:rPr>
        <w:t>十三、</w:t>
      </w:r>
      <w:r>
        <w:rPr>
          <w:rFonts w:hint="eastAsia" w:ascii="仿宋_GB2312" w:hAnsi="仿宋" w:eastAsia="仿宋_GB2312"/>
          <w:b/>
          <w:sz w:val="28"/>
          <w:szCs w:val="28"/>
        </w:rPr>
        <w:t>合同生效</w:t>
      </w:r>
    </w:p>
    <w:p w14:paraId="3BA1A14B">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（一）本合同须经甲、乙双方的法定代表人（授权代表）在合同书上签字并加盖本单位公章后正式生效。</w:t>
      </w:r>
    </w:p>
    <w:p w14:paraId="23AD3A99">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（二）合同生效后，甲、乙双方须严格执行本合同条款的规定，全面履行合同，违者按《中华人民共和国民法典》的有关规定承担相应责任。</w:t>
      </w:r>
    </w:p>
    <w:p w14:paraId="590FD6D4">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（三）本合同一式</w:t>
      </w:r>
      <w:r>
        <w:rPr>
          <w:rFonts w:hint="eastAsia" w:ascii="仿宋_GB2312" w:hAnsi="仿宋" w:eastAsia="仿宋_GB2312"/>
          <w:bCs/>
          <w:sz w:val="28"/>
          <w:szCs w:val="28"/>
          <w:u w:val="single"/>
        </w:rPr>
        <w:t xml:space="preserve">   </w:t>
      </w:r>
      <w:r>
        <w:rPr>
          <w:rFonts w:hint="eastAsia" w:ascii="仿宋_GB2312" w:hAnsi="仿宋" w:eastAsia="仿宋_GB2312"/>
          <w:bCs/>
          <w:sz w:val="28"/>
          <w:szCs w:val="28"/>
        </w:rPr>
        <w:t>份，甲乙双方各执</w:t>
      </w:r>
      <w:r>
        <w:rPr>
          <w:rFonts w:hint="eastAsia" w:ascii="仿宋_GB2312" w:hAnsi="仿宋" w:eastAsia="仿宋_GB2312"/>
          <w:bCs/>
          <w:sz w:val="28"/>
          <w:szCs w:val="28"/>
          <w:u w:val="single"/>
        </w:rPr>
        <w:t xml:space="preserve">    </w:t>
      </w:r>
      <w:r>
        <w:rPr>
          <w:rFonts w:hint="eastAsia" w:ascii="仿宋_GB2312" w:hAnsi="仿宋" w:eastAsia="仿宋_GB2312"/>
          <w:bCs/>
          <w:sz w:val="28"/>
          <w:szCs w:val="28"/>
        </w:rPr>
        <w:t>份。</w:t>
      </w:r>
    </w:p>
    <w:p w14:paraId="772CFAE1">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（四）本合同如有未尽事宜，甲、乙双方协商解决。</w:t>
      </w:r>
    </w:p>
    <w:p w14:paraId="2279585F">
      <w:pPr>
        <w:pStyle w:val="2"/>
        <w:rPr>
          <w:rFonts w:hint="eastAsia" w:ascii="仿宋_GB2312" w:hAnsi="仿宋_GB2312" w:eastAsia="仿宋_GB2312" w:cs="仿宋_GB2312"/>
          <w:sz w:val="28"/>
          <w:szCs w:val="28"/>
        </w:rPr>
      </w:pPr>
    </w:p>
    <w:p w14:paraId="6319C7E3"/>
    <w:p w14:paraId="48068CBD">
      <w:pPr>
        <w:pStyle w:val="8"/>
        <w:tabs>
          <w:tab w:val="center" w:pos="4153"/>
          <w:tab w:val="right" w:pos="8306"/>
          <w:tab w:val="clear" w:pos="4140"/>
          <w:tab w:val="clear" w:pos="8300"/>
        </w:tabs>
        <w:rPr>
          <w:rFonts w:ascii="仿宋_GB2312" w:hAnsi="仿宋_GB2312" w:eastAsia="仿宋_GB2312" w:cs="仿宋_GB2312"/>
          <w:sz w:val="28"/>
          <w:szCs w:val="28"/>
        </w:rPr>
      </w:pPr>
    </w:p>
    <w:tbl>
      <w:tblPr>
        <w:tblStyle w:val="13"/>
        <w:tblW w:w="0" w:type="auto"/>
        <w:jc w:val="center"/>
        <w:tblLayout w:type="fixed"/>
        <w:tblCellMar>
          <w:top w:w="0" w:type="dxa"/>
          <w:left w:w="108" w:type="dxa"/>
          <w:bottom w:w="0" w:type="dxa"/>
          <w:right w:w="108" w:type="dxa"/>
        </w:tblCellMar>
      </w:tblPr>
      <w:tblGrid>
        <w:gridCol w:w="4201"/>
        <w:gridCol w:w="4202"/>
      </w:tblGrid>
      <w:tr w14:paraId="7ADEF8A1">
        <w:tblPrEx>
          <w:tblCellMar>
            <w:top w:w="0" w:type="dxa"/>
            <w:left w:w="108" w:type="dxa"/>
            <w:bottom w:w="0" w:type="dxa"/>
            <w:right w:w="108" w:type="dxa"/>
          </w:tblCellMar>
        </w:tblPrEx>
        <w:trPr>
          <w:trHeight w:val="567" w:hRule="exact"/>
          <w:jc w:val="center"/>
        </w:trPr>
        <w:tc>
          <w:tcPr>
            <w:tcW w:w="4201" w:type="dxa"/>
            <w:noWrap w:val="0"/>
            <w:vAlign w:val="center"/>
          </w:tcPr>
          <w:p w14:paraId="304D2A9B">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甲  方</w:t>
            </w:r>
          </w:p>
        </w:tc>
        <w:tc>
          <w:tcPr>
            <w:tcW w:w="4202" w:type="dxa"/>
            <w:noWrap w:val="0"/>
            <w:vAlign w:val="center"/>
          </w:tcPr>
          <w:p w14:paraId="4499C4AD">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乙  方</w:t>
            </w:r>
          </w:p>
        </w:tc>
      </w:tr>
      <w:tr w14:paraId="1AD84AED">
        <w:tblPrEx>
          <w:tblCellMar>
            <w:top w:w="0" w:type="dxa"/>
            <w:left w:w="108" w:type="dxa"/>
            <w:bottom w:w="0" w:type="dxa"/>
            <w:right w:w="108" w:type="dxa"/>
          </w:tblCellMar>
        </w:tblPrEx>
        <w:trPr>
          <w:trHeight w:val="567" w:hRule="exact"/>
          <w:jc w:val="center"/>
        </w:trPr>
        <w:tc>
          <w:tcPr>
            <w:tcW w:w="4201" w:type="dxa"/>
            <w:noWrap w:val="0"/>
            <w:vAlign w:val="center"/>
          </w:tcPr>
          <w:p w14:paraId="25776D00">
            <w:pPr>
              <w:ind w:firstLine="840" w:firstLineChars="35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（盖章）</w:t>
            </w:r>
          </w:p>
        </w:tc>
        <w:tc>
          <w:tcPr>
            <w:tcW w:w="4202" w:type="dxa"/>
            <w:noWrap w:val="0"/>
            <w:vAlign w:val="center"/>
          </w:tcPr>
          <w:p w14:paraId="3006333B">
            <w:pPr>
              <w:ind w:firstLine="960" w:firstLineChars="40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（盖章）</w:t>
            </w:r>
          </w:p>
        </w:tc>
      </w:tr>
      <w:tr w14:paraId="05448D3B">
        <w:tblPrEx>
          <w:tblCellMar>
            <w:top w:w="0" w:type="dxa"/>
            <w:left w:w="108" w:type="dxa"/>
            <w:bottom w:w="0" w:type="dxa"/>
            <w:right w:w="108" w:type="dxa"/>
          </w:tblCellMar>
        </w:tblPrEx>
        <w:trPr>
          <w:trHeight w:val="567" w:hRule="exact"/>
          <w:jc w:val="center"/>
        </w:trPr>
        <w:tc>
          <w:tcPr>
            <w:tcW w:w="4201" w:type="dxa"/>
            <w:noWrap w:val="0"/>
            <w:vAlign w:val="center"/>
          </w:tcPr>
          <w:p w14:paraId="6899C4CC">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 xml:space="preserve">地址： </w:t>
            </w:r>
          </w:p>
        </w:tc>
        <w:tc>
          <w:tcPr>
            <w:tcW w:w="4202" w:type="dxa"/>
            <w:noWrap w:val="0"/>
            <w:vAlign w:val="center"/>
          </w:tcPr>
          <w:p w14:paraId="13194C5F">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地址：</w:t>
            </w:r>
          </w:p>
        </w:tc>
      </w:tr>
      <w:tr w14:paraId="2E303375">
        <w:tblPrEx>
          <w:tblCellMar>
            <w:top w:w="0" w:type="dxa"/>
            <w:left w:w="108" w:type="dxa"/>
            <w:bottom w:w="0" w:type="dxa"/>
            <w:right w:w="108" w:type="dxa"/>
          </w:tblCellMar>
        </w:tblPrEx>
        <w:trPr>
          <w:trHeight w:val="567" w:hRule="exact"/>
          <w:jc w:val="center"/>
        </w:trPr>
        <w:tc>
          <w:tcPr>
            <w:tcW w:w="4201" w:type="dxa"/>
            <w:noWrap w:val="0"/>
            <w:vAlign w:val="center"/>
          </w:tcPr>
          <w:p w14:paraId="62A19121">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邮编：</w:t>
            </w:r>
          </w:p>
        </w:tc>
        <w:tc>
          <w:tcPr>
            <w:tcW w:w="4202" w:type="dxa"/>
            <w:noWrap w:val="0"/>
            <w:vAlign w:val="center"/>
          </w:tcPr>
          <w:p w14:paraId="280DA8CD">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邮编：</w:t>
            </w:r>
          </w:p>
        </w:tc>
      </w:tr>
      <w:tr w14:paraId="479507CB">
        <w:tblPrEx>
          <w:tblCellMar>
            <w:top w:w="0" w:type="dxa"/>
            <w:left w:w="108" w:type="dxa"/>
            <w:bottom w:w="0" w:type="dxa"/>
            <w:right w:w="108" w:type="dxa"/>
          </w:tblCellMar>
        </w:tblPrEx>
        <w:trPr>
          <w:trHeight w:val="567" w:hRule="exact"/>
          <w:jc w:val="center"/>
        </w:trPr>
        <w:tc>
          <w:tcPr>
            <w:tcW w:w="4201" w:type="dxa"/>
            <w:noWrap w:val="0"/>
            <w:vAlign w:val="center"/>
          </w:tcPr>
          <w:p w14:paraId="5C86B543">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 xml:space="preserve">法定代表人： </w:t>
            </w:r>
          </w:p>
        </w:tc>
        <w:tc>
          <w:tcPr>
            <w:tcW w:w="4202" w:type="dxa"/>
            <w:noWrap w:val="0"/>
            <w:vAlign w:val="center"/>
          </w:tcPr>
          <w:p w14:paraId="2B686AD0">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法定代表人：</w:t>
            </w:r>
          </w:p>
        </w:tc>
      </w:tr>
      <w:tr w14:paraId="3060D77D">
        <w:tblPrEx>
          <w:tblCellMar>
            <w:top w:w="0" w:type="dxa"/>
            <w:left w:w="108" w:type="dxa"/>
            <w:bottom w:w="0" w:type="dxa"/>
            <w:right w:w="108" w:type="dxa"/>
          </w:tblCellMar>
        </w:tblPrEx>
        <w:trPr>
          <w:trHeight w:val="567" w:hRule="exact"/>
          <w:jc w:val="center"/>
        </w:trPr>
        <w:tc>
          <w:tcPr>
            <w:tcW w:w="4201" w:type="dxa"/>
            <w:noWrap w:val="0"/>
            <w:vAlign w:val="center"/>
          </w:tcPr>
          <w:p w14:paraId="16FD4D53">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lang w:val="en-US" w:eastAsia="zh-CN"/>
              </w:rPr>
              <w:t>或</w:t>
            </w:r>
            <w:r>
              <w:rPr>
                <w:rFonts w:hint="eastAsia" w:ascii="仿宋_GB2312" w:hAnsi="仿宋_GB2312" w:eastAsia="仿宋_GB2312" w:cs="仿宋_GB2312"/>
                <w:spacing w:val="-20"/>
                <w:sz w:val="28"/>
                <w:szCs w:val="28"/>
              </w:rPr>
              <w:t>被授权代表：</w:t>
            </w:r>
          </w:p>
        </w:tc>
        <w:tc>
          <w:tcPr>
            <w:tcW w:w="4202" w:type="dxa"/>
            <w:noWrap w:val="0"/>
            <w:vAlign w:val="center"/>
          </w:tcPr>
          <w:p w14:paraId="00BE4039">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lang w:val="en-US" w:eastAsia="zh-CN"/>
              </w:rPr>
              <w:t>或</w:t>
            </w:r>
            <w:r>
              <w:rPr>
                <w:rFonts w:hint="eastAsia" w:ascii="仿宋_GB2312" w:hAnsi="仿宋_GB2312" w:eastAsia="仿宋_GB2312" w:cs="仿宋_GB2312"/>
                <w:spacing w:val="-20"/>
                <w:sz w:val="28"/>
                <w:szCs w:val="28"/>
              </w:rPr>
              <w:t>被授权代表：</w:t>
            </w:r>
          </w:p>
        </w:tc>
      </w:tr>
      <w:tr w14:paraId="0F9B1425">
        <w:tblPrEx>
          <w:tblCellMar>
            <w:top w:w="0" w:type="dxa"/>
            <w:left w:w="108" w:type="dxa"/>
            <w:bottom w:w="0" w:type="dxa"/>
            <w:right w:w="108" w:type="dxa"/>
          </w:tblCellMar>
        </w:tblPrEx>
        <w:trPr>
          <w:trHeight w:val="567" w:hRule="exact"/>
          <w:jc w:val="center"/>
        </w:trPr>
        <w:tc>
          <w:tcPr>
            <w:tcW w:w="4201" w:type="dxa"/>
            <w:noWrap w:val="0"/>
            <w:vAlign w:val="center"/>
          </w:tcPr>
          <w:p w14:paraId="0C433912">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电话：</w:t>
            </w:r>
          </w:p>
        </w:tc>
        <w:tc>
          <w:tcPr>
            <w:tcW w:w="4202" w:type="dxa"/>
            <w:noWrap w:val="0"/>
            <w:vAlign w:val="center"/>
          </w:tcPr>
          <w:p w14:paraId="381ED113">
            <w:pPr>
              <w:ind w:left="720" w:hanging="720" w:hangingChars="30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电话：</w:t>
            </w:r>
          </w:p>
        </w:tc>
      </w:tr>
      <w:tr w14:paraId="4921C625">
        <w:tblPrEx>
          <w:tblCellMar>
            <w:top w:w="0" w:type="dxa"/>
            <w:left w:w="108" w:type="dxa"/>
            <w:bottom w:w="0" w:type="dxa"/>
            <w:right w:w="108" w:type="dxa"/>
          </w:tblCellMar>
        </w:tblPrEx>
        <w:trPr>
          <w:trHeight w:val="567" w:hRule="exact"/>
          <w:jc w:val="center"/>
        </w:trPr>
        <w:tc>
          <w:tcPr>
            <w:tcW w:w="4201" w:type="dxa"/>
            <w:noWrap w:val="0"/>
            <w:vAlign w:val="center"/>
          </w:tcPr>
          <w:p w14:paraId="3CA299B6">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c>
          <w:tcPr>
            <w:tcW w:w="4202" w:type="dxa"/>
            <w:noWrap w:val="0"/>
            <w:vAlign w:val="center"/>
          </w:tcPr>
          <w:p w14:paraId="28B6A229">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r>
      <w:tr w14:paraId="1D467A8A">
        <w:tblPrEx>
          <w:tblCellMar>
            <w:top w:w="0" w:type="dxa"/>
            <w:left w:w="108" w:type="dxa"/>
            <w:bottom w:w="0" w:type="dxa"/>
            <w:right w:w="108" w:type="dxa"/>
          </w:tblCellMar>
        </w:tblPrEx>
        <w:trPr>
          <w:trHeight w:val="567" w:hRule="exact"/>
          <w:jc w:val="center"/>
        </w:trPr>
        <w:tc>
          <w:tcPr>
            <w:tcW w:w="4201" w:type="dxa"/>
            <w:noWrap w:val="0"/>
            <w:vAlign w:val="center"/>
          </w:tcPr>
          <w:p w14:paraId="32092AEA">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开户银行：</w:t>
            </w:r>
          </w:p>
        </w:tc>
        <w:tc>
          <w:tcPr>
            <w:tcW w:w="4202" w:type="dxa"/>
            <w:noWrap w:val="0"/>
            <w:vAlign w:val="center"/>
          </w:tcPr>
          <w:p w14:paraId="48B74B7D">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开户银行：</w:t>
            </w:r>
          </w:p>
        </w:tc>
      </w:tr>
      <w:tr w14:paraId="2E0F058F">
        <w:tblPrEx>
          <w:tblCellMar>
            <w:top w:w="0" w:type="dxa"/>
            <w:left w:w="108" w:type="dxa"/>
            <w:bottom w:w="0" w:type="dxa"/>
            <w:right w:w="108" w:type="dxa"/>
          </w:tblCellMar>
        </w:tblPrEx>
        <w:trPr>
          <w:trHeight w:val="567" w:hRule="exact"/>
          <w:jc w:val="center"/>
        </w:trPr>
        <w:tc>
          <w:tcPr>
            <w:tcW w:w="4201" w:type="dxa"/>
            <w:noWrap w:val="0"/>
            <w:vAlign w:val="center"/>
          </w:tcPr>
          <w:p w14:paraId="1BF2D783">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日期：</w:t>
            </w:r>
          </w:p>
        </w:tc>
        <w:tc>
          <w:tcPr>
            <w:tcW w:w="4202" w:type="dxa"/>
            <w:noWrap w:val="0"/>
            <w:vAlign w:val="center"/>
          </w:tcPr>
          <w:p w14:paraId="4693EE1C">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日期：</w:t>
            </w:r>
          </w:p>
        </w:tc>
      </w:tr>
    </w:tbl>
    <w:p w14:paraId="0A1F7C6F"/>
    <w:sectPr>
      <w:headerReference r:id="rId3" w:type="default"/>
      <w:footerReference r:id="rId4" w:type="default"/>
      <w:pgSz w:w="11909" w:h="16841"/>
      <w:pgMar w:top="1417" w:right="1417" w:bottom="1417" w:left="1417" w:header="850" w:footer="10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BC2CF5E-D3D8-4AC3-B6C5-D13C33C3CB64}"/>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2" w:fontKey="{665F4287-750F-4BB6-B7CA-EC42ED72514C}"/>
  </w:font>
  <w:font w:name="仿宋_GB2312">
    <w:panose1 w:val="02010609030101010101"/>
    <w:charset w:val="86"/>
    <w:family w:val="modern"/>
    <w:pitch w:val="default"/>
    <w:sig w:usb0="00000001" w:usb1="080E0000" w:usb2="00000000" w:usb3="00000000" w:csb0="00040000" w:csb1="00000000"/>
    <w:embedRegular r:id="rId3" w:fontKey="{6A77F9A4-AD99-40BF-8FE8-1F79759BF3B3}"/>
  </w:font>
  <w:font w:name="微软雅黑">
    <w:panose1 w:val="020B0503020204020204"/>
    <w:charset w:val="86"/>
    <w:family w:val="auto"/>
    <w:pitch w:val="default"/>
    <w:sig w:usb0="80000287" w:usb1="2ACF3C50" w:usb2="00000016" w:usb3="00000000" w:csb0="0004001F" w:csb1="00000000"/>
    <w:embedRegular r:id="rId4" w:fontKey="{5FF96633-66D1-4B54-94C9-988A653534F6}"/>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78FE8">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2623820</wp:posOffset>
              </wp:positionH>
              <wp:positionV relativeFrom="paragraph">
                <wp:posOffset>-174625</wp:posOffset>
              </wp:positionV>
              <wp:extent cx="467360" cy="172720"/>
              <wp:effectExtent l="0" t="0" r="2540" b="11430"/>
              <wp:wrapNone/>
              <wp:docPr id="7" name="文本框 7"/>
              <wp:cNvGraphicFramePr/>
              <a:graphic xmlns:a="http://schemas.openxmlformats.org/drawingml/2006/main">
                <a:graphicData uri="http://schemas.microsoft.com/office/word/2010/wordprocessingShape">
                  <wps:wsp>
                    <wps:cNvSpPr txBox="1"/>
                    <wps:spPr>
                      <a:xfrm>
                        <a:off x="0" y="0"/>
                        <a:ext cx="467360" cy="172720"/>
                      </a:xfrm>
                      <a:prstGeom prst="rect">
                        <a:avLst/>
                      </a:prstGeom>
                      <a:noFill/>
                      <a:ln w="6350">
                        <a:noFill/>
                      </a:ln>
                    </wps:spPr>
                    <wps:txbx>
                      <w:txbxContent>
                        <w:p w14:paraId="0EFA8E70">
                          <w:pPr>
                            <w:pStyle w:val="8"/>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6.6pt;margin-top:-13.75pt;height:13.6pt;width:36.8pt;mso-position-horizontal-relative:margin;mso-wrap-style:none;z-index:251659264;mso-width-relative:page;mso-height-relative:page;" filled="f" stroked="f" coordsize="21600,21600" o:gfxdata="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svhy41gAAAAkBAAAPAAAAAAAAAAEAIAAAACIAAABkcnMvZG93bnJldi54bWxQSwEC&#10;FAAUAAAACACHTuJALEJu2i8CAABTBAAADgAAAAAAAAABACAAAAAlAQAAZHJzL2Uyb0RvYy54bWxQ&#10;SwUGAAAAAAYABgBZAQAAxgUAAAAA&#10;">
              <v:fill on="f" focussize="0,0"/>
              <v:stroke on="f" weight="0.5pt"/>
              <v:imagedata o:title=""/>
              <o:lock v:ext="edit" aspectratio="f"/>
              <v:textbox inset="0mm,0mm,0mm,0mm" style="mso-fit-shape-to-text:t;">
                <w:txbxContent>
                  <w:p w14:paraId="0EFA8E70">
                    <w:pPr>
                      <w:pStyle w:val="8"/>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C11F6">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29BB6BC2"/>
    <w:rsid w:val="00032C77"/>
    <w:rsid w:val="00042B50"/>
    <w:rsid w:val="0005444A"/>
    <w:rsid w:val="00055484"/>
    <w:rsid w:val="00196F8D"/>
    <w:rsid w:val="002134F5"/>
    <w:rsid w:val="00240D10"/>
    <w:rsid w:val="002A2C9E"/>
    <w:rsid w:val="00301B8C"/>
    <w:rsid w:val="00333158"/>
    <w:rsid w:val="00366B06"/>
    <w:rsid w:val="005C205E"/>
    <w:rsid w:val="00680F55"/>
    <w:rsid w:val="006B2966"/>
    <w:rsid w:val="006E04B8"/>
    <w:rsid w:val="007377F8"/>
    <w:rsid w:val="007646EA"/>
    <w:rsid w:val="008B1E38"/>
    <w:rsid w:val="009015B2"/>
    <w:rsid w:val="009F1E94"/>
    <w:rsid w:val="00AD6F4F"/>
    <w:rsid w:val="00B35765"/>
    <w:rsid w:val="00C65FC8"/>
    <w:rsid w:val="00CC3A78"/>
    <w:rsid w:val="00CE21B5"/>
    <w:rsid w:val="00CF6641"/>
    <w:rsid w:val="00E8712A"/>
    <w:rsid w:val="00EF3803"/>
    <w:rsid w:val="00F47186"/>
    <w:rsid w:val="00FA5ACA"/>
    <w:rsid w:val="00FC1B97"/>
    <w:rsid w:val="01981D96"/>
    <w:rsid w:val="02680F16"/>
    <w:rsid w:val="06044D8E"/>
    <w:rsid w:val="063C3527"/>
    <w:rsid w:val="071938B9"/>
    <w:rsid w:val="0B186D4E"/>
    <w:rsid w:val="0CF24C32"/>
    <w:rsid w:val="0DA008CC"/>
    <w:rsid w:val="0EBB3568"/>
    <w:rsid w:val="0EC60B07"/>
    <w:rsid w:val="10332904"/>
    <w:rsid w:val="10CF4970"/>
    <w:rsid w:val="10F63A27"/>
    <w:rsid w:val="14561BE7"/>
    <w:rsid w:val="172B4FA4"/>
    <w:rsid w:val="192A37C4"/>
    <w:rsid w:val="198577DD"/>
    <w:rsid w:val="19966094"/>
    <w:rsid w:val="1CA80820"/>
    <w:rsid w:val="1D6E70FD"/>
    <w:rsid w:val="1E6D5F03"/>
    <w:rsid w:val="21665943"/>
    <w:rsid w:val="244871F4"/>
    <w:rsid w:val="25295AB7"/>
    <w:rsid w:val="274E2D73"/>
    <w:rsid w:val="27EF733B"/>
    <w:rsid w:val="292902AA"/>
    <w:rsid w:val="29BB6BC2"/>
    <w:rsid w:val="2C0F4050"/>
    <w:rsid w:val="2EEA293E"/>
    <w:rsid w:val="2F1025C8"/>
    <w:rsid w:val="30104537"/>
    <w:rsid w:val="313868D1"/>
    <w:rsid w:val="325B49C3"/>
    <w:rsid w:val="326A7D77"/>
    <w:rsid w:val="33EF3E56"/>
    <w:rsid w:val="39094D4C"/>
    <w:rsid w:val="3CCE5611"/>
    <w:rsid w:val="3CE71A85"/>
    <w:rsid w:val="412A6A1E"/>
    <w:rsid w:val="414032D5"/>
    <w:rsid w:val="45FB0DB9"/>
    <w:rsid w:val="467E02E4"/>
    <w:rsid w:val="4EC118A7"/>
    <w:rsid w:val="4F1C52C5"/>
    <w:rsid w:val="4FDA2485"/>
    <w:rsid w:val="528C1FD1"/>
    <w:rsid w:val="54F63A8A"/>
    <w:rsid w:val="57DF2953"/>
    <w:rsid w:val="5C7E1FD1"/>
    <w:rsid w:val="5D3B49BA"/>
    <w:rsid w:val="60E414E6"/>
    <w:rsid w:val="61E5759F"/>
    <w:rsid w:val="64A137DB"/>
    <w:rsid w:val="67493010"/>
    <w:rsid w:val="696F3399"/>
    <w:rsid w:val="734E36BE"/>
    <w:rsid w:val="741C09D0"/>
    <w:rsid w:val="74343D24"/>
    <w:rsid w:val="764F97C9"/>
    <w:rsid w:val="78C53AE4"/>
    <w:rsid w:val="7EB51055"/>
    <w:rsid w:val="7F3F399C"/>
    <w:rsid w:val="7FB46D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99"/>
    <w:pPr>
      <w:jc w:val="left"/>
    </w:pPr>
    <w:rPr>
      <w:kern w:val="0"/>
    </w:rPr>
  </w:style>
  <w:style w:type="paragraph" w:styleId="4">
    <w:name w:val="Normal Indent"/>
    <w:basedOn w:val="1"/>
    <w:autoRedefine/>
    <w:qFormat/>
    <w:uiPriority w:val="0"/>
    <w:pPr>
      <w:ind w:firstLine="420"/>
    </w:pPr>
    <w:rPr>
      <w:szCs w:val="21"/>
    </w:rPr>
  </w:style>
  <w:style w:type="paragraph" w:styleId="5">
    <w:name w:val="annotation text"/>
    <w:basedOn w:val="1"/>
    <w:autoRedefine/>
    <w:qFormat/>
    <w:uiPriority w:val="0"/>
    <w:pPr>
      <w:jc w:val="left"/>
    </w:pPr>
  </w:style>
  <w:style w:type="paragraph" w:styleId="6">
    <w:name w:val="Plain Text"/>
    <w:basedOn w:val="1"/>
    <w:autoRedefine/>
    <w:qFormat/>
    <w:uiPriority w:val="0"/>
    <w:rPr>
      <w:rFonts w:ascii="宋体" w:hAnsi="Courier New"/>
      <w:kern w:val="0"/>
      <w:sz w:val="20"/>
    </w:rPr>
  </w:style>
  <w:style w:type="paragraph" w:styleId="7">
    <w:name w:val="Balloon Text"/>
    <w:basedOn w:val="1"/>
    <w:link w:val="18"/>
    <w:autoRedefine/>
    <w:qFormat/>
    <w:uiPriority w:val="0"/>
    <w:rPr>
      <w:sz w:val="18"/>
      <w:szCs w:val="18"/>
    </w:rPr>
  </w:style>
  <w:style w:type="paragraph" w:styleId="8">
    <w:name w:val="footer"/>
    <w:basedOn w:val="1"/>
    <w:autoRedefine/>
    <w:qFormat/>
    <w:uiPriority w:val="0"/>
    <w:pPr>
      <w:tabs>
        <w:tab w:val="center" w:pos="4140"/>
        <w:tab w:val="right" w:pos="8300"/>
      </w:tabs>
      <w:snapToGrid w:val="0"/>
      <w:jc w:val="left"/>
    </w:pPr>
    <w:rPr>
      <w:sz w:val="18"/>
      <w:szCs w:val="18"/>
    </w:rPr>
  </w:style>
  <w:style w:type="paragraph" w:styleId="9">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1">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2">
    <w:name w:val="Body Text First Indent"/>
    <w:basedOn w:val="2"/>
    <w:autoRedefine/>
    <w:qFormat/>
    <w:uiPriority w:val="0"/>
    <w:pPr>
      <w:spacing w:line="360" w:lineRule="auto"/>
      <w:ind w:firstLine="420"/>
    </w:pPr>
    <w:rPr>
      <w:rFonts w:ascii="宋体" w:hAnsi="宋体"/>
      <w:sz w:val="24"/>
    </w:rPr>
  </w:style>
  <w:style w:type="table" w:styleId="14">
    <w:name w:val="Table Grid"/>
    <w:basedOn w:val="13"/>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annotation reference"/>
    <w:basedOn w:val="15"/>
    <w:autoRedefine/>
    <w:qFormat/>
    <w:uiPriority w:val="0"/>
    <w:rPr>
      <w:sz w:val="21"/>
      <w:szCs w:val="21"/>
    </w:rPr>
  </w:style>
  <w:style w:type="character" w:customStyle="1" w:styleId="17">
    <w:name w:val="页眉 Char"/>
    <w:basedOn w:val="15"/>
    <w:link w:val="9"/>
    <w:autoRedefine/>
    <w:qFormat/>
    <w:uiPriority w:val="0"/>
    <w:rPr>
      <w:kern w:val="2"/>
      <w:sz w:val="18"/>
      <w:szCs w:val="18"/>
    </w:rPr>
  </w:style>
  <w:style w:type="character" w:customStyle="1" w:styleId="18">
    <w:name w:val="批注框文本 Char"/>
    <w:basedOn w:val="15"/>
    <w:link w:val="7"/>
    <w:autoRedefine/>
    <w:qFormat/>
    <w:uiPriority w:val="0"/>
    <w:rPr>
      <w:kern w:val="2"/>
      <w:sz w:val="18"/>
      <w:szCs w:val="18"/>
    </w:rPr>
  </w:style>
  <w:style w:type="paragraph" w:customStyle="1" w:styleId="19">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1">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5</Pages>
  <Words>2516</Words>
  <Characters>2552</Characters>
  <Lines>12</Lines>
  <Paragraphs>3</Paragraphs>
  <TotalTime>0</TotalTime>
  <ScaleCrop>false</ScaleCrop>
  <LinksUpToDate>false</LinksUpToDate>
  <CharactersWithSpaces>2642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独舞的蒲公英</dc:creator>
  <cp:lastModifiedBy>陕西华采招标有限公司</cp:lastModifiedBy>
  <cp:lastPrinted>2022-09-28T14:56:00Z</cp:lastPrinted>
  <dcterms:modified xsi:type="dcterms:W3CDTF">2025-11-24T02:26:57Z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E79E879024B94D3FB100E7468F0D228F</vt:lpwstr>
  </property>
  <property fmtid="{D5CDD505-2E9C-101B-9397-08002B2CF9AE}" pid="4" name="KSOTemplateDocerSaveRecord">
    <vt:lpwstr>eyJoZGlkIjoiYjZjMDgwYWJjZmNiM2YzZmU4MTk1ZjZmYmY1NWU1OTEiLCJ1c2VySWQiOiI5MzY1NjA0ODAifQ==</vt:lpwstr>
  </property>
</Properties>
</file>