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版本号：DCZX2025-ZCCS-GC115220251202002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消防设施改造项目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DCZX2025-ZCCS-GC1152</w:t>
      </w:r>
      <w:r>
        <w:br/>
      </w:r>
      <w:r>
        <w:br/>
      </w:r>
      <w:r>
        <w:br/>
      </w:r>
    </w:p>
    <w:p>
      <w:pPr>
        <w:pStyle w:val="null3"/>
        <w:jc w:val="center"/>
        <w:outlineLvl w:val="2"/>
      </w:pPr>
      <w:r>
        <w:rPr>
          <w:rFonts w:ascii="仿宋_GB2312" w:hAnsi="仿宋_GB2312" w:cs="仿宋_GB2312" w:eastAsia="仿宋_GB2312"/>
          <w:sz w:val="28"/>
          <w:b/>
        </w:rPr>
        <w:t>长安区五星街道中心学校</w:t>
      </w:r>
    </w:p>
    <w:p>
      <w:pPr>
        <w:pStyle w:val="null3"/>
        <w:jc w:val="center"/>
        <w:outlineLvl w:val="2"/>
      </w:pPr>
      <w:r>
        <w:rPr>
          <w:rFonts w:ascii="仿宋_GB2312" w:hAnsi="仿宋_GB2312" w:cs="仿宋_GB2312" w:eastAsia="仿宋_GB2312"/>
          <w:sz w:val="28"/>
          <w:b/>
        </w:rPr>
        <w:t>陕西鼎成项目管理咨询有限公司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陕西鼎成项目管理咨询有限公司</w:t>
      </w:r>
      <w:r>
        <w:rPr>
          <w:rFonts w:ascii="仿宋_GB2312" w:hAnsi="仿宋_GB2312" w:cs="仿宋_GB2312" w:eastAsia="仿宋_GB2312"/>
        </w:rPr>
        <w:t>（以下简称“代理机构”）受</w:t>
      </w:r>
      <w:r>
        <w:rPr>
          <w:rFonts w:ascii="仿宋_GB2312" w:hAnsi="仿宋_GB2312" w:cs="仿宋_GB2312" w:eastAsia="仿宋_GB2312"/>
        </w:rPr>
        <w:t>长安区五星街道中心学校</w:t>
      </w:r>
      <w:r>
        <w:rPr>
          <w:rFonts w:ascii="仿宋_GB2312" w:hAnsi="仿宋_GB2312" w:cs="仿宋_GB2312" w:eastAsia="仿宋_GB2312"/>
        </w:rPr>
        <w:t>委托，拟对</w:t>
      </w:r>
      <w:r>
        <w:rPr>
          <w:rFonts w:ascii="仿宋_GB2312" w:hAnsi="仿宋_GB2312" w:cs="仿宋_GB2312" w:eastAsia="仿宋_GB2312"/>
        </w:rPr>
        <w:t>消防设施改造项目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DCZX2025-ZCCS-GC1152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消防设施改造项目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长安区五星街道中心学校消防设施改造项目涉及的配管配线、电缆安装、配电箱、应急照明灯具安装、消防稳压泵、消火栓安装、水箱安装、管道敷设、阀门安装；土方开挖、基层回填、垃圾清运；采购安装钢制防火门、防火隔墙等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采购包1（消防设施改造项目）：属于专门面向中小企业采购。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法定代表人直接参加磋商，须提供法定代表人身份证明）；被授权人参与磋商时，须提供被授权人磋商响应文件递交截止时间前六个月内任意一个月在本单位缴纳的社保证明，依法不需要缴纳社会保障资金的供应商提供相关证明材料；</w:t>
      </w:r>
    </w:p>
    <w:p>
      <w:pPr>
        <w:pStyle w:val="null3"/>
      </w:pPr>
      <w:r>
        <w:rPr>
          <w:rFonts w:ascii="仿宋_GB2312" w:hAnsi="仿宋_GB2312" w:cs="仿宋_GB2312" w:eastAsia="仿宋_GB2312"/>
        </w:rPr>
        <w:t>2、企业资质：投标供应商须具备行业主管部门颁发的消防设施工程专业承包二级及以上资质并具有有效的安全生产许可证；</w:t>
      </w:r>
    </w:p>
    <w:p>
      <w:pPr>
        <w:pStyle w:val="null3"/>
      </w:pPr>
      <w:r>
        <w:rPr>
          <w:rFonts w:ascii="仿宋_GB2312" w:hAnsi="仿宋_GB2312" w:cs="仿宋_GB2312" w:eastAsia="仿宋_GB2312"/>
        </w:rPr>
        <w:t>3、项目经理：投标供应商拟派项目经理须具备行业主管部门颁发的机电工程专业二级及以上建造师资质及有效的安全生产考核合格证书（建安B证），在本单位注册且无在建工程（提供承诺）；</w:t>
      </w:r>
    </w:p>
    <w:p>
      <w:pPr>
        <w:pStyle w:val="null3"/>
      </w:pPr>
      <w:r>
        <w:rPr>
          <w:rFonts w:ascii="仿宋_GB2312" w:hAnsi="仿宋_GB2312" w:cs="仿宋_GB2312" w:eastAsia="仿宋_GB2312"/>
        </w:rPr>
        <w:t>4、投标供应商基本信息及项目经理基本信息：投标供应商基本信息及项目经理基本信息应在“陕西建设网（http://js.shaanxi.gov.cn/ ）或陕西省建筑市场监管与诚信信息发布平台”可查询；</w:t>
      </w:r>
    </w:p>
    <w:p>
      <w:pPr>
        <w:pStyle w:val="null3"/>
      </w:pPr>
      <w:r>
        <w:rPr>
          <w:rFonts w:ascii="仿宋_GB2312" w:hAnsi="仿宋_GB2312" w:cs="仿宋_GB2312" w:eastAsia="仿宋_GB2312"/>
        </w:rPr>
        <w:t>5、承诺：投标供应商不得在各级诚信信息平台被列为投标受限制的行为人（提供承诺）；</w:t>
      </w:r>
    </w:p>
    <w:p>
      <w:pPr>
        <w:pStyle w:val="null3"/>
      </w:pPr>
      <w:r>
        <w:rPr>
          <w:rFonts w:ascii="仿宋_GB2312" w:hAnsi="仿宋_GB2312" w:cs="仿宋_GB2312" w:eastAsia="仿宋_GB2312"/>
        </w:rPr>
        <w:t>6、中小企业声明函：本项目专门面向中小企业采购，仅限符合《政府采购促进中小企业发展管理办法》的通知(财库〔2020〕46 号) 条件的中小企业参与，并提供中小企业声明函，残疾人福利企业、监狱企业视同中小企业。</w:t>
      </w:r>
    </w:p>
    <w:p>
      <w:pPr>
        <w:pStyle w:val="null3"/>
      </w:pPr>
      <w:r>
        <w:rPr>
          <w:rFonts w:ascii="仿宋_GB2312" w:hAnsi="仿宋_GB2312" w:cs="仿宋_GB2312" w:eastAsia="仿宋_GB2312"/>
        </w:rPr>
        <w:t>7、非联合体声明：本项目不接受联合体磋商，单位负责人为同一人或者存在直接控股、管理关系的不同供应商，不得参加同一合同项下的采购活动。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长安区五星街道中心学校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西安市长安区五星街道刘家堡甲子1号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029-85861496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陕西鼎成项目管理咨询有限公司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陕西省西安市雁塔区陕西省西安市高新区高新路88号尚品国际B座5幢1单元7层10703室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029-81773523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采购包1：659,200.00元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国家计委颁发的《招标代理服务收费管理暂行办法》（计价格[2002]1980号）和国家发展改革委员会办公厅颁发的《关于招标代理服务收费有关问题的通知》(发改办价格[2003]857号）的有关规定执行。 2、成交单位在领取成交通知书前，须向采购代理机构一次性支付采购代理服务费。 代理费缴存账户： 开户名称：陕西鼎成项目管理咨询有限公司 开户银行：中国民生银行西安枫林绿洲支行 账号：171277297 （备注：项目名称+项目编号） 3、成交供应商在领取成交通知书时须携带法定代表人授权书及加盖单位公章的被授权人身份证复印件。</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长安区五星街道中心学校</w:t>
      </w:r>
      <w:r>
        <w:rPr>
          <w:rFonts w:ascii="仿宋_GB2312" w:hAnsi="仿宋_GB2312" w:cs="仿宋_GB2312" w:eastAsia="仿宋_GB2312"/>
        </w:rPr>
        <w:t>和</w:t>
      </w:r>
      <w:r>
        <w:rPr>
          <w:rFonts w:ascii="仿宋_GB2312" w:hAnsi="仿宋_GB2312" w:cs="仿宋_GB2312" w:eastAsia="仿宋_GB2312"/>
        </w:rPr>
        <w:t>陕西鼎成项目管理咨询有限公司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长安区五星街道中心学校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陕西鼎成项目管理咨询有限公司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长安区五星街道中心学校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陕西鼎成项目管理咨询有限公司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联系人：彭宏飞</w:t>
      </w:r>
    </w:p>
    <w:p>
      <w:pPr>
        <w:pStyle w:val="null3"/>
      </w:pPr>
      <w:r>
        <w:rPr>
          <w:rFonts w:ascii="仿宋_GB2312" w:hAnsi="仿宋_GB2312" w:cs="仿宋_GB2312" w:eastAsia="仿宋_GB2312"/>
        </w:rPr>
        <w:t>联系电话：029-81773523</w:t>
      </w:r>
    </w:p>
    <w:p>
      <w:pPr>
        <w:pStyle w:val="null3"/>
      </w:pPr>
      <w:r>
        <w:rPr>
          <w:rFonts w:ascii="仿宋_GB2312" w:hAnsi="仿宋_GB2312" w:cs="仿宋_GB2312" w:eastAsia="仿宋_GB2312"/>
        </w:rPr>
        <w:t>地址：陕西省西安市高新区高新路88号尚品国际B座7层703室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659,200.00</w:t>
      </w:r>
    </w:p>
    <w:p>
      <w:pPr>
        <w:pStyle w:val="null3"/>
      </w:pPr>
      <w:r>
        <w:rPr>
          <w:rFonts w:ascii="仿宋_GB2312" w:hAnsi="仿宋_GB2312" w:cs="仿宋_GB2312" w:eastAsia="仿宋_GB2312"/>
        </w:rPr>
        <w:t>采购包最高限价（元）: 659,200.00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消防设施改造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659,200.00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标的名称：消防设施改造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一、计划工期</w:t>
            </w:r>
          </w:p>
          <w:p>
            <w:pPr>
              <w:pStyle w:val="null3"/>
              <w:ind w:firstLine="480"/>
              <w:jc w:val="both"/>
            </w:pP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 xml:space="preserve">60  </w:t>
            </w:r>
            <w:r>
              <w:rPr>
                <w:rFonts w:ascii="仿宋_GB2312" w:hAnsi="仿宋_GB2312" w:cs="仿宋_GB2312" w:eastAsia="仿宋_GB2312"/>
                <w:sz w:val="24"/>
              </w:rPr>
              <w:t>日历天。</w:t>
            </w:r>
          </w:p>
          <w:p>
            <w:pPr>
              <w:pStyle w:val="null3"/>
              <w:jc w:val="both"/>
            </w:pPr>
            <w:r>
              <w:rPr>
                <w:rFonts w:ascii="仿宋_GB2312" w:hAnsi="仿宋_GB2312" w:cs="仿宋_GB2312" w:eastAsia="仿宋_GB2312"/>
                <w:sz w:val="24"/>
                <w:b/>
              </w:rPr>
              <w:t>二、质保期</w:t>
            </w:r>
          </w:p>
          <w:p>
            <w:pPr>
              <w:pStyle w:val="null3"/>
              <w:ind w:firstLine="480"/>
              <w:jc w:val="both"/>
            </w:pPr>
            <w:r>
              <w:rPr>
                <w:rFonts w:ascii="仿宋_GB2312" w:hAnsi="仿宋_GB2312" w:cs="仿宋_GB2312" w:eastAsia="仿宋_GB2312"/>
                <w:sz w:val="24"/>
              </w:rPr>
              <w:t>本项目质保期为</w:t>
            </w:r>
            <w:r>
              <w:rPr>
                <w:rFonts w:ascii="仿宋_GB2312" w:hAnsi="仿宋_GB2312" w:cs="仿宋_GB2312" w:eastAsia="仿宋_GB2312"/>
                <w:sz w:val="24"/>
                <w:u w:val="single"/>
              </w:rPr>
              <w:t>2</w:t>
            </w:r>
            <w:r>
              <w:rPr>
                <w:rFonts w:ascii="仿宋_GB2312" w:hAnsi="仿宋_GB2312" w:cs="仿宋_GB2312" w:eastAsia="仿宋_GB2312"/>
                <w:sz w:val="24"/>
              </w:rPr>
              <w:t>年。</w:t>
            </w:r>
          </w:p>
          <w:p>
            <w:pPr>
              <w:pStyle w:val="null3"/>
              <w:jc w:val="both"/>
            </w:pPr>
            <w:r>
              <w:rPr>
                <w:rFonts w:ascii="仿宋_GB2312" w:hAnsi="仿宋_GB2312" w:cs="仿宋_GB2312" w:eastAsia="仿宋_GB2312"/>
                <w:sz w:val="24"/>
                <w:b/>
              </w:rPr>
              <w:t>三、缺陷责任期</w:t>
            </w:r>
          </w:p>
          <w:p>
            <w:pPr>
              <w:pStyle w:val="null3"/>
              <w:ind w:firstLine="480"/>
              <w:jc w:val="both"/>
            </w:pPr>
            <w:r>
              <w:rPr>
                <w:rFonts w:ascii="仿宋_GB2312" w:hAnsi="仿宋_GB2312" w:cs="仿宋_GB2312" w:eastAsia="仿宋_GB2312"/>
                <w:sz w:val="24"/>
              </w:rPr>
              <w:t>自</w:t>
            </w:r>
            <w:r>
              <w:rPr>
                <w:rFonts w:ascii="仿宋_GB2312" w:hAnsi="仿宋_GB2312" w:cs="仿宋_GB2312" w:eastAsia="仿宋_GB2312"/>
                <w:sz w:val="24"/>
              </w:rPr>
              <w:t>竣工验收之日起</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 xml:space="preserve">1 </w:t>
            </w:r>
            <w:r>
              <w:rPr>
                <w:rFonts w:ascii="仿宋_GB2312" w:hAnsi="仿宋_GB2312" w:cs="仿宋_GB2312" w:eastAsia="仿宋_GB2312"/>
                <w:sz w:val="24"/>
              </w:rPr>
              <w:t>年。</w:t>
            </w:r>
          </w:p>
          <w:p>
            <w:pPr>
              <w:pStyle w:val="null3"/>
              <w:jc w:val="both"/>
            </w:pPr>
            <w:r>
              <w:rPr>
                <w:rFonts w:ascii="仿宋_GB2312" w:hAnsi="仿宋_GB2312" w:cs="仿宋_GB2312" w:eastAsia="仿宋_GB2312"/>
                <w:sz w:val="24"/>
                <w:b/>
              </w:rPr>
              <w:t>四、付款条件及比例</w:t>
            </w:r>
          </w:p>
          <w:p>
            <w:pPr>
              <w:pStyle w:val="null3"/>
              <w:ind w:firstLine="480"/>
              <w:jc w:val="both"/>
            </w:pPr>
            <w:r>
              <w:rPr>
                <w:rFonts w:ascii="仿宋_GB2312" w:hAnsi="仿宋_GB2312" w:cs="仿宋_GB2312" w:eastAsia="仿宋_GB2312"/>
                <w:sz w:val="24"/>
              </w:rPr>
              <w:t>1、合同签订后，甲方向乙方支付合同价款的40%作为预付款。</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乙方完成全部工程量时，经甲方组织有关部门验收合格后，甲方向乙方支付至合同总价款的</w:t>
            </w:r>
            <w:r>
              <w:rPr>
                <w:rFonts w:ascii="仿宋_GB2312" w:hAnsi="仿宋_GB2312" w:cs="仿宋_GB2312" w:eastAsia="仿宋_GB2312"/>
                <w:sz w:val="24"/>
              </w:rPr>
              <w:t>8</w:t>
            </w:r>
            <w:r>
              <w:rPr>
                <w:rFonts w:ascii="仿宋_GB2312" w:hAnsi="仿宋_GB2312" w:cs="仿宋_GB2312" w:eastAsia="仿宋_GB2312"/>
                <w:sz w:val="24"/>
              </w:rPr>
              <w:t>0%。</w:t>
            </w:r>
          </w:p>
          <w:p>
            <w:pPr>
              <w:pStyle w:val="null3"/>
              <w:ind w:firstLine="480"/>
              <w:jc w:val="both"/>
            </w:pPr>
            <w:r>
              <w:rPr>
                <w:rFonts w:ascii="仿宋_GB2312" w:hAnsi="仿宋_GB2312" w:cs="仿宋_GB2312" w:eastAsia="仿宋_GB2312"/>
                <w:sz w:val="24"/>
              </w:rPr>
              <w:t>3、经政府相关审计部门审计完成后，</w:t>
            </w:r>
            <w:r>
              <w:rPr>
                <w:rFonts w:ascii="仿宋_GB2312" w:hAnsi="仿宋_GB2312" w:cs="仿宋_GB2312" w:eastAsia="仿宋_GB2312"/>
                <w:sz w:val="24"/>
              </w:rPr>
              <w:t>支付</w:t>
            </w:r>
            <w:r>
              <w:rPr>
                <w:rFonts w:ascii="仿宋_GB2312" w:hAnsi="仿宋_GB2312" w:cs="仿宋_GB2312" w:eastAsia="仿宋_GB2312"/>
                <w:sz w:val="24"/>
              </w:rPr>
              <w:t>至审计结算价款</w:t>
            </w:r>
            <w:r>
              <w:rPr>
                <w:rFonts w:ascii="仿宋_GB2312" w:hAnsi="仿宋_GB2312" w:cs="仿宋_GB2312" w:eastAsia="仿宋_GB2312"/>
                <w:sz w:val="24"/>
              </w:rPr>
              <w:t>的</w:t>
            </w:r>
            <w:r>
              <w:rPr>
                <w:rFonts w:ascii="仿宋_GB2312" w:hAnsi="仿宋_GB2312" w:cs="仿宋_GB2312" w:eastAsia="仿宋_GB2312"/>
                <w:sz w:val="24"/>
              </w:rPr>
              <w:t>100</w:t>
            </w:r>
            <w:r>
              <w:rPr>
                <w:rFonts w:ascii="仿宋_GB2312" w:hAnsi="仿宋_GB2312" w:cs="仿宋_GB2312" w:eastAsia="仿宋_GB2312"/>
                <w:sz w:val="24"/>
              </w:rPr>
              <w:t>%</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b/>
              </w:rPr>
              <w:t>五、合同定价方式</w:t>
            </w:r>
          </w:p>
          <w:p>
            <w:pPr>
              <w:pStyle w:val="null3"/>
            </w:pPr>
            <w:r>
              <w:rPr>
                <w:rFonts w:ascii="仿宋_GB2312" w:hAnsi="仿宋_GB2312" w:cs="仿宋_GB2312" w:eastAsia="仿宋_GB2312"/>
              </w:rPr>
              <w:t xml:space="preserve">   </w:t>
            </w:r>
            <w:r>
              <w:rPr>
                <w:rFonts w:ascii="仿宋_GB2312" w:hAnsi="仿宋_GB2312" w:cs="仿宋_GB2312" w:eastAsia="仿宋_GB2312"/>
                <w:sz w:val="24"/>
              </w:rPr>
              <w:t>本合</w:t>
            </w:r>
            <w:r>
              <w:rPr>
                <w:rFonts w:ascii="仿宋_GB2312" w:hAnsi="仿宋_GB2312" w:cs="仿宋_GB2312" w:eastAsia="仿宋_GB2312"/>
                <w:sz w:val="24"/>
              </w:rPr>
              <w:t>同价款采用</w:t>
            </w:r>
            <w:r>
              <w:rPr>
                <w:rFonts w:ascii="仿宋_GB2312" w:hAnsi="仿宋_GB2312" w:cs="仿宋_GB2312" w:eastAsia="仿宋_GB2312"/>
                <w:u w:val="single"/>
              </w:rPr>
              <w:t xml:space="preserve"> </w:t>
            </w:r>
            <w:r>
              <w:rPr>
                <w:rFonts w:ascii="仿宋_GB2312" w:hAnsi="仿宋_GB2312" w:cs="仿宋_GB2312" w:eastAsia="仿宋_GB2312"/>
                <w:sz w:val="24"/>
                <w:u w:val="single"/>
              </w:rPr>
              <w:t>（</w:t>
            </w:r>
            <w:r>
              <w:rPr>
                <w:rFonts w:ascii="仿宋_GB2312" w:hAnsi="仿宋_GB2312" w:cs="仿宋_GB2312" w:eastAsia="仿宋_GB2312"/>
                <w:sz w:val="24"/>
                <w:b/>
                <w:u w:val="single"/>
              </w:rPr>
              <w:t>固定</w:t>
            </w:r>
            <w:r>
              <w:rPr>
                <w:rFonts w:ascii="仿宋_GB2312" w:hAnsi="仿宋_GB2312" w:cs="仿宋_GB2312" w:eastAsia="仿宋_GB2312"/>
                <w:sz w:val="24"/>
                <w:b/>
                <w:u w:val="single"/>
              </w:rPr>
              <w:t>总价</w:t>
            </w:r>
            <w:r>
              <w:rPr>
                <w:rFonts w:ascii="仿宋_GB2312" w:hAnsi="仿宋_GB2312" w:cs="仿宋_GB2312" w:eastAsia="仿宋_GB2312"/>
                <w:sz w:val="24"/>
                <w:u w:val="single"/>
              </w:rPr>
              <w:t>）</w:t>
            </w:r>
            <w:r>
              <w:rPr>
                <w:rFonts w:ascii="仿宋_GB2312" w:hAnsi="仿宋_GB2312" w:cs="仿宋_GB2312" w:eastAsia="仿宋_GB2312"/>
                <w:u w:val="single"/>
              </w:rPr>
              <w:t xml:space="preserve"> </w:t>
            </w:r>
            <w:r>
              <w:rPr>
                <w:rFonts w:ascii="仿宋_GB2312" w:hAnsi="仿宋_GB2312" w:cs="仿宋_GB2312" w:eastAsia="仿宋_GB2312"/>
                <w:sz w:val="24"/>
              </w:rPr>
              <w:t>方式确定</w:t>
            </w:r>
            <w:r>
              <w:rPr>
                <w:rFonts w:ascii="仿宋_GB2312" w:hAnsi="仿宋_GB2312" w:cs="仿宋_GB2312" w:eastAsia="仿宋_GB2312"/>
                <w:sz w:val="24"/>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竞争性磋商文件第六章6.3.4：“（五）若采用项目包干价的，供应商直接给出其完成本项目全部工作内容所需的总价，不再提供已标价工程量清单（报价格式要求见第六章）。”为系统自动生成内容，无法更改，本项目需要提供已标价工程量清单。 （3）“若供应商的最后报价只有一个总价，则供应商应当提交相应调整部分的报价构成及明细，并结合首次报价提供的已标价工程量清单，重新计算总报价。”为系统自动生成，无法更改，本项目二次报价只需填报项目总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2、提供《基本资格条件承诺函》。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提供《基本资格条件承诺函》。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法定代表人直接参加磋商，须提供法定代表人身份证明）；被授权人参与磋商时，须提供被授权人磋商响应文件递交截止时间前六个月内任意一个月在本单位缴纳的社保证明，依法不需要缴纳社会保障资金的供应商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投标供应商须具备行业主管部门颁发的消防设施工程专业承包二级及以上资质并具有有效的安全生产许可证；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投标供应商拟派项目经理须具备行业主管部门颁发的机电工程专业二级及以上建造师资质及有效的安全生产考核合格证书（建安B证），在本单位注册且无在建工程（提供承诺）；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投标供应商基本信息及项目经理基本信息</w:t>
            </w:r>
          </w:p>
        </w:tc>
        <w:tc>
          <w:tcPr>
            <w:tcW w:type="dxa" w:w="3322"/>
          </w:tcPr>
          <w:p>
            <w:pPr>
              <w:pStyle w:val="null3"/>
            </w:pPr>
            <w:r>
              <w:rPr>
                <w:rFonts w:ascii="仿宋_GB2312" w:hAnsi="仿宋_GB2312" w:cs="仿宋_GB2312" w:eastAsia="仿宋_GB2312"/>
              </w:rPr>
              <w:t>投标供应商基本信息及项目经理基本信息应在“陕西建设网（http://js.shaanxi.gov.cn/ ）或陕西省建筑市场监管与诚信信息发布平台”可查询；</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投标供应商不得在各级诚信信息平台被列为投标受限制的行为人（提供承诺）；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 号) 条件的中小企业参与，并提供中小企业声明函，残疾人福利企业、监狱企业视同中小企业。</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本项目不接受联合体磋商，单位负责人为同一人或者存在直接控股、管理关系的不同供应商，不得参加同一合同项下的采购活动。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技术方案.docx 已标价工程量清单.docx 商务、技术条款偏离表.docx 中小企业声明函 残疾人福利性单位声明函 拒绝政府采购领域商业贿赂承诺书.docx 报价函 标的清单 响应函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技术方案.docx 已标价工程量清单.docx 商务、技术条款偏离表.docx 中小企业声明函 残疾人福利性单位声明函 拒绝政府采购领域商业贿赂承诺书.docx 报价函 标的清单 响应函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商务、技术条款偏离表.docx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商务、技术条款偏离表.docx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商务、技术条款偏离表.docx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缺陷责任期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商务、技术条款偏离表.docx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付款条件及比例</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商务、技术条款偏离表.docx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应符合磋商文件给出的工程量清单范围和数量</w:t>
            </w:r>
          </w:p>
        </w:tc>
        <w:tc>
          <w:tcPr>
            <w:tcW w:type="dxa" w:w="1661"/>
          </w:tcPr>
          <w:p>
            <w:pPr>
              <w:pStyle w:val="null3"/>
            </w:pPr>
            <w:r>
              <w:rPr>
                <w:rFonts w:ascii="仿宋_GB2312" w:hAnsi="仿宋_GB2312" w:cs="仿宋_GB2312" w:eastAsia="仿宋_GB2312"/>
              </w:rPr>
              <w:t>已标价工程量清单.docx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技术方案内容完全满足所有评审标准得6.5分；技术方案内容每有一处缺陷扣0.5分，扣完为止，不计负分；其他或未提供得0分。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技术方案内容完全满足所有评审标准得6.5分；技术方案内容每有一处缺陷扣0.5分，扣完为止，不计负分；其他或未提供得0分。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技术方案内容完全满足所有评审标准得6.5分；技术方案内容每有一处缺陷扣0.5分，扣完为止，不计负分；其他或未提供得0分。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确保文明施工的技术组织措施及保护措施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技术方案内容完全满足所有评审标准得6.5分；技术方案内容每有一处缺陷扣0.5分，扣完为止，不计负分；其他或未提供得0分。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施工总平面布置图</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技术方案内容完全满足所有评审标准得6.5分；技术方案内容每有一处缺陷扣0.5分，扣完为止，不计负分；其他或未提供得0分。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技术方案内容完全满足所有评审标准得6.5分；技术方案内容每有一处缺陷扣0.5分，扣完为止，不计负分；其他或未提供得0分。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技术方案内容完全满足所有评审标准得6.5分；技术方案内容每有一处缺陷扣0.5分，扣完为止，不计负分；其他或未提供得0分。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施工机械配备和材料投入计划包括但不限于新材料、新工艺、绿色建材的使用</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技术方案内容完全满足所有评审标准得6.5分；技术方案内容每有一处缺陷扣0.5分，扣完为止，不计负分；其他或未提供得0分。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技术方案内容完全满足所有评审标准得6.5分；技术方案内容每有一处缺陷扣0.5分，扣完为止，不计负分；其他或未提供得0分。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施工环保、“治污减霾”措施计划</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技术方案内容完全满足所有评审标准得6.5分；技术方案内容每有一处缺陷扣0.5分，扣完为止，不计负分；其他或未提供得0分。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投标供应商提供2022年11月1日至今（以合同签订日期为准）类似项目业绩（以合同复印件或扫描件加盖公章为准）每个有效业绩得1分，满分共计5分。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经资格审查、符合性审查合格的磋商响应文件，其最后磋商报价为有效磋商报价，满足磋商文件要求且磋商价格最低的最后磋商报价为评标基准价,其价格分为满分。价格分按照下列公式计算。磋商报价得分=（评标基准价/最后磋商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详见附件：商务、技术条款偏离表.docx</w:t>
      </w:r>
    </w:p>
    <w:p>
      <w:pPr>
        <w:pStyle w:val="null3"/>
        <w:ind w:firstLine="960"/>
      </w:pPr>
      <w:r>
        <w:rPr>
          <w:rFonts w:ascii="仿宋_GB2312" w:hAnsi="仿宋_GB2312" w:cs="仿宋_GB2312" w:eastAsia="仿宋_GB2312"/>
        </w:rPr>
        <w:t>详见附件：已标价工程量清单.docx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