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版本号：SXHC2025-31320251124002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民警健康体检项目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SXHC2025-313</w:t>
      </w:r>
      <w:r>
        <w:br/>
      </w:r>
      <w:r>
        <w:br/>
      </w:r>
      <w:r>
        <w:br/>
      </w:r>
    </w:p>
    <w:p>
      <w:pPr>
        <w:pStyle w:val="null3"/>
        <w:jc w:val="center"/>
        <w:outlineLvl w:val="2"/>
      </w:pPr>
      <w:r>
        <w:rPr>
          <w:rFonts w:ascii="仿宋_GB2312" w:hAnsi="仿宋_GB2312" w:cs="仿宋_GB2312" w:eastAsia="仿宋_GB2312"/>
          <w:sz w:val="28"/>
          <w:b/>
        </w:rPr>
        <w:t>西安市公安局高新技术产业开发区分局</w:t>
      </w:r>
    </w:p>
    <w:p>
      <w:pPr>
        <w:pStyle w:val="null3"/>
        <w:jc w:val="center"/>
        <w:outlineLvl w:val="2"/>
      </w:pPr>
      <w:r>
        <w:rPr>
          <w:rFonts w:ascii="仿宋_GB2312" w:hAnsi="仿宋_GB2312" w:cs="仿宋_GB2312" w:eastAsia="仿宋_GB2312"/>
          <w:sz w:val="28"/>
          <w:b/>
        </w:rPr>
        <w:t>陕西华采招标有限公司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2025年11月24日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陕西华采招标有限公司</w:t>
      </w:r>
      <w:r>
        <w:rPr>
          <w:rFonts w:ascii="仿宋_GB2312" w:hAnsi="仿宋_GB2312" w:cs="仿宋_GB2312" w:eastAsia="仿宋_GB2312"/>
        </w:rPr>
        <w:t>（以下简称“代理机构”）受</w:t>
      </w:r>
      <w:r>
        <w:rPr>
          <w:rFonts w:ascii="仿宋_GB2312" w:hAnsi="仿宋_GB2312" w:cs="仿宋_GB2312" w:eastAsia="仿宋_GB2312"/>
        </w:rPr>
        <w:t>西安市公安局高新技术产业开发区分局</w:t>
      </w:r>
      <w:r>
        <w:rPr>
          <w:rFonts w:ascii="仿宋_GB2312" w:hAnsi="仿宋_GB2312" w:cs="仿宋_GB2312" w:eastAsia="仿宋_GB2312"/>
        </w:rPr>
        <w:t>委托，拟对</w:t>
      </w:r>
      <w:r>
        <w:rPr>
          <w:rFonts w:ascii="仿宋_GB2312" w:hAnsi="仿宋_GB2312" w:cs="仿宋_GB2312" w:eastAsia="仿宋_GB2312"/>
        </w:rPr>
        <w:t>民警健康体检项目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SXHC2025-313</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民警健康体检项目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为西安市公安局高新技术产业开发区分局在职在编民警及工勤提供优质高效的体检服务。</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1、具有独立承担民事责任能力：企业法人应提供合法有效的标识有统一社会信用代码的营业执照；事业法人应提供事业单位法人证书；其他组织应提供合法登记证明文件,自然人提供身份证。</w:t>
      </w:r>
    </w:p>
    <w:p>
      <w:pPr>
        <w:pStyle w:val="null3"/>
      </w:pPr>
      <w:r>
        <w:rPr>
          <w:rFonts w:ascii="仿宋_GB2312" w:hAnsi="仿宋_GB2312" w:cs="仿宋_GB2312" w:eastAsia="仿宋_GB2312"/>
        </w:rPr>
        <w:t>2、企业资质：供应商具备有效的卫生行政部门核准登记取得的《医疗机构执业许可证》和《放射诊疗许可证》。</w:t>
      </w:r>
    </w:p>
    <w:p>
      <w:pPr>
        <w:pStyle w:val="null3"/>
      </w:pPr>
      <w:r>
        <w:rPr>
          <w:rFonts w:ascii="仿宋_GB2312" w:hAnsi="仿宋_GB2312" w:cs="仿宋_GB2312" w:eastAsia="仿宋_GB2312"/>
        </w:rPr>
        <w:t>3、法定代表人身份证明或法定代表人授权委托书：法定代表人直接参加投标的，须提供法定代表人身份证明；法定代表人授权代表参加投标的，须提供法定代表人授权委托书。</w:t>
      </w:r>
    </w:p>
    <w:p>
      <w:pPr>
        <w:pStyle w:val="null3"/>
      </w:pPr>
      <w:r>
        <w:rPr>
          <w:rFonts w:ascii="仿宋_GB2312" w:hAnsi="仿宋_GB2312" w:cs="仿宋_GB2312" w:eastAsia="仿宋_GB2312"/>
        </w:rPr>
        <w:t>4、信誉要求：供应商未列入“失信被执行人”、“重大税收违法案件当事人名单”和“政府采购严重违法失信行为记录名单”。</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西安市公安局高新技术产业开发区分局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西安市高新区丈八六路金盾大厦</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徐警官</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029-86753939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陕西华采招标有限公司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西安高新区锦业路1号绿地领海大厦B座10楼1006室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孙立博、张聪聪</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029-68255920-807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西安高新技术产业开发区财政金融局综合监督部</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胥工</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029-88333950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采购包1：872,100.00元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代理服务费收费标准：1、招标代理服务费的计算方法：以预算金额为基数，参考《国家计委关于印发&lt;招标代理服务收费管理暂行办法&gt;的通知》（计价格〔2002〕1980号）及《国家发改委关于降低 部分建设项目收费标准规范收费行为等有关问题的通知》（发改价格〔2011〕534号） 规定按标准收取，若按照标准收取不足6000元，按6000元计取。 2、招标代理服务费可以采取现金、支票、银行汇票、电汇、网银等方式缴纳。 3、招标代理服务费缴纳信息： 银行户名：陕西华采招标有限公司 开户银行：招商银行陕西自贸试验区西安高新科技支行 账 号：1299 0594 2210 666 联 系人：韩工 联系电话：029-68255920转802</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西安市公安局高新技术产业开发区分局</w:t>
      </w:r>
      <w:r>
        <w:rPr>
          <w:rFonts w:ascii="仿宋_GB2312" w:hAnsi="仿宋_GB2312" w:cs="仿宋_GB2312" w:eastAsia="仿宋_GB2312"/>
        </w:rPr>
        <w:t>和</w:t>
      </w:r>
      <w:r>
        <w:rPr>
          <w:rFonts w:ascii="仿宋_GB2312" w:hAnsi="仿宋_GB2312" w:cs="仿宋_GB2312" w:eastAsia="仿宋_GB2312"/>
        </w:rPr>
        <w:t>陕西华采招标有限公司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西安市公安局高新技术产业开发区分局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陕西华采招标有限公司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西安市公安局高新技术产业开发区分局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陕西华采招标有限公司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按照磋商文件及采购合同约定执行。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陕西华采招标有限公司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陕西华采招标有限公司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陕西华采招标有限公司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联系人：党娜</w:t>
      </w:r>
    </w:p>
    <w:p>
      <w:pPr>
        <w:pStyle w:val="null3"/>
      </w:pPr>
      <w:r>
        <w:rPr>
          <w:rFonts w:ascii="仿宋_GB2312" w:hAnsi="仿宋_GB2312" w:cs="仿宋_GB2312" w:eastAsia="仿宋_GB2312"/>
        </w:rPr>
        <w:t>联系电话：029-68255920-807</w:t>
      </w:r>
    </w:p>
    <w:p>
      <w:pPr>
        <w:pStyle w:val="null3"/>
      </w:pPr>
      <w:r>
        <w:rPr>
          <w:rFonts w:ascii="仿宋_GB2312" w:hAnsi="仿宋_GB2312" w:cs="仿宋_GB2312" w:eastAsia="仿宋_GB2312"/>
        </w:rPr>
        <w:t>地址：西安高新区锦业路1号绿地领海大厦B座10楼1006室</w:t>
      </w:r>
    </w:p>
    <w:p>
      <w:pPr>
        <w:pStyle w:val="null3"/>
      </w:pPr>
      <w:r>
        <w:rPr>
          <w:rFonts w:ascii="仿宋_GB2312" w:hAnsi="仿宋_GB2312" w:cs="仿宋_GB2312" w:eastAsia="仿宋_GB2312"/>
        </w:rPr>
        <w:t>邮编：710076</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为西安市公安局高新技术产业开发区分局在职在编民警及工勤提供优质高效的体检服务。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872,100.00</w:t>
      </w:r>
    </w:p>
    <w:p>
      <w:pPr>
        <w:pStyle w:val="null3"/>
      </w:pPr>
      <w:r>
        <w:rPr>
          <w:rFonts w:ascii="仿宋_GB2312" w:hAnsi="仿宋_GB2312" w:cs="仿宋_GB2312" w:eastAsia="仿宋_GB2312"/>
        </w:rPr>
        <w:t>采购包最高限价（元）: 872,100.00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民警健康体检服务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872,100.00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标的名称：民警健康体检服务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562"/>
              <w:jc w:val="left"/>
            </w:pPr>
            <w:r>
              <w:rPr>
                <w:rFonts w:ascii="仿宋_GB2312" w:hAnsi="仿宋_GB2312" w:cs="仿宋_GB2312" w:eastAsia="仿宋_GB2312"/>
                <w:sz w:val="28"/>
                <w:b/>
                <w:color w:val="000000"/>
              </w:rPr>
              <w:t>一、采购内容</w:t>
            </w:r>
          </w:p>
          <w:p>
            <w:pPr>
              <w:pStyle w:val="null3"/>
              <w:ind w:firstLine="560"/>
              <w:jc w:val="left"/>
            </w:pPr>
            <w:r>
              <w:rPr>
                <w:rFonts w:ascii="仿宋_GB2312" w:hAnsi="仿宋_GB2312" w:cs="仿宋_GB2312" w:eastAsia="仿宋_GB2312"/>
                <w:sz w:val="28"/>
                <w:color w:val="000000"/>
              </w:rPr>
              <w:t>为西安市公安局高新技术产业开发区分局在职在编民警及工勤提供优质高效的体检服务，预估参加体检人数</w:t>
            </w:r>
            <w:r>
              <w:rPr>
                <w:rFonts w:ascii="仿宋_GB2312" w:hAnsi="仿宋_GB2312" w:cs="仿宋_GB2312" w:eastAsia="仿宋_GB2312"/>
                <w:sz w:val="28"/>
                <w:color w:val="000000"/>
              </w:rPr>
              <w:t>969人，其中男性797人，女性172人，具体体检人数以最终参加体检人数为准。</w:t>
            </w:r>
          </w:p>
          <w:p>
            <w:pPr>
              <w:pStyle w:val="null3"/>
              <w:ind w:firstLine="562"/>
              <w:jc w:val="left"/>
            </w:pPr>
            <w:r>
              <w:rPr>
                <w:rFonts w:ascii="仿宋_GB2312" w:hAnsi="仿宋_GB2312" w:cs="仿宋_GB2312" w:eastAsia="仿宋_GB2312"/>
                <w:sz w:val="28"/>
                <w:b/>
                <w:color w:val="000000"/>
              </w:rPr>
              <w:t>二、总体要求</w:t>
            </w:r>
          </w:p>
          <w:p>
            <w:pPr>
              <w:pStyle w:val="null3"/>
              <w:ind w:firstLine="560"/>
              <w:jc w:val="left"/>
            </w:pPr>
            <w:r>
              <w:rPr>
                <w:rFonts w:ascii="仿宋_GB2312" w:hAnsi="仿宋_GB2312" w:cs="仿宋_GB2312" w:eastAsia="仿宋_GB2312"/>
                <w:sz w:val="28"/>
                <w:color w:val="000000"/>
              </w:rPr>
              <w:t>供应商有开展体检服务的场所、设备，并有能力按照采购人的要求完成本次体检服务。违反对应要求的，应承担相应的损失。</w:t>
            </w:r>
          </w:p>
          <w:p>
            <w:pPr>
              <w:pStyle w:val="null3"/>
              <w:ind w:firstLine="562"/>
              <w:jc w:val="left"/>
            </w:pPr>
            <w:r>
              <w:rPr>
                <w:rFonts w:ascii="仿宋_GB2312" w:hAnsi="仿宋_GB2312" w:cs="仿宋_GB2312" w:eastAsia="仿宋_GB2312"/>
                <w:sz w:val="28"/>
                <w:b/>
                <w:color w:val="000000"/>
              </w:rPr>
              <w:t>（一）基本要求</w:t>
            </w:r>
          </w:p>
          <w:p>
            <w:pPr>
              <w:pStyle w:val="null3"/>
              <w:ind w:firstLine="560"/>
              <w:jc w:val="left"/>
            </w:pPr>
            <w:r>
              <w:rPr>
                <w:rFonts w:ascii="仿宋_GB2312" w:hAnsi="仿宋_GB2312" w:cs="仿宋_GB2312" w:eastAsia="仿宋_GB2312"/>
                <w:sz w:val="28"/>
                <w:color w:val="000000"/>
              </w:rPr>
              <w:t>1.场所要求</w:t>
            </w:r>
          </w:p>
          <w:p>
            <w:pPr>
              <w:pStyle w:val="null3"/>
              <w:ind w:firstLine="560"/>
              <w:jc w:val="left"/>
            </w:pPr>
            <w:r>
              <w:rPr>
                <w:rFonts w:ascii="仿宋_GB2312" w:hAnsi="仿宋_GB2312" w:cs="仿宋_GB2312" w:eastAsia="仿宋_GB2312"/>
                <w:sz w:val="28"/>
                <w:color w:val="000000"/>
              </w:rPr>
              <w:t>有独立的体检场所，有接待团队体检的能力。</w:t>
            </w:r>
          </w:p>
          <w:p>
            <w:pPr>
              <w:pStyle w:val="null3"/>
              <w:ind w:firstLine="560"/>
              <w:jc w:val="left"/>
            </w:pPr>
            <w:r>
              <w:rPr>
                <w:rFonts w:ascii="仿宋_GB2312" w:hAnsi="仿宋_GB2312" w:cs="仿宋_GB2312" w:eastAsia="仿宋_GB2312"/>
                <w:sz w:val="28"/>
                <w:color w:val="000000"/>
              </w:rPr>
              <w:t>2.设备要求</w:t>
            </w:r>
          </w:p>
          <w:p>
            <w:pPr>
              <w:pStyle w:val="null3"/>
              <w:ind w:firstLine="560"/>
              <w:jc w:val="left"/>
            </w:pPr>
            <w:r>
              <w:rPr>
                <w:rFonts w:ascii="仿宋_GB2312" w:hAnsi="仿宋_GB2312" w:cs="仿宋_GB2312" w:eastAsia="仿宋_GB2312"/>
                <w:sz w:val="28"/>
                <w:color w:val="000000"/>
              </w:rPr>
              <w:t>（</w:t>
            </w:r>
            <w:r>
              <w:rPr>
                <w:rFonts w:ascii="仿宋_GB2312" w:hAnsi="仿宋_GB2312" w:cs="仿宋_GB2312" w:eastAsia="仿宋_GB2312"/>
                <w:sz w:val="28"/>
                <w:color w:val="000000"/>
              </w:rPr>
              <w:t>1）供应商应具备能够覆盖全部体检项目和需求的各类仪器设备。</w:t>
            </w:r>
          </w:p>
          <w:p>
            <w:pPr>
              <w:pStyle w:val="null3"/>
              <w:ind w:firstLine="560"/>
              <w:jc w:val="left"/>
            </w:pPr>
            <w:r>
              <w:rPr>
                <w:rFonts w:ascii="仿宋_GB2312" w:hAnsi="仿宋_GB2312" w:cs="仿宋_GB2312" w:eastAsia="仿宋_GB2312"/>
                <w:sz w:val="28"/>
                <w:color w:val="000000"/>
              </w:rPr>
              <w:t>（</w:t>
            </w:r>
            <w:r>
              <w:rPr>
                <w:rFonts w:ascii="仿宋_GB2312" w:hAnsi="仿宋_GB2312" w:cs="仿宋_GB2312" w:eastAsia="仿宋_GB2312"/>
                <w:sz w:val="28"/>
                <w:color w:val="000000"/>
              </w:rPr>
              <w:t>2）提供拟投入本项目的CT机、彩色超声仪器的相关信息及证明材料，包括但不限于拟投入仪器的品牌、型号、机器照片等，CT 机和心电图仪需要定期校正维护并提供校正及维护记录。</w:t>
            </w:r>
          </w:p>
          <w:p>
            <w:pPr>
              <w:pStyle w:val="null3"/>
              <w:ind w:firstLine="560"/>
              <w:jc w:val="left"/>
            </w:pPr>
            <w:r>
              <w:rPr>
                <w:rFonts w:ascii="仿宋_GB2312" w:hAnsi="仿宋_GB2312" w:cs="仿宋_GB2312" w:eastAsia="仿宋_GB2312"/>
                <w:sz w:val="28"/>
                <w:color w:val="000000"/>
              </w:rPr>
              <w:t>（</w:t>
            </w:r>
            <w:r>
              <w:rPr>
                <w:rFonts w:ascii="仿宋_GB2312" w:hAnsi="仿宋_GB2312" w:cs="仿宋_GB2312" w:eastAsia="仿宋_GB2312"/>
                <w:sz w:val="28"/>
                <w:color w:val="000000"/>
              </w:rPr>
              <w:t>3）体检样本运送过程及设备要符合国家规定标准，以保证体检结果的准确性。</w:t>
            </w:r>
          </w:p>
          <w:p>
            <w:pPr>
              <w:pStyle w:val="null3"/>
              <w:ind w:firstLine="560"/>
              <w:jc w:val="left"/>
            </w:pPr>
            <w:r>
              <w:rPr>
                <w:rFonts w:ascii="仿宋_GB2312" w:hAnsi="仿宋_GB2312" w:cs="仿宋_GB2312" w:eastAsia="仿宋_GB2312"/>
                <w:sz w:val="28"/>
                <w:color w:val="000000"/>
              </w:rPr>
              <w:t>（</w:t>
            </w:r>
            <w:r>
              <w:rPr>
                <w:rFonts w:ascii="仿宋_GB2312" w:hAnsi="仿宋_GB2312" w:cs="仿宋_GB2312" w:eastAsia="仿宋_GB2312"/>
                <w:sz w:val="28"/>
                <w:color w:val="000000"/>
              </w:rPr>
              <w:t>4）医疗器械、消耗品的购置和使用符合国家相关规定。</w:t>
            </w:r>
          </w:p>
          <w:p>
            <w:pPr>
              <w:pStyle w:val="null3"/>
              <w:ind w:firstLine="562"/>
              <w:jc w:val="left"/>
            </w:pPr>
            <w:r>
              <w:rPr>
                <w:rFonts w:ascii="仿宋_GB2312" w:hAnsi="仿宋_GB2312" w:cs="仿宋_GB2312" w:eastAsia="仿宋_GB2312"/>
                <w:sz w:val="28"/>
                <w:b/>
                <w:color w:val="000000"/>
              </w:rPr>
              <w:t>（二）体检流程</w:t>
            </w:r>
          </w:p>
          <w:p>
            <w:pPr>
              <w:pStyle w:val="null3"/>
              <w:ind w:firstLine="560"/>
              <w:jc w:val="left"/>
            </w:pPr>
            <w:r>
              <w:rPr>
                <w:rFonts w:ascii="仿宋_GB2312" w:hAnsi="仿宋_GB2312" w:cs="仿宋_GB2312" w:eastAsia="仿宋_GB2312"/>
                <w:sz w:val="28"/>
                <w:color w:val="000000"/>
              </w:rPr>
              <w:t xml:space="preserve"> </w:t>
            </w:r>
            <w:r>
              <w:rPr>
                <w:rFonts w:ascii="仿宋_GB2312" w:hAnsi="仿宋_GB2312" w:cs="仿宋_GB2312" w:eastAsia="仿宋_GB2312"/>
                <w:sz w:val="28"/>
                <w:color w:val="000000"/>
              </w:rPr>
              <w:t>1.体检开始前需确定的事项及准备工作</w:t>
            </w:r>
          </w:p>
          <w:p>
            <w:pPr>
              <w:pStyle w:val="null3"/>
              <w:ind w:firstLine="560"/>
              <w:jc w:val="left"/>
            </w:pPr>
            <w:r>
              <w:rPr>
                <w:rFonts w:ascii="仿宋_GB2312" w:hAnsi="仿宋_GB2312" w:cs="仿宋_GB2312" w:eastAsia="仿宋_GB2312"/>
                <w:sz w:val="28"/>
                <w:color w:val="000000"/>
              </w:rPr>
              <w:t xml:space="preserve"> </w:t>
            </w:r>
            <w:r>
              <w:rPr>
                <w:rFonts w:ascii="仿宋_GB2312" w:hAnsi="仿宋_GB2312" w:cs="仿宋_GB2312" w:eastAsia="仿宋_GB2312"/>
                <w:sz w:val="28"/>
                <w:color w:val="000000"/>
              </w:rPr>
              <w:t>供应商按照采购人提供的人员名单提前建立体检职工信息库并派出专门人员在采购人与供应商确定体检时间后与采购人对接体检工作。在体检场所范围内须有清晰准确的体检引导标志牌及体检导诊员。</w:t>
            </w:r>
          </w:p>
          <w:p>
            <w:pPr>
              <w:pStyle w:val="null3"/>
              <w:ind w:firstLine="560"/>
              <w:jc w:val="left"/>
            </w:pPr>
            <w:r>
              <w:rPr>
                <w:rFonts w:ascii="仿宋_GB2312" w:hAnsi="仿宋_GB2312" w:cs="仿宋_GB2312" w:eastAsia="仿宋_GB2312"/>
                <w:sz w:val="28"/>
                <w:color w:val="000000"/>
              </w:rPr>
              <w:t xml:space="preserve"> </w:t>
            </w:r>
            <w:r>
              <w:rPr>
                <w:rFonts w:ascii="仿宋_GB2312" w:hAnsi="仿宋_GB2312" w:cs="仿宋_GB2312" w:eastAsia="仿宋_GB2312"/>
                <w:sz w:val="28"/>
                <w:color w:val="000000"/>
              </w:rPr>
              <w:t>2.体检中的要求</w:t>
            </w:r>
          </w:p>
          <w:p>
            <w:pPr>
              <w:pStyle w:val="null3"/>
              <w:ind w:firstLine="560"/>
              <w:jc w:val="left"/>
            </w:pPr>
            <w:r>
              <w:rPr>
                <w:rFonts w:ascii="仿宋_GB2312" w:hAnsi="仿宋_GB2312" w:cs="仿宋_GB2312" w:eastAsia="仿宋_GB2312"/>
                <w:sz w:val="28"/>
                <w:color w:val="000000"/>
              </w:rPr>
              <w:t>（</w:t>
            </w:r>
            <w:r>
              <w:rPr>
                <w:rFonts w:ascii="仿宋_GB2312" w:hAnsi="仿宋_GB2312" w:cs="仿宋_GB2312" w:eastAsia="仿宋_GB2312"/>
                <w:sz w:val="28"/>
                <w:color w:val="000000"/>
              </w:rPr>
              <w:t>1）供应商提供包含但不限于前台专人接待、 体检人员身份登记、 合理分流指导受检、现场医学健康咨询、隐私保护、现场急救等服务。</w:t>
            </w:r>
          </w:p>
          <w:p>
            <w:pPr>
              <w:pStyle w:val="null3"/>
              <w:ind w:firstLine="560"/>
              <w:jc w:val="left"/>
            </w:pPr>
            <w:r>
              <w:rPr>
                <w:rFonts w:ascii="仿宋_GB2312" w:hAnsi="仿宋_GB2312" w:cs="仿宋_GB2312" w:eastAsia="仿宋_GB2312"/>
                <w:sz w:val="28"/>
                <w:color w:val="000000"/>
              </w:rPr>
              <w:t>（</w:t>
            </w:r>
            <w:r>
              <w:rPr>
                <w:rFonts w:ascii="仿宋_GB2312" w:hAnsi="仿宋_GB2312" w:cs="仿宋_GB2312" w:eastAsia="仿宋_GB2312"/>
                <w:sz w:val="28"/>
                <w:color w:val="000000"/>
              </w:rPr>
              <w:t>2）供应商根据采购人提供的体检人员名单，验证体检人员有效身份证件后方可开始体检。</w:t>
            </w:r>
          </w:p>
          <w:p>
            <w:pPr>
              <w:pStyle w:val="null3"/>
              <w:ind w:firstLine="560"/>
              <w:jc w:val="left"/>
            </w:pPr>
            <w:r>
              <w:rPr>
                <w:rFonts w:ascii="仿宋_GB2312" w:hAnsi="仿宋_GB2312" w:cs="仿宋_GB2312" w:eastAsia="仿宋_GB2312"/>
                <w:sz w:val="28"/>
                <w:color w:val="000000"/>
              </w:rPr>
              <w:t>（</w:t>
            </w:r>
            <w:r>
              <w:rPr>
                <w:rFonts w:ascii="仿宋_GB2312" w:hAnsi="仿宋_GB2312" w:cs="仿宋_GB2312" w:eastAsia="仿宋_GB2312"/>
                <w:sz w:val="28"/>
                <w:color w:val="000000"/>
              </w:rPr>
              <w:t>3）供应商需具有数据化平台服务，体检预约、体检流程及体检报告查询方便快捷，能够为候检人提供咨询服务，体检中能够保护被检者隐私，未获得体检人同意不得将其信息及体检相关情况泄露给第三人。</w:t>
            </w:r>
          </w:p>
          <w:p>
            <w:pPr>
              <w:pStyle w:val="null3"/>
              <w:ind w:firstLine="560"/>
              <w:jc w:val="left"/>
            </w:pPr>
            <w:r>
              <w:rPr>
                <w:rFonts w:ascii="仿宋_GB2312" w:hAnsi="仿宋_GB2312" w:cs="仿宋_GB2312" w:eastAsia="仿宋_GB2312"/>
                <w:sz w:val="28"/>
                <w:color w:val="000000"/>
              </w:rPr>
              <w:t>（</w:t>
            </w:r>
            <w:r>
              <w:rPr>
                <w:rFonts w:ascii="仿宋_GB2312" w:hAnsi="仿宋_GB2312" w:cs="仿宋_GB2312" w:eastAsia="仿宋_GB2312"/>
                <w:sz w:val="28"/>
                <w:color w:val="000000"/>
              </w:rPr>
              <w:t>4）供应商反馈的个人体检结果应包括个人体检报告、异常指标汇总、化验检查结果、所查出可疑疾病的初步诊断及进一步检查、治疗、预防和日常保健的科学建议。</w:t>
            </w:r>
          </w:p>
          <w:p>
            <w:pPr>
              <w:pStyle w:val="null3"/>
              <w:ind w:firstLine="560"/>
              <w:jc w:val="left"/>
            </w:pPr>
            <w:r>
              <w:rPr>
                <w:rFonts w:ascii="仿宋_GB2312" w:hAnsi="仿宋_GB2312" w:cs="仿宋_GB2312" w:eastAsia="仿宋_GB2312"/>
                <w:sz w:val="28"/>
                <w:color w:val="000000"/>
              </w:rPr>
              <w:t>（</w:t>
            </w:r>
            <w:r>
              <w:rPr>
                <w:rFonts w:ascii="仿宋_GB2312" w:hAnsi="仿宋_GB2312" w:cs="仿宋_GB2312" w:eastAsia="仿宋_GB2312"/>
                <w:sz w:val="28"/>
                <w:color w:val="000000"/>
              </w:rPr>
              <w:t>5）供应商负责体检秩序维护，有规范的体检服务流程、应急预案和人员引导，设有体检流程图、体检注意事项，按照要求的时间地点准时进行体检，保证体检人员及时、安全的完成体检。遇有排队人多时，供应商应及时调整医务人员工作分配，疏导拥挤队伍，避免检查人员过度拥挤、等候时间过长等情况。体检时应该注意保障采购人职工的隐私和人身及财物安全，并及时与采购人沟通情况。</w:t>
            </w:r>
          </w:p>
          <w:p>
            <w:pPr>
              <w:pStyle w:val="null3"/>
              <w:ind w:firstLine="560"/>
              <w:jc w:val="left"/>
            </w:pPr>
            <w:r>
              <w:rPr>
                <w:rFonts w:ascii="仿宋_GB2312" w:hAnsi="仿宋_GB2312" w:cs="仿宋_GB2312" w:eastAsia="仿宋_GB2312"/>
                <w:sz w:val="28"/>
                <w:color w:val="000000"/>
              </w:rPr>
              <w:t>（</w:t>
            </w:r>
            <w:r>
              <w:rPr>
                <w:rFonts w:ascii="仿宋_GB2312" w:hAnsi="仿宋_GB2312" w:cs="仿宋_GB2312" w:eastAsia="仿宋_GB2312"/>
                <w:sz w:val="28"/>
                <w:color w:val="000000"/>
              </w:rPr>
              <w:t>6）在体检过程中，个人完成餐前项目后，随时可以到体检中心指定地点领取一份营养早餐，供应商所提供的营养早餐需符合食品卫生安全要求。</w:t>
            </w:r>
          </w:p>
          <w:p>
            <w:pPr>
              <w:pStyle w:val="null3"/>
              <w:ind w:firstLine="560"/>
              <w:jc w:val="left"/>
            </w:pPr>
            <w:r>
              <w:rPr>
                <w:rFonts w:ascii="仿宋_GB2312" w:hAnsi="仿宋_GB2312" w:cs="仿宋_GB2312" w:eastAsia="仿宋_GB2312"/>
                <w:sz w:val="28"/>
                <w:color w:val="000000"/>
              </w:rPr>
              <w:t>（</w:t>
            </w:r>
            <w:r>
              <w:rPr>
                <w:rFonts w:ascii="仿宋_GB2312" w:hAnsi="仿宋_GB2312" w:cs="仿宋_GB2312" w:eastAsia="仿宋_GB2312"/>
                <w:sz w:val="28"/>
                <w:color w:val="000000"/>
              </w:rPr>
              <w:t>7）影像质量管理：</w:t>
            </w:r>
          </w:p>
          <w:p>
            <w:pPr>
              <w:pStyle w:val="null3"/>
              <w:ind w:firstLine="560"/>
              <w:jc w:val="left"/>
            </w:pPr>
            <w:r>
              <w:rPr>
                <w:rFonts w:ascii="仿宋_GB2312" w:hAnsi="仿宋_GB2312" w:cs="仿宋_GB2312" w:eastAsia="仿宋_GB2312"/>
                <w:sz w:val="28"/>
                <w:color w:val="000000"/>
              </w:rPr>
              <w:t xml:space="preserve"> </w:t>
            </w:r>
            <w:r>
              <w:rPr>
                <w:rFonts w:ascii="仿宋_GB2312" w:hAnsi="仿宋_GB2312" w:cs="仿宋_GB2312" w:eastAsia="仿宋_GB2312"/>
                <w:sz w:val="28"/>
                <w:color w:val="000000"/>
              </w:rPr>
              <w:t>①放射科相关资质符合要求；</w:t>
            </w:r>
          </w:p>
          <w:p>
            <w:pPr>
              <w:pStyle w:val="null3"/>
              <w:ind w:firstLine="560"/>
              <w:jc w:val="left"/>
            </w:pPr>
            <w:r>
              <w:rPr>
                <w:rFonts w:ascii="仿宋_GB2312" w:hAnsi="仿宋_GB2312" w:cs="仿宋_GB2312" w:eastAsia="仿宋_GB2312"/>
                <w:sz w:val="28"/>
                <w:color w:val="000000"/>
              </w:rPr>
              <w:t xml:space="preserve"> </w:t>
            </w:r>
            <w:r>
              <w:rPr>
                <w:rFonts w:ascii="仿宋_GB2312" w:hAnsi="仿宋_GB2312" w:cs="仿宋_GB2312" w:eastAsia="仿宋_GB2312"/>
                <w:sz w:val="28"/>
                <w:color w:val="000000"/>
              </w:rPr>
              <w:t>②医学影像诊断报告符合行业规范。</w:t>
            </w:r>
          </w:p>
          <w:p>
            <w:pPr>
              <w:pStyle w:val="null3"/>
              <w:ind w:firstLine="560"/>
              <w:jc w:val="left"/>
            </w:pPr>
            <w:r>
              <w:rPr>
                <w:rFonts w:ascii="仿宋_GB2312" w:hAnsi="仿宋_GB2312" w:cs="仿宋_GB2312" w:eastAsia="仿宋_GB2312"/>
                <w:sz w:val="28"/>
                <w:color w:val="000000"/>
              </w:rPr>
              <w:t>（</w:t>
            </w:r>
            <w:r>
              <w:rPr>
                <w:rFonts w:ascii="仿宋_GB2312" w:hAnsi="仿宋_GB2312" w:cs="仿宋_GB2312" w:eastAsia="仿宋_GB2312"/>
                <w:sz w:val="28"/>
                <w:color w:val="000000"/>
              </w:rPr>
              <w:t>8）医疗耗材</w:t>
            </w:r>
          </w:p>
          <w:p>
            <w:pPr>
              <w:pStyle w:val="null3"/>
              <w:ind w:firstLine="560"/>
              <w:jc w:val="left"/>
            </w:pPr>
            <w:r>
              <w:rPr>
                <w:rFonts w:ascii="仿宋_GB2312" w:hAnsi="仿宋_GB2312" w:cs="仿宋_GB2312" w:eastAsia="仿宋_GB2312"/>
                <w:sz w:val="28"/>
                <w:color w:val="000000"/>
              </w:rPr>
              <w:t xml:space="preserve"> </w:t>
            </w:r>
            <w:r>
              <w:rPr>
                <w:rFonts w:ascii="仿宋_GB2312" w:hAnsi="仿宋_GB2312" w:cs="仿宋_GB2312" w:eastAsia="仿宋_GB2312"/>
                <w:sz w:val="28"/>
                <w:color w:val="000000"/>
              </w:rPr>
              <w:t>包括采血针、手套、妇科窥器、检查垫等与被体检人有直接身体接触的医疗耗材均为一次性使用，严禁重复使用。</w:t>
            </w:r>
          </w:p>
          <w:p>
            <w:pPr>
              <w:pStyle w:val="null3"/>
              <w:ind w:firstLine="560"/>
              <w:jc w:val="left"/>
            </w:pPr>
            <w:r>
              <w:rPr>
                <w:rFonts w:ascii="仿宋_GB2312" w:hAnsi="仿宋_GB2312" w:cs="仿宋_GB2312" w:eastAsia="仿宋_GB2312"/>
                <w:sz w:val="28"/>
                <w:color w:val="000000"/>
              </w:rPr>
              <w:t xml:space="preserve"> </w:t>
            </w:r>
            <w:r>
              <w:rPr>
                <w:rFonts w:ascii="仿宋_GB2312" w:hAnsi="仿宋_GB2312" w:cs="仿宋_GB2312" w:eastAsia="仿宋_GB2312"/>
                <w:sz w:val="28"/>
                <w:color w:val="000000"/>
              </w:rPr>
              <w:t>3.体检结果的报送及检后服务</w:t>
            </w:r>
          </w:p>
          <w:p>
            <w:pPr>
              <w:pStyle w:val="null3"/>
              <w:ind w:firstLine="560"/>
              <w:jc w:val="left"/>
            </w:pPr>
            <w:r>
              <w:rPr>
                <w:rFonts w:ascii="仿宋_GB2312" w:hAnsi="仿宋_GB2312" w:cs="仿宋_GB2312" w:eastAsia="仿宋_GB2312"/>
                <w:sz w:val="28"/>
                <w:color w:val="000000"/>
              </w:rPr>
              <w:t>（</w:t>
            </w:r>
            <w:r>
              <w:rPr>
                <w:rFonts w:ascii="仿宋_GB2312" w:hAnsi="仿宋_GB2312" w:cs="仿宋_GB2312" w:eastAsia="仿宋_GB2312"/>
                <w:sz w:val="28"/>
                <w:color w:val="000000"/>
              </w:rPr>
              <w:t>1）供应商在职工体检结束后 15 个工作日内出具检查报告并加盖供应商公章，将检验报告交给采购人指定部门；检验报告应包括每位体检人员的个人体检报告、异常指标汇总、化验检查结果、所查出可疑疾病的初步诊断及进一步检查、治疗、预防和日常保健的科学建议，对检查出严重问题人员给予单独提醒与建议服务。</w:t>
            </w:r>
          </w:p>
          <w:p>
            <w:pPr>
              <w:pStyle w:val="null3"/>
              <w:ind w:firstLine="560"/>
              <w:jc w:val="left"/>
            </w:pPr>
            <w:r>
              <w:rPr>
                <w:rFonts w:ascii="仿宋_GB2312" w:hAnsi="仿宋_GB2312" w:cs="仿宋_GB2312" w:eastAsia="仿宋_GB2312"/>
                <w:sz w:val="28"/>
                <w:color w:val="000000"/>
              </w:rPr>
              <w:t>（</w:t>
            </w:r>
            <w:r>
              <w:rPr>
                <w:rFonts w:ascii="仿宋_GB2312" w:hAnsi="仿宋_GB2312" w:cs="仿宋_GB2312" w:eastAsia="仿宋_GB2312"/>
                <w:sz w:val="28"/>
                <w:color w:val="000000"/>
              </w:rPr>
              <w:t>2）供应商应提供体检报告咨询服务，形式为现场咨询或互联网在线咨询；对高危异常检查结果及时登记、通知，并有随访记录；提供检后疾病高风险因素筛查并反馈给采购人对接人。</w:t>
            </w:r>
          </w:p>
          <w:p>
            <w:pPr>
              <w:pStyle w:val="null3"/>
              <w:ind w:firstLine="560"/>
              <w:jc w:val="left"/>
            </w:pPr>
            <w:r>
              <w:rPr>
                <w:rFonts w:ascii="仿宋_GB2312" w:hAnsi="仿宋_GB2312" w:cs="仿宋_GB2312" w:eastAsia="仿宋_GB2312"/>
                <w:sz w:val="28"/>
                <w:color w:val="000000"/>
              </w:rPr>
              <w:t>（</w:t>
            </w:r>
            <w:r>
              <w:rPr>
                <w:rFonts w:ascii="仿宋_GB2312" w:hAnsi="仿宋_GB2312" w:cs="仿宋_GB2312" w:eastAsia="仿宋_GB2312"/>
                <w:sz w:val="28"/>
                <w:color w:val="000000"/>
              </w:rPr>
              <w:t>3）设有专人负责检后重大疾病筛查、重疾预警提醒并及时通知本人及采购人。</w:t>
            </w:r>
          </w:p>
          <w:p>
            <w:pPr>
              <w:pStyle w:val="null3"/>
              <w:ind w:firstLine="560"/>
              <w:jc w:val="left"/>
            </w:pPr>
            <w:r>
              <w:rPr>
                <w:rFonts w:ascii="仿宋_GB2312" w:hAnsi="仿宋_GB2312" w:cs="仿宋_GB2312" w:eastAsia="仿宋_GB2312"/>
                <w:sz w:val="28"/>
                <w:color w:val="000000"/>
              </w:rPr>
              <w:t>（</w:t>
            </w:r>
            <w:r>
              <w:rPr>
                <w:rFonts w:ascii="仿宋_GB2312" w:hAnsi="仿宋_GB2312" w:cs="仿宋_GB2312" w:eastAsia="仿宋_GB2312"/>
                <w:sz w:val="28"/>
                <w:color w:val="000000"/>
              </w:rPr>
              <w:t>4）出具单位总检报告。内容包括但不限于单位职工总体健康情况， 各年龄段职工多发和需重点关注疾病及相关预防、治疗方法等。</w:t>
            </w:r>
          </w:p>
          <w:p>
            <w:pPr>
              <w:pStyle w:val="null3"/>
              <w:ind w:firstLine="560"/>
              <w:jc w:val="left"/>
            </w:pPr>
            <w:r>
              <w:rPr>
                <w:rFonts w:ascii="仿宋_GB2312" w:hAnsi="仿宋_GB2312" w:cs="仿宋_GB2312" w:eastAsia="仿宋_GB2312"/>
                <w:sz w:val="28"/>
                <w:color w:val="000000"/>
              </w:rPr>
              <w:t>（</w:t>
            </w:r>
            <w:r>
              <w:rPr>
                <w:rFonts w:ascii="仿宋_GB2312" w:hAnsi="仿宋_GB2312" w:cs="仿宋_GB2312" w:eastAsia="仿宋_GB2312"/>
                <w:sz w:val="28"/>
                <w:color w:val="000000"/>
              </w:rPr>
              <w:t>5）体检后，供应商选派副主任医师及以上的专家到采购人单位至少提供专场“一对一”体检报告解读等服务。</w:t>
            </w:r>
            <w:r>
              <w:br/>
            </w:r>
            <w:r>
              <w:rPr>
                <w:rFonts w:ascii="仿宋_GB2312" w:hAnsi="仿宋_GB2312" w:cs="仿宋_GB2312" w:eastAsia="仿宋_GB2312"/>
                <w:sz w:val="21"/>
                <w:color w:val="000000"/>
              </w:rPr>
              <w:t xml:space="preserve">         </w:t>
            </w:r>
            <w:r>
              <w:rPr>
                <w:rFonts w:ascii="仿宋_GB2312" w:hAnsi="仿宋_GB2312" w:cs="仿宋_GB2312" w:eastAsia="仿宋_GB2312"/>
                <w:sz w:val="28"/>
                <w:b/>
                <w:color w:val="000000"/>
              </w:rPr>
              <w:t>（三）体检项目</w:t>
            </w:r>
          </w:p>
          <w:tbl>
            <w:tblPr>
              <w:tblBorders>
                <w:top w:val="none" w:color="000000" w:sz="4"/>
                <w:left w:val="none" w:color="000000" w:sz="4"/>
                <w:bottom w:val="none" w:color="000000" w:sz="4"/>
                <w:right w:val="none" w:color="000000" w:sz="4"/>
                <w:insideH w:val="none"/>
                <w:insideV w:val="none"/>
              </w:tblBorders>
            </w:tblPr>
            <w:tblGrid>
              <w:gridCol w:w="322"/>
              <w:gridCol w:w="500"/>
              <w:gridCol w:w="731"/>
              <w:gridCol w:w="260"/>
              <w:gridCol w:w="548"/>
            </w:tblGrid>
            <w:tr>
              <w:tc>
                <w:tcPr>
                  <w:tcW w:type="dxa" w:w="3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序号</w:t>
                  </w:r>
                </w:p>
              </w:tc>
              <w:tc>
                <w:tcPr>
                  <w:tcW w:type="dxa" w:w="5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分类</w:t>
                  </w:r>
                </w:p>
              </w:tc>
              <w:tc>
                <w:tcPr>
                  <w:tcW w:type="dxa" w:w="73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项目</w:t>
                  </w:r>
                </w:p>
              </w:tc>
              <w:tc>
                <w:tcPr>
                  <w:tcW w:type="dxa" w:w="2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男性</w:t>
                  </w:r>
                </w:p>
              </w:tc>
              <w:tc>
                <w:tcPr>
                  <w:tcW w:type="dxa" w:w="54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女性</w:t>
                  </w:r>
                </w:p>
              </w:tc>
            </w:tr>
            <w:tr>
              <w:tc>
                <w:tcPr>
                  <w:tcW w:type="dxa" w:w="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w:t>
                  </w:r>
                </w:p>
              </w:tc>
              <w:tc>
                <w:tcPr>
                  <w:tcW w:type="dxa" w:w="50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基础</w:t>
                  </w:r>
                </w:p>
                <w:p>
                  <w:pPr>
                    <w:pStyle w:val="null3"/>
                    <w:jc w:val="center"/>
                  </w:pPr>
                  <w:r>
                    <w:rPr>
                      <w:rFonts w:ascii="仿宋_GB2312" w:hAnsi="仿宋_GB2312" w:cs="仿宋_GB2312" w:eastAsia="仿宋_GB2312"/>
                      <w:sz w:val="28"/>
                      <w:color w:val="000000"/>
                    </w:rPr>
                    <w:t>检查</w:t>
                  </w:r>
                </w:p>
              </w:tc>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一般检查</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w:t>
                  </w:r>
                </w:p>
              </w:tc>
              <w:tc>
                <w:tcPr>
                  <w:tcW w:type="dxa" w:w="5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w:t>
                  </w:r>
                </w:p>
              </w:tc>
            </w:tr>
            <w:tr>
              <w:tc>
                <w:tcPr>
                  <w:tcW w:type="dxa" w:w="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2</w:t>
                  </w:r>
                </w:p>
              </w:tc>
              <w:tc>
                <w:tcPr>
                  <w:tcW w:type="dxa" w:w="500"/>
                  <w:vMerge/>
                  <w:tcBorders>
                    <w:top w:val="none" w:color="000000" w:sz="4"/>
                    <w:left w:val="single" w:color="000000" w:sz="4"/>
                    <w:bottom w:val="single" w:color="000000" w:sz="4"/>
                    <w:right w:val="single" w:color="000000" w:sz="4"/>
                  </w:tcBorders>
                </w:tcPr>
                <w:p/>
              </w:tc>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内科</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w:t>
                  </w:r>
                </w:p>
              </w:tc>
              <w:tc>
                <w:tcPr>
                  <w:tcW w:type="dxa" w:w="5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w:t>
                  </w:r>
                </w:p>
              </w:tc>
            </w:tr>
            <w:tr>
              <w:tc>
                <w:tcPr>
                  <w:tcW w:type="dxa" w:w="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3</w:t>
                  </w:r>
                </w:p>
              </w:tc>
              <w:tc>
                <w:tcPr>
                  <w:tcW w:type="dxa" w:w="500"/>
                  <w:vMerge/>
                  <w:tcBorders>
                    <w:top w:val="none" w:color="000000" w:sz="4"/>
                    <w:left w:val="single" w:color="000000" w:sz="4"/>
                    <w:bottom w:val="single" w:color="000000" w:sz="4"/>
                    <w:right w:val="single" w:color="000000" w:sz="4"/>
                  </w:tcBorders>
                </w:tcPr>
                <w:p/>
              </w:tc>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外科</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w:t>
                  </w:r>
                </w:p>
              </w:tc>
              <w:tc>
                <w:tcPr>
                  <w:tcW w:type="dxa" w:w="5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w:t>
                  </w:r>
                </w:p>
              </w:tc>
            </w:tr>
            <w:tr>
              <w:tc>
                <w:tcPr>
                  <w:tcW w:type="dxa" w:w="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4</w:t>
                  </w:r>
                </w:p>
              </w:tc>
              <w:tc>
                <w:tcPr>
                  <w:tcW w:type="dxa" w:w="500"/>
                  <w:vMerge/>
                  <w:tcBorders>
                    <w:top w:val="none" w:color="000000" w:sz="4"/>
                    <w:left w:val="single" w:color="000000" w:sz="4"/>
                    <w:bottom w:val="single" w:color="000000" w:sz="4"/>
                    <w:right w:val="single" w:color="000000" w:sz="4"/>
                  </w:tcBorders>
                </w:tcPr>
                <w:p/>
              </w:tc>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眼科常规</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w:t>
                  </w:r>
                </w:p>
              </w:tc>
              <w:tc>
                <w:tcPr>
                  <w:tcW w:type="dxa" w:w="5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w:t>
                  </w:r>
                </w:p>
              </w:tc>
            </w:tr>
            <w:tr>
              <w:tc>
                <w:tcPr>
                  <w:tcW w:type="dxa" w:w="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5</w:t>
                  </w:r>
                </w:p>
              </w:tc>
              <w:tc>
                <w:tcPr>
                  <w:tcW w:type="dxa" w:w="500"/>
                  <w:vMerge/>
                  <w:tcBorders>
                    <w:top w:val="none" w:color="000000" w:sz="4"/>
                    <w:left w:val="single" w:color="000000" w:sz="4"/>
                    <w:bottom w:val="single" w:color="000000" w:sz="4"/>
                    <w:right w:val="single" w:color="000000" w:sz="4"/>
                  </w:tcBorders>
                </w:tcPr>
                <w:p/>
              </w:tc>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心电图</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w:t>
                  </w:r>
                </w:p>
              </w:tc>
              <w:tc>
                <w:tcPr>
                  <w:tcW w:type="dxa" w:w="5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w:t>
                  </w:r>
                </w:p>
              </w:tc>
            </w:tr>
            <w:tr>
              <w:tc>
                <w:tcPr>
                  <w:tcW w:type="dxa" w:w="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6</w:t>
                  </w:r>
                </w:p>
              </w:tc>
              <w:tc>
                <w:tcPr>
                  <w:tcW w:type="dxa" w:w="500"/>
                  <w:vMerge/>
                  <w:tcBorders>
                    <w:top w:val="none" w:color="000000" w:sz="4"/>
                    <w:left w:val="single" w:color="000000" w:sz="4"/>
                    <w:bottom w:val="single" w:color="000000" w:sz="4"/>
                    <w:right w:val="single" w:color="000000" w:sz="4"/>
                  </w:tcBorders>
                </w:tcPr>
                <w:p/>
              </w:tc>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眼底检查</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w:t>
                  </w:r>
                </w:p>
              </w:tc>
              <w:tc>
                <w:tcPr>
                  <w:tcW w:type="dxa" w:w="5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w:t>
                  </w:r>
                </w:p>
              </w:tc>
            </w:tr>
            <w:tr>
              <w:tc>
                <w:tcPr>
                  <w:tcW w:type="dxa" w:w="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7</w:t>
                  </w:r>
                </w:p>
              </w:tc>
              <w:tc>
                <w:tcPr>
                  <w:tcW w:type="dxa" w:w="50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超声</w:t>
                  </w:r>
                </w:p>
                <w:p>
                  <w:pPr>
                    <w:pStyle w:val="null3"/>
                    <w:jc w:val="center"/>
                  </w:pPr>
                  <w:r>
                    <w:rPr>
                      <w:rFonts w:ascii="仿宋_GB2312" w:hAnsi="仿宋_GB2312" w:cs="仿宋_GB2312" w:eastAsia="仿宋_GB2312"/>
                      <w:sz w:val="28"/>
                      <w:color w:val="000000"/>
                    </w:rPr>
                    <w:t>检查</w:t>
                  </w:r>
                </w:p>
              </w:tc>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腹部彩超</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w:t>
                  </w:r>
                </w:p>
              </w:tc>
              <w:tc>
                <w:tcPr>
                  <w:tcW w:type="dxa" w:w="5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w:t>
                  </w:r>
                </w:p>
              </w:tc>
            </w:tr>
            <w:tr>
              <w:tc>
                <w:tcPr>
                  <w:tcW w:type="dxa" w:w="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8</w:t>
                  </w:r>
                </w:p>
              </w:tc>
              <w:tc>
                <w:tcPr>
                  <w:tcW w:type="dxa" w:w="500"/>
                  <w:vMerge/>
                  <w:tcBorders>
                    <w:top w:val="none" w:color="000000" w:sz="4"/>
                    <w:left w:val="single" w:color="000000" w:sz="4"/>
                    <w:bottom w:val="single" w:color="000000" w:sz="4"/>
                    <w:right w:val="single" w:color="000000" w:sz="4"/>
                  </w:tcBorders>
                </w:tcPr>
                <w:p/>
              </w:tc>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男性彩超</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w:t>
                  </w:r>
                </w:p>
              </w:tc>
              <w:tc>
                <w:tcPr>
                  <w:tcW w:type="dxa" w:w="5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w:t>
                  </w:r>
                </w:p>
              </w:tc>
            </w:tr>
            <w:tr>
              <w:tc>
                <w:tcPr>
                  <w:tcW w:type="dxa" w:w="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9</w:t>
                  </w:r>
                </w:p>
              </w:tc>
              <w:tc>
                <w:tcPr>
                  <w:tcW w:type="dxa" w:w="500"/>
                  <w:vMerge/>
                  <w:tcBorders>
                    <w:top w:val="none" w:color="000000" w:sz="4"/>
                    <w:left w:val="single" w:color="000000" w:sz="4"/>
                    <w:bottom w:val="single" w:color="000000" w:sz="4"/>
                    <w:right w:val="single" w:color="000000" w:sz="4"/>
                  </w:tcBorders>
                </w:tcPr>
                <w:p/>
              </w:tc>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女盆腔彩超</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w:t>
                  </w:r>
                </w:p>
              </w:tc>
              <w:tc>
                <w:tcPr>
                  <w:tcW w:type="dxa" w:w="5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w:t>
                  </w:r>
                </w:p>
              </w:tc>
            </w:tr>
            <w:tr>
              <w:tc>
                <w:tcPr>
                  <w:tcW w:type="dxa" w:w="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10</w:t>
                  </w:r>
                </w:p>
              </w:tc>
              <w:tc>
                <w:tcPr>
                  <w:tcW w:type="dxa" w:w="500"/>
                  <w:vMerge/>
                  <w:tcBorders>
                    <w:top w:val="none" w:color="000000" w:sz="4"/>
                    <w:left w:val="single" w:color="000000" w:sz="4"/>
                    <w:bottom w:val="single" w:color="000000" w:sz="4"/>
                    <w:right w:val="single" w:color="000000" w:sz="4"/>
                  </w:tcBorders>
                </w:tcPr>
                <w:p/>
              </w:tc>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乳腺彩超</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w:t>
                  </w:r>
                </w:p>
              </w:tc>
              <w:tc>
                <w:tcPr>
                  <w:tcW w:type="dxa" w:w="5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w:t>
                  </w:r>
                </w:p>
              </w:tc>
            </w:tr>
            <w:tr>
              <w:tc>
                <w:tcPr>
                  <w:tcW w:type="dxa" w:w="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11</w:t>
                  </w:r>
                </w:p>
              </w:tc>
              <w:tc>
                <w:tcPr>
                  <w:tcW w:type="dxa" w:w="500"/>
                  <w:vMerge/>
                  <w:tcBorders>
                    <w:top w:val="none" w:color="000000" w:sz="4"/>
                    <w:left w:val="single" w:color="000000" w:sz="4"/>
                    <w:bottom w:val="single" w:color="000000" w:sz="4"/>
                    <w:right w:val="single" w:color="000000" w:sz="4"/>
                  </w:tcBorders>
                </w:tcPr>
                <w:p/>
              </w:tc>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甲状腺彩超</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w:t>
                  </w:r>
                </w:p>
              </w:tc>
              <w:tc>
                <w:tcPr>
                  <w:tcW w:type="dxa" w:w="5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w:t>
                  </w:r>
                </w:p>
              </w:tc>
            </w:tr>
            <w:tr>
              <w:tc>
                <w:tcPr>
                  <w:tcW w:type="dxa" w:w="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12</w:t>
                  </w:r>
                </w:p>
              </w:tc>
              <w:tc>
                <w:tcPr>
                  <w:tcW w:type="dxa" w:w="500"/>
                  <w:vMerge/>
                  <w:tcBorders>
                    <w:top w:val="none" w:color="000000" w:sz="4"/>
                    <w:left w:val="single" w:color="000000" w:sz="4"/>
                    <w:bottom w:val="single" w:color="000000" w:sz="4"/>
                    <w:right w:val="single" w:color="000000" w:sz="4"/>
                  </w:tcBorders>
                </w:tcPr>
                <w:p/>
              </w:tc>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颈部血管彩超</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w:t>
                  </w:r>
                </w:p>
              </w:tc>
              <w:tc>
                <w:tcPr>
                  <w:tcW w:type="dxa" w:w="5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w:t>
                  </w:r>
                </w:p>
              </w:tc>
            </w:tr>
            <w:tr>
              <w:tc>
                <w:tcPr>
                  <w:tcW w:type="dxa" w:w="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13</w:t>
                  </w:r>
                </w:p>
              </w:tc>
              <w:tc>
                <w:tcPr>
                  <w:tcW w:type="dxa" w:w="50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检验科</w:t>
                  </w:r>
                </w:p>
              </w:tc>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血常规</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w:t>
                  </w:r>
                </w:p>
              </w:tc>
              <w:tc>
                <w:tcPr>
                  <w:tcW w:type="dxa" w:w="5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w:t>
                  </w:r>
                </w:p>
              </w:tc>
            </w:tr>
            <w:tr>
              <w:tc>
                <w:tcPr>
                  <w:tcW w:type="dxa" w:w="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14</w:t>
                  </w:r>
                </w:p>
              </w:tc>
              <w:tc>
                <w:tcPr>
                  <w:tcW w:type="dxa" w:w="500"/>
                  <w:vMerge/>
                  <w:tcBorders>
                    <w:top w:val="none" w:color="000000" w:sz="4"/>
                    <w:left w:val="single" w:color="000000" w:sz="4"/>
                    <w:bottom w:val="single" w:color="000000" w:sz="4"/>
                    <w:right w:val="single" w:color="000000" w:sz="4"/>
                  </w:tcBorders>
                </w:tcPr>
                <w:p/>
              </w:tc>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尿常规</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w:t>
                  </w:r>
                </w:p>
              </w:tc>
              <w:tc>
                <w:tcPr>
                  <w:tcW w:type="dxa" w:w="5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w:t>
                  </w:r>
                </w:p>
              </w:tc>
            </w:tr>
            <w:tr>
              <w:tc>
                <w:tcPr>
                  <w:tcW w:type="dxa" w:w="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15</w:t>
                  </w:r>
                </w:p>
              </w:tc>
              <w:tc>
                <w:tcPr>
                  <w:tcW w:type="dxa" w:w="500"/>
                  <w:vMerge/>
                  <w:tcBorders>
                    <w:top w:val="none" w:color="000000" w:sz="4"/>
                    <w:left w:val="single" w:color="000000" w:sz="4"/>
                    <w:bottom w:val="single" w:color="000000" w:sz="4"/>
                    <w:right w:val="single" w:color="000000" w:sz="4"/>
                  </w:tcBorders>
                </w:tcPr>
                <w:p/>
              </w:tc>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乙肝</w:t>
                  </w:r>
                  <w:r>
                    <w:rPr>
                      <w:rFonts w:ascii="仿宋_GB2312" w:hAnsi="仿宋_GB2312" w:cs="仿宋_GB2312" w:eastAsia="仿宋_GB2312"/>
                      <w:sz w:val="28"/>
                      <w:color w:val="000000"/>
                    </w:rPr>
                    <w:t>五项检查</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w:t>
                  </w:r>
                </w:p>
              </w:tc>
              <w:tc>
                <w:tcPr>
                  <w:tcW w:type="dxa" w:w="5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w:t>
                  </w:r>
                </w:p>
              </w:tc>
            </w:tr>
            <w:tr>
              <w:tc>
                <w:tcPr>
                  <w:tcW w:type="dxa" w:w="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16</w:t>
                  </w:r>
                </w:p>
              </w:tc>
              <w:tc>
                <w:tcPr>
                  <w:tcW w:type="dxa" w:w="500"/>
                  <w:vMerge/>
                  <w:tcBorders>
                    <w:top w:val="none" w:color="000000" w:sz="4"/>
                    <w:left w:val="single" w:color="000000" w:sz="4"/>
                    <w:bottom w:val="single" w:color="000000" w:sz="4"/>
                    <w:right w:val="single" w:color="000000" w:sz="4"/>
                  </w:tcBorders>
                </w:tcPr>
                <w:p/>
              </w:tc>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肝功五项</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w:t>
                  </w:r>
                </w:p>
              </w:tc>
              <w:tc>
                <w:tcPr>
                  <w:tcW w:type="dxa" w:w="5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w:t>
                  </w:r>
                </w:p>
              </w:tc>
            </w:tr>
            <w:tr>
              <w:tc>
                <w:tcPr>
                  <w:tcW w:type="dxa" w:w="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17</w:t>
                  </w:r>
                </w:p>
              </w:tc>
              <w:tc>
                <w:tcPr>
                  <w:tcW w:type="dxa" w:w="500"/>
                  <w:vMerge/>
                  <w:tcBorders>
                    <w:top w:val="none" w:color="000000" w:sz="4"/>
                    <w:left w:val="single" w:color="000000" w:sz="4"/>
                    <w:bottom w:val="single" w:color="000000" w:sz="4"/>
                    <w:right w:val="single" w:color="000000" w:sz="4"/>
                  </w:tcBorders>
                </w:tcPr>
                <w:p/>
              </w:tc>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肾功三项</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w:t>
                  </w:r>
                </w:p>
              </w:tc>
              <w:tc>
                <w:tcPr>
                  <w:tcW w:type="dxa" w:w="5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w:t>
                  </w:r>
                </w:p>
              </w:tc>
            </w:tr>
            <w:tr>
              <w:tc>
                <w:tcPr>
                  <w:tcW w:type="dxa" w:w="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18</w:t>
                  </w:r>
                </w:p>
              </w:tc>
              <w:tc>
                <w:tcPr>
                  <w:tcW w:type="dxa" w:w="500"/>
                  <w:vMerge/>
                  <w:tcBorders>
                    <w:top w:val="none" w:color="000000" w:sz="4"/>
                    <w:left w:val="single" w:color="000000" w:sz="4"/>
                    <w:bottom w:val="single" w:color="000000" w:sz="4"/>
                    <w:right w:val="single" w:color="000000" w:sz="4"/>
                  </w:tcBorders>
                </w:tcPr>
                <w:p/>
              </w:tc>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血脂四项</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w:t>
                  </w:r>
                </w:p>
              </w:tc>
              <w:tc>
                <w:tcPr>
                  <w:tcW w:type="dxa" w:w="5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w:t>
                  </w:r>
                </w:p>
              </w:tc>
            </w:tr>
            <w:tr>
              <w:tc>
                <w:tcPr>
                  <w:tcW w:type="dxa" w:w="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19</w:t>
                  </w:r>
                </w:p>
              </w:tc>
              <w:tc>
                <w:tcPr>
                  <w:tcW w:type="dxa" w:w="500"/>
                  <w:vMerge/>
                  <w:tcBorders>
                    <w:top w:val="none" w:color="000000" w:sz="4"/>
                    <w:left w:val="single" w:color="000000" w:sz="4"/>
                    <w:bottom w:val="single" w:color="000000" w:sz="4"/>
                    <w:right w:val="single" w:color="000000" w:sz="4"/>
                  </w:tcBorders>
                </w:tcPr>
                <w:p/>
              </w:tc>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糖化血红蛋白</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w:t>
                  </w:r>
                </w:p>
              </w:tc>
              <w:tc>
                <w:tcPr>
                  <w:tcW w:type="dxa" w:w="5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w:t>
                  </w:r>
                </w:p>
              </w:tc>
            </w:tr>
            <w:tr>
              <w:tc>
                <w:tcPr>
                  <w:tcW w:type="dxa" w:w="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20</w:t>
                  </w:r>
                </w:p>
              </w:tc>
              <w:tc>
                <w:tcPr>
                  <w:tcW w:type="dxa" w:w="500"/>
                  <w:vMerge/>
                  <w:tcBorders>
                    <w:top w:val="none" w:color="000000" w:sz="4"/>
                    <w:left w:val="single" w:color="000000" w:sz="4"/>
                    <w:bottom w:val="single" w:color="000000" w:sz="4"/>
                    <w:right w:val="single" w:color="000000" w:sz="4"/>
                  </w:tcBorders>
                </w:tcPr>
                <w:p/>
              </w:tc>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空腹血糖</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w:t>
                  </w:r>
                </w:p>
              </w:tc>
              <w:tc>
                <w:tcPr>
                  <w:tcW w:type="dxa" w:w="5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w:t>
                  </w:r>
                </w:p>
              </w:tc>
            </w:tr>
            <w:tr>
              <w:tc>
                <w:tcPr>
                  <w:tcW w:type="dxa" w:w="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21</w:t>
                  </w:r>
                </w:p>
              </w:tc>
              <w:tc>
                <w:tcPr>
                  <w:tcW w:type="dxa" w:w="500"/>
                  <w:vMerge/>
                  <w:tcBorders>
                    <w:top w:val="none" w:color="000000" w:sz="4"/>
                    <w:left w:val="single" w:color="000000" w:sz="4"/>
                    <w:bottom w:val="single" w:color="000000" w:sz="4"/>
                    <w:right w:val="single" w:color="000000" w:sz="4"/>
                  </w:tcBorders>
                </w:tcPr>
                <w:p/>
              </w:tc>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同型半胱氨酸</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w:t>
                  </w:r>
                </w:p>
              </w:tc>
              <w:tc>
                <w:tcPr>
                  <w:tcW w:type="dxa" w:w="5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w:t>
                  </w:r>
                </w:p>
              </w:tc>
            </w:tr>
            <w:tr>
              <w:tc>
                <w:tcPr>
                  <w:tcW w:type="dxa" w:w="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22</w:t>
                  </w:r>
                </w:p>
              </w:tc>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消化科</w:t>
                  </w:r>
                </w:p>
              </w:tc>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幽门螺旋杆菌</w:t>
                  </w:r>
                  <w:r>
                    <w:rPr>
                      <w:rFonts w:ascii="仿宋_GB2312" w:hAnsi="仿宋_GB2312" w:cs="仿宋_GB2312" w:eastAsia="仿宋_GB2312"/>
                      <w:sz w:val="28"/>
                      <w:color w:val="000000"/>
                    </w:rPr>
                    <w:t>(C14)</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w:t>
                  </w:r>
                </w:p>
              </w:tc>
              <w:tc>
                <w:tcPr>
                  <w:tcW w:type="dxa" w:w="5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w:t>
                  </w:r>
                </w:p>
              </w:tc>
            </w:tr>
            <w:tr>
              <w:tc>
                <w:tcPr>
                  <w:tcW w:type="dxa" w:w="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23</w:t>
                  </w:r>
                </w:p>
              </w:tc>
              <w:tc>
                <w:tcPr>
                  <w:tcW w:type="dxa" w:w="50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肿瘤检测</w:t>
                  </w:r>
                </w:p>
              </w:tc>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甲胎蛋白</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w:t>
                  </w:r>
                </w:p>
              </w:tc>
              <w:tc>
                <w:tcPr>
                  <w:tcW w:type="dxa" w:w="5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w:t>
                  </w:r>
                </w:p>
              </w:tc>
            </w:tr>
            <w:tr>
              <w:tc>
                <w:tcPr>
                  <w:tcW w:type="dxa" w:w="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24</w:t>
                  </w:r>
                </w:p>
              </w:tc>
              <w:tc>
                <w:tcPr>
                  <w:tcW w:type="dxa" w:w="500"/>
                  <w:vMerge/>
                  <w:tcBorders>
                    <w:top w:val="none" w:color="000000" w:sz="4"/>
                    <w:left w:val="single" w:color="000000" w:sz="4"/>
                    <w:bottom w:val="single" w:color="000000" w:sz="4"/>
                    <w:right w:val="single" w:color="000000" w:sz="4"/>
                  </w:tcBorders>
                </w:tcPr>
                <w:p/>
              </w:tc>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癌胚抗原</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w:t>
                  </w:r>
                </w:p>
              </w:tc>
              <w:tc>
                <w:tcPr>
                  <w:tcW w:type="dxa" w:w="5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w:t>
                  </w:r>
                </w:p>
              </w:tc>
            </w:tr>
            <w:tr>
              <w:tc>
                <w:tcPr>
                  <w:tcW w:type="dxa" w:w="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25</w:t>
                  </w:r>
                </w:p>
              </w:tc>
              <w:tc>
                <w:tcPr>
                  <w:tcW w:type="dxa" w:w="500"/>
                  <w:vMerge/>
                  <w:tcBorders>
                    <w:top w:val="none" w:color="000000" w:sz="4"/>
                    <w:left w:val="single" w:color="000000" w:sz="4"/>
                    <w:bottom w:val="single" w:color="000000" w:sz="4"/>
                    <w:right w:val="single" w:color="000000" w:sz="4"/>
                  </w:tcBorders>
                </w:tcPr>
                <w:p/>
              </w:tc>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癌抗原</w:t>
                  </w:r>
                  <w:r>
                    <w:rPr>
                      <w:rFonts w:ascii="仿宋_GB2312" w:hAnsi="仿宋_GB2312" w:cs="仿宋_GB2312" w:eastAsia="仿宋_GB2312"/>
                      <w:sz w:val="28"/>
                      <w:color w:val="000000"/>
                    </w:rPr>
                    <w:t>199</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w:t>
                  </w:r>
                </w:p>
              </w:tc>
              <w:tc>
                <w:tcPr>
                  <w:tcW w:type="dxa" w:w="5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w:t>
                  </w:r>
                </w:p>
              </w:tc>
            </w:tr>
            <w:tr>
              <w:tc>
                <w:tcPr>
                  <w:tcW w:type="dxa" w:w="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26</w:t>
                  </w:r>
                </w:p>
              </w:tc>
              <w:tc>
                <w:tcPr>
                  <w:tcW w:type="dxa" w:w="50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CT四选一</w:t>
                  </w:r>
                </w:p>
              </w:tc>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头颅</w:t>
                  </w:r>
                </w:p>
              </w:tc>
              <w:tc>
                <w:tcPr>
                  <w:tcW w:type="dxa" w:w="26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w:t>
                  </w:r>
                </w:p>
              </w:tc>
              <w:tc>
                <w:tcPr>
                  <w:tcW w:type="dxa" w:w="54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w:t>
                  </w:r>
                </w:p>
              </w:tc>
            </w:tr>
            <w:tr>
              <w:tc>
                <w:tcPr>
                  <w:tcW w:type="dxa" w:w="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27</w:t>
                  </w:r>
                </w:p>
              </w:tc>
              <w:tc>
                <w:tcPr>
                  <w:tcW w:type="dxa" w:w="500"/>
                  <w:vMerge/>
                  <w:tcBorders>
                    <w:top w:val="none" w:color="000000" w:sz="4"/>
                    <w:left w:val="single" w:color="000000" w:sz="4"/>
                    <w:bottom w:val="single" w:color="000000" w:sz="4"/>
                    <w:right w:val="single" w:color="000000" w:sz="4"/>
                  </w:tcBorders>
                </w:tcPr>
                <w:p/>
              </w:tc>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胸部</w:t>
                  </w:r>
                </w:p>
              </w:tc>
              <w:tc>
                <w:tcPr>
                  <w:tcW w:type="dxa" w:w="260"/>
                  <w:vMerge/>
                  <w:tcBorders>
                    <w:top w:val="none" w:color="000000" w:sz="4"/>
                    <w:left w:val="single" w:color="000000" w:sz="4"/>
                    <w:bottom w:val="single" w:color="000000" w:sz="4"/>
                    <w:right w:val="single" w:color="000000" w:sz="4"/>
                  </w:tcBorders>
                </w:tcPr>
                <w:p/>
              </w:tc>
              <w:tc>
                <w:tcPr>
                  <w:tcW w:type="dxa" w:w="548"/>
                  <w:vMerge/>
                  <w:tcBorders>
                    <w:top w:val="none" w:color="000000" w:sz="4"/>
                    <w:left w:val="single" w:color="000000" w:sz="4"/>
                    <w:bottom w:val="single" w:color="000000" w:sz="4"/>
                    <w:right w:val="single" w:color="000000" w:sz="4"/>
                  </w:tcBorders>
                </w:tcPr>
                <w:p/>
              </w:tc>
            </w:tr>
            <w:tr>
              <w:tc>
                <w:tcPr>
                  <w:tcW w:type="dxa" w:w="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28</w:t>
                  </w:r>
                </w:p>
              </w:tc>
              <w:tc>
                <w:tcPr>
                  <w:tcW w:type="dxa" w:w="500"/>
                  <w:vMerge/>
                  <w:tcBorders>
                    <w:top w:val="none" w:color="000000" w:sz="4"/>
                    <w:left w:val="single" w:color="000000" w:sz="4"/>
                    <w:bottom w:val="single" w:color="000000" w:sz="4"/>
                    <w:right w:val="single" w:color="000000" w:sz="4"/>
                  </w:tcBorders>
                </w:tcPr>
                <w:p/>
              </w:tc>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颈椎</w:t>
                  </w:r>
                </w:p>
              </w:tc>
              <w:tc>
                <w:tcPr>
                  <w:tcW w:type="dxa" w:w="260"/>
                  <w:vMerge/>
                  <w:tcBorders>
                    <w:top w:val="none" w:color="000000" w:sz="4"/>
                    <w:left w:val="single" w:color="000000" w:sz="4"/>
                    <w:bottom w:val="single" w:color="000000" w:sz="4"/>
                    <w:right w:val="single" w:color="000000" w:sz="4"/>
                  </w:tcBorders>
                </w:tcPr>
                <w:p/>
              </w:tc>
              <w:tc>
                <w:tcPr>
                  <w:tcW w:type="dxa" w:w="548"/>
                  <w:vMerge/>
                  <w:tcBorders>
                    <w:top w:val="none" w:color="000000" w:sz="4"/>
                    <w:left w:val="single" w:color="000000" w:sz="4"/>
                    <w:bottom w:val="single" w:color="000000" w:sz="4"/>
                    <w:right w:val="single" w:color="000000" w:sz="4"/>
                  </w:tcBorders>
                </w:tcPr>
                <w:p/>
              </w:tc>
            </w:tr>
            <w:tr>
              <w:tc>
                <w:tcPr>
                  <w:tcW w:type="dxa" w:w="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29</w:t>
                  </w:r>
                </w:p>
              </w:tc>
              <w:tc>
                <w:tcPr>
                  <w:tcW w:type="dxa" w:w="500"/>
                  <w:vMerge/>
                  <w:tcBorders>
                    <w:top w:val="none" w:color="000000" w:sz="4"/>
                    <w:left w:val="single" w:color="000000" w:sz="4"/>
                    <w:bottom w:val="single" w:color="000000" w:sz="4"/>
                    <w:right w:val="single" w:color="000000" w:sz="4"/>
                  </w:tcBorders>
                </w:tcPr>
                <w:p/>
              </w:tc>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腰椎</w:t>
                  </w:r>
                </w:p>
              </w:tc>
              <w:tc>
                <w:tcPr>
                  <w:tcW w:type="dxa" w:w="260"/>
                  <w:vMerge/>
                  <w:tcBorders>
                    <w:top w:val="none" w:color="000000" w:sz="4"/>
                    <w:left w:val="single" w:color="000000" w:sz="4"/>
                    <w:bottom w:val="single" w:color="000000" w:sz="4"/>
                    <w:right w:val="single" w:color="000000" w:sz="4"/>
                  </w:tcBorders>
                </w:tcPr>
                <w:p/>
              </w:tc>
              <w:tc>
                <w:tcPr>
                  <w:tcW w:type="dxa" w:w="548"/>
                  <w:vMerge/>
                  <w:tcBorders>
                    <w:top w:val="none" w:color="000000" w:sz="4"/>
                    <w:left w:val="single" w:color="000000" w:sz="4"/>
                    <w:bottom w:val="single" w:color="000000" w:sz="4"/>
                    <w:right w:val="single" w:color="000000" w:sz="4"/>
                  </w:tcBorders>
                </w:tcPr>
                <w:p/>
              </w:tc>
            </w:tr>
            <w:tr>
              <w:tc>
                <w:tcPr>
                  <w:tcW w:type="dxa" w:w="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30</w:t>
                  </w:r>
                </w:p>
              </w:tc>
              <w:tc>
                <w:tcPr>
                  <w:tcW w:type="dxa" w:w="50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妇科</w:t>
                  </w:r>
                </w:p>
              </w:tc>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妇科常规检查</w:t>
                  </w:r>
                </w:p>
              </w:tc>
              <w:tc>
                <w:tcPr>
                  <w:tcW w:type="dxa" w:w="26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w:t>
                  </w:r>
                </w:p>
              </w:tc>
              <w:tc>
                <w:tcPr>
                  <w:tcW w:type="dxa" w:w="54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w:t>
                  </w:r>
                </w:p>
              </w:tc>
            </w:tr>
            <w:tr>
              <w:tc>
                <w:tcPr>
                  <w:tcW w:type="dxa" w:w="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31</w:t>
                  </w:r>
                </w:p>
              </w:tc>
              <w:tc>
                <w:tcPr>
                  <w:tcW w:type="dxa" w:w="500"/>
                  <w:vMerge/>
                  <w:tcBorders>
                    <w:top w:val="none" w:color="000000" w:sz="4"/>
                    <w:left w:val="single" w:color="000000" w:sz="4"/>
                    <w:bottom w:val="single" w:color="000000" w:sz="4"/>
                    <w:right w:val="single" w:color="000000" w:sz="4"/>
                  </w:tcBorders>
                </w:tcPr>
                <w:p/>
              </w:tc>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白带常规</w:t>
                  </w:r>
                </w:p>
              </w:tc>
              <w:tc>
                <w:tcPr>
                  <w:tcW w:type="dxa" w:w="260"/>
                  <w:vMerge/>
                  <w:tcBorders>
                    <w:top w:val="none" w:color="000000" w:sz="4"/>
                    <w:left w:val="single" w:color="000000" w:sz="4"/>
                    <w:bottom w:val="single" w:color="000000" w:sz="4"/>
                    <w:right w:val="single" w:color="000000" w:sz="4"/>
                  </w:tcBorders>
                </w:tcPr>
                <w:p/>
              </w:tc>
              <w:tc>
                <w:tcPr>
                  <w:tcW w:type="dxa" w:w="548"/>
                  <w:vMerge/>
                  <w:tcBorders>
                    <w:top w:val="none" w:color="000000" w:sz="4"/>
                    <w:left w:val="single" w:color="000000" w:sz="4"/>
                    <w:bottom w:val="single" w:color="000000" w:sz="4"/>
                    <w:right w:val="single" w:color="000000" w:sz="4"/>
                  </w:tcBorders>
                </w:tcPr>
                <w:p/>
              </w:tc>
            </w:tr>
            <w:tr>
              <w:tc>
                <w:tcPr>
                  <w:tcW w:type="dxa" w:w="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32</w:t>
                  </w:r>
                </w:p>
              </w:tc>
              <w:tc>
                <w:tcPr>
                  <w:tcW w:type="dxa" w:w="500"/>
                  <w:vMerge/>
                  <w:tcBorders>
                    <w:top w:val="none" w:color="000000" w:sz="4"/>
                    <w:left w:val="single" w:color="000000" w:sz="4"/>
                    <w:bottom w:val="single" w:color="000000" w:sz="4"/>
                    <w:right w:val="single" w:color="000000" w:sz="4"/>
                  </w:tcBorders>
                </w:tcPr>
                <w:p/>
              </w:tc>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宫颈液基超薄细胞学检测</w:t>
                  </w:r>
                  <w:r>
                    <w:rPr>
                      <w:rFonts w:ascii="仿宋_GB2312" w:hAnsi="仿宋_GB2312" w:cs="仿宋_GB2312" w:eastAsia="仿宋_GB2312"/>
                      <w:sz w:val="28"/>
                      <w:color w:val="000000"/>
                    </w:rPr>
                    <w:t>(TCT)</w:t>
                  </w:r>
                </w:p>
              </w:tc>
              <w:tc>
                <w:tcPr>
                  <w:tcW w:type="dxa" w:w="260"/>
                  <w:vMerge/>
                  <w:tcBorders>
                    <w:top w:val="none" w:color="000000" w:sz="4"/>
                    <w:left w:val="single" w:color="000000" w:sz="4"/>
                    <w:bottom w:val="single" w:color="000000" w:sz="4"/>
                    <w:right w:val="single" w:color="000000" w:sz="4"/>
                  </w:tcBorders>
                </w:tcPr>
                <w:p/>
              </w:tc>
              <w:tc>
                <w:tcPr>
                  <w:tcW w:type="dxa" w:w="548"/>
                  <w:vMerge/>
                  <w:tcBorders>
                    <w:top w:val="none" w:color="000000" w:sz="4"/>
                    <w:left w:val="single" w:color="000000" w:sz="4"/>
                    <w:bottom w:val="single" w:color="000000" w:sz="4"/>
                    <w:right w:val="single" w:color="000000" w:sz="4"/>
                  </w:tcBorders>
                </w:tcPr>
                <w:p/>
              </w:tc>
            </w:tr>
            <w:tr>
              <w:tc>
                <w:tcPr>
                  <w:tcW w:type="dxa" w:w="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33</w:t>
                  </w:r>
                </w:p>
              </w:tc>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妇科</w:t>
                  </w:r>
                </w:p>
              </w:tc>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人乳头瘤病毒检测</w:t>
                  </w:r>
                </w:p>
              </w:tc>
              <w:tc>
                <w:tcPr>
                  <w:tcW w:type="dxa" w:w="260"/>
                  <w:vMerge/>
                  <w:tcBorders>
                    <w:top w:val="none" w:color="000000" w:sz="4"/>
                    <w:left w:val="single" w:color="000000" w:sz="4"/>
                    <w:bottom w:val="single" w:color="000000" w:sz="4"/>
                    <w:right w:val="single" w:color="000000" w:sz="4"/>
                  </w:tcBorders>
                </w:tcPr>
                <w:p/>
              </w:tc>
              <w:tc>
                <w:tcPr>
                  <w:tcW w:type="dxa" w:w="548"/>
                  <w:vMerge/>
                  <w:tcBorders>
                    <w:top w:val="none" w:color="000000" w:sz="4"/>
                    <w:left w:val="single" w:color="000000" w:sz="4"/>
                    <w:bottom w:val="single" w:color="000000" w:sz="4"/>
                    <w:right w:val="single" w:color="000000" w:sz="4"/>
                  </w:tcBorders>
                </w:tcPr>
                <w:p/>
              </w:tc>
            </w:tr>
            <w:tr>
              <w:tc>
                <w:tcPr>
                  <w:tcW w:type="dxa" w:w="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34</w:t>
                  </w:r>
                </w:p>
              </w:tc>
              <w:tc>
                <w:tcPr>
                  <w:tcW w:type="dxa" w:w="123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早餐</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w:t>
                  </w:r>
                </w:p>
              </w:tc>
              <w:tc>
                <w:tcPr>
                  <w:tcW w:type="dxa" w:w="5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w:t>
                  </w:r>
                </w:p>
              </w:tc>
            </w:tr>
          </w:tbl>
          <w:p>
            <w:pPr>
              <w:pStyle w:val="null3"/>
              <w:ind w:firstLine="562"/>
              <w:jc w:val="left"/>
            </w:pPr>
            <w:r>
              <w:rPr>
                <w:rFonts w:ascii="仿宋_GB2312" w:hAnsi="仿宋_GB2312" w:cs="仿宋_GB2312" w:eastAsia="仿宋_GB2312"/>
                <w:sz w:val="28"/>
                <w:b/>
                <w:color w:val="000000"/>
              </w:rPr>
              <w:t>（四）</w:t>
            </w:r>
            <w:r>
              <w:rPr>
                <w:rFonts w:ascii="仿宋_GB2312" w:hAnsi="仿宋_GB2312" w:cs="仿宋_GB2312" w:eastAsia="仿宋_GB2312"/>
                <w:sz w:val="28"/>
                <w:b/>
                <w:color w:val="000000"/>
              </w:rPr>
              <w:t>供应商报价要求</w:t>
            </w:r>
          </w:p>
          <w:p>
            <w:pPr>
              <w:pStyle w:val="null3"/>
              <w:ind w:firstLine="560"/>
              <w:jc w:val="left"/>
            </w:pPr>
            <w:r>
              <w:rPr>
                <w:rFonts w:ascii="仿宋_GB2312" w:hAnsi="仿宋_GB2312" w:cs="仿宋_GB2312" w:eastAsia="仿宋_GB2312"/>
                <w:sz w:val="28"/>
                <w:color w:val="000000"/>
              </w:rPr>
              <w:t>按照体检项目套餐填报单价，综合单价限价</w:t>
            </w:r>
            <w:r>
              <w:rPr>
                <w:rFonts w:ascii="仿宋_GB2312" w:hAnsi="仿宋_GB2312" w:cs="仿宋_GB2312" w:eastAsia="仿宋_GB2312"/>
                <w:sz w:val="28"/>
                <w:color w:val="000000"/>
              </w:rPr>
              <w:t>900元/人，</w:t>
            </w:r>
            <w:r>
              <w:rPr>
                <w:rFonts w:ascii="仿宋_GB2312" w:hAnsi="仿宋_GB2312" w:cs="仿宋_GB2312" w:eastAsia="仿宋_GB2312"/>
                <w:sz w:val="28"/>
                <w:b/>
                <w:color w:val="000000"/>
              </w:rPr>
              <w:t>超出综合单价最高限价，其响应文件按无效标处理。</w:t>
            </w:r>
            <w:r>
              <w:rPr>
                <w:rFonts w:ascii="仿宋_GB2312" w:hAnsi="仿宋_GB2312" w:cs="仿宋_GB2312" w:eastAsia="仿宋_GB2312"/>
                <w:sz w:val="28"/>
                <w:color w:val="000000"/>
              </w:rPr>
              <w:t>投标报价中应包含各项检查所需的材料费、处置费、营养早餐、税金等全部费用。</w:t>
            </w:r>
          </w:p>
          <w:p>
            <w:pPr>
              <w:pStyle w:val="null3"/>
              <w:ind w:firstLine="562"/>
              <w:jc w:val="left"/>
            </w:pPr>
            <w:r>
              <w:rPr>
                <w:rFonts w:ascii="仿宋_GB2312" w:hAnsi="仿宋_GB2312" w:cs="仿宋_GB2312" w:eastAsia="仿宋_GB2312"/>
                <w:sz w:val="28"/>
                <w:b/>
                <w:color w:val="000000"/>
              </w:rPr>
              <w:t>（五）结算方式</w:t>
            </w:r>
          </w:p>
          <w:p>
            <w:pPr>
              <w:pStyle w:val="null3"/>
              <w:ind w:firstLine="560"/>
              <w:jc w:val="left"/>
            </w:pPr>
            <w:r>
              <w:rPr>
                <w:rFonts w:ascii="仿宋_GB2312" w:hAnsi="仿宋_GB2312" w:cs="仿宋_GB2312" w:eastAsia="仿宋_GB2312"/>
                <w:sz w:val="28"/>
                <w:color w:val="000000"/>
              </w:rPr>
              <w:t>最终合同支付费用按照实际参加体检人数</w:t>
            </w:r>
            <w:r>
              <w:rPr>
                <w:rFonts w:ascii="仿宋_GB2312" w:hAnsi="仿宋_GB2312" w:cs="仿宋_GB2312" w:eastAsia="仿宋_GB2312"/>
                <w:sz w:val="28"/>
                <w:color w:val="000000"/>
              </w:rPr>
              <w:t>*成交单价计算，最终支付不超过项目预算。体检发生套餐外加项的，费用由体检人员本人承担。</w:t>
            </w:r>
          </w:p>
          <w:p>
            <w:pPr>
              <w:pStyle w:val="null3"/>
              <w:ind w:firstLine="562"/>
              <w:jc w:val="left"/>
            </w:pPr>
            <w:r>
              <w:rPr>
                <w:rFonts w:ascii="仿宋_GB2312" w:hAnsi="仿宋_GB2312" w:cs="仿宋_GB2312" w:eastAsia="仿宋_GB2312"/>
                <w:sz w:val="28"/>
                <w:b/>
                <w:color w:val="000000"/>
              </w:rPr>
              <w:t>三、人员要求</w:t>
            </w:r>
          </w:p>
          <w:p>
            <w:pPr>
              <w:pStyle w:val="null3"/>
              <w:ind w:firstLine="562"/>
              <w:jc w:val="left"/>
            </w:pPr>
            <w:r>
              <w:rPr>
                <w:rFonts w:ascii="仿宋_GB2312" w:hAnsi="仿宋_GB2312" w:cs="仿宋_GB2312" w:eastAsia="仿宋_GB2312"/>
                <w:sz w:val="28"/>
                <w:b/>
                <w:color w:val="000000"/>
              </w:rPr>
              <w:t>（一）总体要求</w:t>
            </w:r>
          </w:p>
          <w:p>
            <w:pPr>
              <w:pStyle w:val="null3"/>
              <w:ind w:firstLine="560"/>
              <w:jc w:val="left"/>
            </w:pPr>
            <w:r>
              <w:rPr>
                <w:rFonts w:ascii="仿宋_GB2312" w:hAnsi="仿宋_GB2312" w:cs="仿宋_GB2312" w:eastAsia="仿宋_GB2312"/>
                <w:sz w:val="28"/>
                <w:color w:val="000000"/>
              </w:rPr>
              <w:t>结合本项目要求，提供专业的服务团队，投标人拟投入本项目的服务团队人员不得少于</w:t>
            </w:r>
            <w:r>
              <w:rPr>
                <w:rFonts w:ascii="仿宋_GB2312" w:hAnsi="仿宋_GB2312" w:cs="仿宋_GB2312" w:eastAsia="仿宋_GB2312"/>
                <w:sz w:val="28"/>
                <w:color w:val="000000"/>
              </w:rPr>
              <w:t>18</w:t>
            </w:r>
            <w:r>
              <w:rPr>
                <w:rFonts w:ascii="仿宋_GB2312" w:hAnsi="仿宋_GB2312" w:cs="仿宋_GB2312" w:eastAsia="仿宋_GB2312"/>
                <w:sz w:val="28"/>
                <w:color w:val="000000"/>
              </w:rPr>
              <w:t>人，</w:t>
            </w:r>
            <w:r>
              <w:rPr>
                <w:rFonts w:ascii="仿宋_GB2312" w:hAnsi="仿宋_GB2312" w:cs="仿宋_GB2312" w:eastAsia="仿宋_GB2312"/>
                <w:sz w:val="28"/>
                <w:color w:val="000000"/>
              </w:rPr>
              <w:t>包括但不限于项目负责人、导诊、医生、护士、技师等</w:t>
            </w:r>
            <w:r>
              <w:rPr>
                <w:rFonts w:ascii="仿宋_GB2312" w:hAnsi="仿宋_GB2312" w:cs="仿宋_GB2312" w:eastAsia="仿宋_GB2312"/>
                <w:sz w:val="28"/>
                <w:color w:val="000000"/>
              </w:rPr>
              <w:t>人员岗位设置专业、合理、充足，配备满足体检需求相关服务资格、责任心强的医护人员</w:t>
            </w:r>
            <w:r>
              <w:rPr>
                <w:rFonts w:ascii="仿宋_GB2312" w:hAnsi="仿宋_GB2312" w:cs="仿宋_GB2312" w:eastAsia="仿宋_GB2312"/>
                <w:sz w:val="28"/>
                <w:color w:val="000000"/>
              </w:rPr>
              <w:t>。</w:t>
            </w:r>
          </w:p>
          <w:p>
            <w:pPr>
              <w:pStyle w:val="null3"/>
              <w:ind w:firstLine="562"/>
              <w:jc w:val="left"/>
            </w:pPr>
            <w:r>
              <w:rPr>
                <w:rFonts w:ascii="仿宋_GB2312" w:hAnsi="仿宋_GB2312" w:cs="仿宋_GB2312" w:eastAsia="仿宋_GB2312"/>
                <w:sz w:val="28"/>
                <w:b/>
                <w:color w:val="000000"/>
              </w:rPr>
              <w:t>（二）拟派服务人员</w:t>
            </w:r>
          </w:p>
          <w:p>
            <w:pPr>
              <w:pStyle w:val="null3"/>
              <w:ind w:firstLine="560"/>
              <w:jc w:val="left"/>
            </w:pPr>
            <w:r>
              <w:rPr>
                <w:rFonts w:ascii="仿宋_GB2312" w:hAnsi="仿宋_GB2312" w:cs="仿宋_GB2312" w:eastAsia="仿宋_GB2312"/>
                <w:sz w:val="28"/>
                <w:color w:val="000000"/>
              </w:rPr>
              <w:t>1.本项目投入的医务人员均具备国家规定的相应执业证书，且上述人员均需为本单位在职人员（含退休返聘）。供应商在投标时，需提交体检医务人员名单（包含人员姓名、身份证号码、职称等信息），并提供医生、护士有效的执业证书、职称证书、劳动合同或社保缴纳证明；技师职称证书劳动合同或社保缴纳证明。</w:t>
            </w:r>
          </w:p>
          <w:p>
            <w:pPr>
              <w:pStyle w:val="null3"/>
              <w:ind w:firstLine="560"/>
              <w:jc w:val="left"/>
            </w:pPr>
            <w:r>
              <w:rPr>
                <w:rFonts w:ascii="仿宋_GB2312" w:hAnsi="仿宋_GB2312" w:cs="仿宋_GB2312" w:eastAsia="仿宋_GB2312"/>
                <w:sz w:val="28"/>
                <w:color w:val="000000"/>
              </w:rPr>
              <w:t>2.医学影像彩色超声临床诊断方面至少配备1名超声影像专业医生，医学影像放射科室临床诊断方面至少配备1名放射诊断专业医生。</w:t>
            </w:r>
          </w:p>
          <w:p>
            <w:pPr>
              <w:pStyle w:val="null3"/>
              <w:ind w:firstLine="560"/>
              <w:jc w:val="left"/>
            </w:pPr>
            <w:r>
              <w:rPr>
                <w:rFonts w:ascii="仿宋_GB2312" w:hAnsi="仿宋_GB2312" w:cs="仿宋_GB2312" w:eastAsia="仿宋_GB2312"/>
                <w:sz w:val="28"/>
                <w:color w:val="000000"/>
              </w:rPr>
              <w:t>3.项目运营团队人员不得随意更换，人员更换必须至少提前两周书面向采购人提出，经采购人同意并经过至少一周的工作交接和人员并行工作后，方可最终确认更换。未经采购人同意，供应商不得变更项目负责人。</w:t>
            </w:r>
            <w:r>
              <w:br/>
            </w:r>
            <w:r>
              <w:rPr>
                <w:rFonts w:ascii="仿宋_GB2312" w:hAnsi="仿宋_GB2312" w:cs="仿宋_GB2312" w:eastAsia="仿宋_GB2312"/>
                <w:sz w:val="21"/>
                <w:color w:val="000000"/>
              </w:rPr>
              <w:t xml:space="preserve">    </w:t>
            </w:r>
            <w:r>
              <w:rPr>
                <w:rFonts w:ascii="仿宋_GB2312" w:hAnsi="仿宋_GB2312" w:cs="仿宋_GB2312" w:eastAsia="仿宋_GB2312"/>
                <w:sz w:val="28"/>
                <w:b/>
                <w:color w:val="000000"/>
              </w:rPr>
              <w:t xml:space="preserve">  </w:t>
            </w:r>
            <w:r>
              <w:rPr>
                <w:rFonts w:ascii="仿宋_GB2312" w:hAnsi="仿宋_GB2312" w:cs="仿宋_GB2312" w:eastAsia="仿宋_GB2312"/>
                <w:sz w:val="28"/>
                <w:b/>
                <w:color w:val="000000"/>
              </w:rPr>
              <w:t>四、服务要求</w:t>
            </w:r>
          </w:p>
          <w:p>
            <w:pPr>
              <w:pStyle w:val="null3"/>
              <w:ind w:firstLine="560"/>
              <w:jc w:val="left"/>
            </w:pPr>
            <w:r>
              <w:rPr>
                <w:rFonts w:ascii="仿宋_GB2312" w:hAnsi="仿宋_GB2312" w:cs="仿宋_GB2312" w:eastAsia="仿宋_GB2312"/>
                <w:sz w:val="28"/>
                <w:color w:val="000000"/>
              </w:rPr>
              <w:t>（一）供应商需提供一名具有较强沟通协调能力的人员作为项目负责人，负责组织项目各相关方面规划、统筹；建立与采购人的高效沟通机制等。</w:t>
            </w:r>
          </w:p>
          <w:p>
            <w:pPr>
              <w:pStyle w:val="null3"/>
              <w:ind w:firstLine="560"/>
              <w:jc w:val="left"/>
            </w:pPr>
            <w:r>
              <w:rPr>
                <w:rFonts w:ascii="仿宋_GB2312" w:hAnsi="仿宋_GB2312" w:cs="仿宋_GB2312" w:eastAsia="仿宋_GB2312"/>
                <w:sz w:val="28"/>
                <w:color w:val="000000"/>
              </w:rPr>
              <w:t>（二）服务期限：</w:t>
            </w:r>
            <w:r>
              <w:rPr>
                <w:rFonts w:ascii="仿宋_GB2312" w:hAnsi="仿宋_GB2312" w:cs="仿宋_GB2312" w:eastAsia="仿宋_GB2312"/>
                <w:sz w:val="28"/>
                <w:color w:val="000000"/>
              </w:rPr>
              <w:t>自合同签订后</w:t>
            </w:r>
            <w:r>
              <w:rPr>
                <w:rFonts w:ascii="仿宋_GB2312" w:hAnsi="仿宋_GB2312" w:cs="仿宋_GB2312" w:eastAsia="仿宋_GB2312"/>
                <w:sz w:val="28"/>
                <w:color w:val="000000"/>
              </w:rPr>
              <w:t>90个日历日。</w:t>
            </w:r>
          </w:p>
          <w:p>
            <w:pPr>
              <w:pStyle w:val="null3"/>
              <w:ind w:firstLine="562"/>
              <w:jc w:val="left"/>
            </w:pPr>
            <w:r>
              <w:rPr>
                <w:rFonts w:ascii="仿宋_GB2312" w:hAnsi="仿宋_GB2312" w:cs="仿宋_GB2312" w:eastAsia="仿宋_GB2312"/>
                <w:sz w:val="28"/>
                <w:b/>
                <w:color w:val="000000"/>
              </w:rPr>
              <w:t>五、履约验收要求</w:t>
            </w:r>
          </w:p>
          <w:p>
            <w:pPr>
              <w:pStyle w:val="null3"/>
              <w:ind w:firstLine="560"/>
              <w:jc w:val="left"/>
            </w:pPr>
            <w:r>
              <w:rPr>
                <w:rFonts w:ascii="仿宋_GB2312" w:hAnsi="仿宋_GB2312" w:cs="仿宋_GB2312" w:eastAsia="仿宋_GB2312"/>
                <w:sz w:val="28"/>
                <w:color w:val="000000"/>
              </w:rPr>
              <w:t>（一）供应商按照合同要求为采购人提供体检服务，为参与体检人员出具体检报告。</w:t>
            </w:r>
          </w:p>
          <w:p>
            <w:pPr>
              <w:pStyle w:val="null3"/>
              <w:ind w:firstLine="560"/>
              <w:jc w:val="left"/>
            </w:pPr>
            <w:r>
              <w:rPr>
                <w:rFonts w:ascii="仿宋_GB2312" w:hAnsi="仿宋_GB2312" w:cs="仿宋_GB2312" w:eastAsia="仿宋_GB2312"/>
                <w:sz w:val="28"/>
                <w:color w:val="000000"/>
              </w:rPr>
              <w:t>（二）按照合同确定套餐金额为采购人组织体检；按照合同要求有序、</w:t>
            </w:r>
            <w:r>
              <w:rPr>
                <w:rFonts w:ascii="仿宋_GB2312" w:hAnsi="仿宋_GB2312" w:cs="仿宋_GB2312" w:eastAsia="仿宋_GB2312"/>
                <w:sz w:val="28"/>
                <w:color w:val="000000"/>
              </w:rPr>
              <w:t>顺利、安全进行体检，承诺的服务能够提供并满足要求，采购人验收合格后出具项目验收书。</w:t>
            </w:r>
          </w:p>
          <w:p>
            <w:pPr>
              <w:pStyle w:val="null3"/>
              <w:ind w:firstLine="560"/>
              <w:jc w:val="left"/>
            </w:pPr>
            <w:r>
              <w:rPr>
                <w:rFonts w:ascii="仿宋_GB2312" w:hAnsi="仿宋_GB2312" w:cs="仿宋_GB2312" w:eastAsia="仿宋_GB2312"/>
                <w:sz w:val="28"/>
                <w:color w:val="000000"/>
              </w:rPr>
              <w:t>（三）履约验收标准：本项目严格按照《财政部关于进一步加强政府采购需求和履约验收管理的指导意见》（财库〔</w:t>
            </w:r>
            <w:r>
              <w:rPr>
                <w:rFonts w:ascii="仿宋_GB2312" w:hAnsi="仿宋_GB2312" w:cs="仿宋_GB2312" w:eastAsia="仿宋_GB2312"/>
                <w:sz w:val="28"/>
                <w:color w:val="000000"/>
              </w:rPr>
              <w:t>2016〕205 号）等政府采购相关法律法规的要求进行验收。</w:t>
            </w:r>
          </w:p>
          <w:p>
            <w:pPr>
              <w:pStyle w:val="null3"/>
              <w:ind w:firstLine="562"/>
              <w:jc w:val="left"/>
            </w:pPr>
            <w:r>
              <w:rPr>
                <w:rFonts w:ascii="仿宋_GB2312" w:hAnsi="仿宋_GB2312" w:cs="仿宋_GB2312" w:eastAsia="仿宋_GB2312"/>
                <w:sz w:val="28"/>
                <w:b/>
                <w:color w:val="000000"/>
              </w:rPr>
              <w:t>六、保密要求</w:t>
            </w:r>
          </w:p>
          <w:p>
            <w:pPr>
              <w:pStyle w:val="null3"/>
            </w:pPr>
            <w:r>
              <w:rPr>
                <w:rFonts w:ascii="仿宋_GB2312" w:hAnsi="仿宋_GB2312" w:cs="仿宋_GB2312" w:eastAsia="仿宋_GB2312"/>
                <w:sz w:val="28"/>
              </w:rPr>
              <w:t xml:space="preserve">    为确保体检报告的保密性，保护个人隐私，根据《中华人民共和国个人信息保护法》等相关法律法规，结合本单位的实际情况，做好保密工作。未经采购人书面许可，供应商不得将合同、体检结果等数据披露给任何第三方，本保密义务并不以本合同（或本项目）的结束而终止。</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自合同签订后90个日历日。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西安市范围内，具体按照采购人要求。</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按照磋商文件及采购合同约定执行。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服务完成经采购人验收合格后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按照磋商文件及采购合同约定执行。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其他补充事宜：1、本项目所属行业为：其他未列明行业2、支付约定因系统格式问题，合同款项支付以拟签订合同文本体现为准。3、成交供应商在领取成交通知书前，须向采购代理机构提供纸质版响应文件3套，且提供的响应文件必须与在陕西省政府采购综合管理平台的项目电子化交易系统中递交的电子响应文件内容一致，纸质版响应文件必须装订成册签字盖章。4、如招标文件中融资相关内容与新政策要求有出入，按照最新要求执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供应商需在项目电子化交易系统中按要求上传基本资格条件承诺函并进行电子签章。</w:t>
            </w:r>
          </w:p>
        </w:tc>
        <w:tc>
          <w:tcPr>
            <w:tcW w:type="dxa" w:w="1661"/>
          </w:tcPr>
          <w:p>
            <w:pPr>
              <w:pStyle w:val="null3"/>
            </w:pPr>
            <w:r>
              <w:rPr>
                <w:rFonts w:ascii="仿宋_GB2312" w:hAnsi="仿宋_GB2312" w:cs="仿宋_GB2312" w:eastAsia="仿宋_GB2312"/>
              </w:rPr>
              <w:t>基本资格条件承诺函.docx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w:t>
            </w:r>
          </w:p>
        </w:tc>
        <w:tc>
          <w:tcPr>
            <w:tcW w:type="dxa" w:w="3322"/>
          </w:tcPr>
          <w:p>
            <w:pPr>
              <w:pStyle w:val="null3"/>
            </w:pPr>
            <w:r>
              <w:rPr>
                <w:rFonts w:ascii="仿宋_GB2312" w:hAnsi="仿宋_GB2312" w:cs="仿宋_GB2312" w:eastAsia="仿宋_GB2312"/>
              </w:rPr>
              <w:t>企业法人应提供合法有效的标识有统一社会信用代码的营业执照；事业法人应提供事业单位法人证书；其他组织应提供合法登记证明文件,自然人提供身份证。</w:t>
            </w:r>
          </w:p>
        </w:tc>
        <w:tc>
          <w:tcPr>
            <w:tcW w:type="dxa" w:w="1661"/>
          </w:tcPr>
          <w:p>
            <w:pPr>
              <w:pStyle w:val="null3"/>
            </w:pPr>
            <w:r>
              <w:rPr>
                <w:rFonts w:ascii="仿宋_GB2312" w:hAnsi="仿宋_GB2312" w:cs="仿宋_GB2312" w:eastAsia="仿宋_GB2312"/>
              </w:rPr>
              <w:t>具有独立承担民事责任能力.docx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供应商具备有效的卫生行政部门核准登记取得的《医疗机构执业许可证》和《放射诊疗许可证》。</w:t>
            </w:r>
          </w:p>
        </w:tc>
        <w:tc>
          <w:tcPr>
            <w:tcW w:type="dxa" w:w="1661"/>
          </w:tcPr>
          <w:p>
            <w:pPr>
              <w:pStyle w:val="null3"/>
            </w:pPr>
            <w:r>
              <w:rPr>
                <w:rFonts w:ascii="仿宋_GB2312" w:hAnsi="仿宋_GB2312" w:cs="仿宋_GB2312" w:eastAsia="仿宋_GB2312"/>
              </w:rPr>
              <w:t>企业资质.docx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法定代表人身份证明或法定代表人授权委托书</w:t>
            </w:r>
          </w:p>
        </w:tc>
        <w:tc>
          <w:tcPr>
            <w:tcW w:type="dxa" w:w="3322"/>
          </w:tcPr>
          <w:p>
            <w:pPr>
              <w:pStyle w:val="null3"/>
            </w:pPr>
            <w:r>
              <w:rPr>
                <w:rFonts w:ascii="仿宋_GB2312" w:hAnsi="仿宋_GB2312" w:cs="仿宋_GB2312" w:eastAsia="仿宋_GB2312"/>
              </w:rPr>
              <w:t>法定代表人直接参加投标的，须提供法定代表人身份证明；法定代表人授权代表参加投标的，须提供法定代表人授权委托书。</w:t>
            </w:r>
          </w:p>
        </w:tc>
        <w:tc>
          <w:tcPr>
            <w:tcW w:type="dxa" w:w="1661"/>
          </w:tcPr>
          <w:p>
            <w:pPr>
              <w:pStyle w:val="null3"/>
            </w:pPr>
            <w:r>
              <w:rPr>
                <w:rFonts w:ascii="仿宋_GB2312" w:hAnsi="仿宋_GB2312" w:cs="仿宋_GB2312" w:eastAsia="仿宋_GB2312"/>
              </w:rPr>
              <w:t>法定代表人身份证明或法定代表人授权委托书.docx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供应商未列入“失信被执行人”、“重大税收违法案件当事人名单”和“政府采购严重违法失信行为记录名单”。</w:t>
            </w:r>
          </w:p>
        </w:tc>
        <w:tc>
          <w:tcPr>
            <w:tcW w:type="dxa" w:w="1661"/>
          </w:tcPr>
          <w:p>
            <w:pPr>
              <w:pStyle w:val="null3"/>
            </w:pPr>
            <w:r>
              <w:rPr>
                <w:rFonts w:ascii="仿宋_GB2312" w:hAnsi="仿宋_GB2312" w:cs="仿宋_GB2312" w:eastAsia="仿宋_GB2312"/>
              </w:rPr>
              <w:t>信誉要求.docx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1、报价唯一； 2、报价货币符合磋商文件要求; 3、未超出采购预算或磋商文件规定的最高限价。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符合磋商文件签署盖章要求。</w:t>
            </w:r>
          </w:p>
        </w:tc>
        <w:tc>
          <w:tcPr>
            <w:tcW w:type="dxa" w:w="1661"/>
          </w:tcPr>
          <w:p>
            <w:pPr>
              <w:pStyle w:val="null3"/>
            </w:pPr>
            <w:r>
              <w:rPr>
                <w:rFonts w:ascii="仿宋_GB2312" w:hAnsi="仿宋_GB2312" w:cs="仿宋_GB2312" w:eastAsia="仿宋_GB2312"/>
              </w:rPr>
              <w:t>响应文件封面.docx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从递交响应文件的截止之日起算不少于90个日历日。</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合同条款</w:t>
            </w:r>
          </w:p>
        </w:tc>
        <w:tc>
          <w:tcPr>
            <w:tcW w:type="dxa" w:w="3322"/>
          </w:tcPr>
          <w:p>
            <w:pPr>
              <w:pStyle w:val="null3"/>
            </w:pPr>
            <w:r>
              <w:rPr>
                <w:rFonts w:ascii="仿宋_GB2312" w:hAnsi="仿宋_GB2312" w:cs="仿宋_GB2312" w:eastAsia="仿宋_GB2312"/>
              </w:rPr>
              <w:t>响应磋商文件合同条款未出现负偏离且响应的内容中未附有采购人不能接受的附加条件。</w:t>
            </w:r>
          </w:p>
        </w:tc>
        <w:tc>
          <w:tcPr>
            <w:tcW w:type="dxa" w:w="1661"/>
          </w:tcPr>
          <w:p>
            <w:pPr>
              <w:pStyle w:val="null3"/>
            </w:pPr>
            <w:r>
              <w:rPr>
                <w:rFonts w:ascii="仿宋_GB2312" w:hAnsi="仿宋_GB2312" w:cs="仿宋_GB2312" w:eastAsia="仿宋_GB2312"/>
              </w:rPr>
              <w:t>合同条款响应偏离表.docx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内容包括但不限于：①体检场次安排；②体检流程安排；③体检内容及体检检测手段描述；④手段体检结果质量保证措施；⑤体检过程中的保密措施；⑥体检过程中的应急处理措施及解决方案；⑦体检过程中投诉处理机制。以上内容专门针对本项目且阐述明晰、全面、合理得28分，每缺一项内容扣4分，评审内容有缺陷的根据情况扣分，扣完为止。“缺陷”是指：内容粗略、逻辑混乱、描述过于简单、与项目特点不匹配、凭空编造、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28.0000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服务方案响应说明.docx</w:t>
            </w:r>
          </w:p>
        </w:tc>
      </w:tr>
      <w:tr>
        <w:tc>
          <w:tcPr>
            <w:tcW w:type="dxa" w:w="831"/>
            <w:vMerge/>
          </w:tcPr>
          <w:p/>
        </w:tc>
        <w:tc>
          <w:tcPr>
            <w:tcW w:type="dxa" w:w="1661"/>
          </w:tcPr>
          <w:p>
            <w:pPr>
              <w:pStyle w:val="null3"/>
            </w:pPr>
            <w:r>
              <w:rPr>
                <w:rFonts w:ascii="仿宋_GB2312" w:hAnsi="仿宋_GB2312" w:cs="仿宋_GB2312" w:eastAsia="仿宋_GB2312"/>
              </w:rPr>
              <w:t>体检团队人员配备</w:t>
            </w:r>
          </w:p>
        </w:tc>
        <w:tc>
          <w:tcPr>
            <w:tcW w:type="dxa" w:w="2492"/>
          </w:tcPr>
          <w:p>
            <w:pPr>
              <w:pStyle w:val="null3"/>
            </w:pPr>
            <w:r>
              <w:rPr>
                <w:rFonts w:ascii="仿宋_GB2312" w:hAnsi="仿宋_GB2312" w:cs="仿宋_GB2312" w:eastAsia="仿宋_GB2312"/>
              </w:rPr>
              <w:t>结合本项目要求，提供专业的服务团队，人员岗位设置专业、合理、充足，配备满足体检需求相关服务资格、责任心强的医护人员，针对本项目提供不少于18人的检查团队得9分，不满足不得分。在此基础上，每增加一个相关专业高级职称得2分，每增加一名副主任医师得1分，此项最高得15分。 以上内容未提供不得分。 说明：本项目投入的医务人员均具备国家规定的相应执业证书，且上述人员均需为本单位在职人员（含退休返聘）。投标时提供体检医务人员名单（包含人员姓名、身份证号码、职称等信息），并提供医生、护士有效的执业证书、职称证书、劳动合同或社保缴纳证明；技师职称证书劳动合同或社保缴纳证明。</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服务方案响应说明.docx</w:t>
            </w:r>
          </w:p>
        </w:tc>
      </w:tr>
      <w:tr>
        <w:tc>
          <w:tcPr>
            <w:tcW w:type="dxa" w:w="831"/>
            <w:vMerge/>
          </w:tcPr>
          <w:p/>
        </w:tc>
        <w:tc>
          <w:tcPr>
            <w:tcW w:type="dxa" w:w="1661"/>
          </w:tcPr>
          <w:p>
            <w:pPr>
              <w:pStyle w:val="null3"/>
            </w:pPr>
            <w:r>
              <w:rPr>
                <w:rFonts w:ascii="仿宋_GB2312" w:hAnsi="仿宋_GB2312" w:cs="仿宋_GB2312" w:eastAsia="仿宋_GB2312"/>
              </w:rPr>
              <w:t>体检设备</w:t>
            </w:r>
          </w:p>
        </w:tc>
        <w:tc>
          <w:tcPr>
            <w:tcW w:type="dxa" w:w="2492"/>
          </w:tcPr>
          <w:p>
            <w:pPr>
              <w:pStyle w:val="null3"/>
            </w:pPr>
            <w:r>
              <w:rPr>
                <w:rFonts w:ascii="仿宋_GB2312" w:hAnsi="仿宋_GB2312" w:cs="仿宋_GB2312" w:eastAsia="仿宋_GB2312"/>
              </w:rPr>
              <w:t>内容包括但不限于：①检测仪器的清单、功能描述；②试剂耗材的清单、功能描述。以上内容专门针对本项目且阐述明晰、全面、合理得6分，每缺一项内容扣3分，评审内容有缺陷的根据情况扣分，扣完为止。“缺陷”是指：内容粗略、逻辑混乱、描述过于简单、与项目特点不匹配、凭空编造、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服务方案响应说明.docx</w:t>
            </w:r>
          </w:p>
        </w:tc>
      </w:tr>
      <w:tr>
        <w:tc>
          <w:tcPr>
            <w:tcW w:type="dxa" w:w="831"/>
            <w:vMerge/>
          </w:tcPr>
          <w:p/>
        </w:tc>
        <w:tc>
          <w:tcPr>
            <w:tcW w:type="dxa" w:w="1661"/>
          </w:tcPr>
          <w:p>
            <w:pPr>
              <w:pStyle w:val="null3"/>
            </w:pPr>
            <w:r>
              <w:rPr>
                <w:rFonts w:ascii="仿宋_GB2312" w:hAnsi="仿宋_GB2312" w:cs="仿宋_GB2312" w:eastAsia="仿宋_GB2312"/>
              </w:rPr>
              <w:t>体检资料</w:t>
            </w:r>
          </w:p>
        </w:tc>
        <w:tc>
          <w:tcPr>
            <w:tcW w:type="dxa" w:w="2492"/>
          </w:tcPr>
          <w:p>
            <w:pPr>
              <w:pStyle w:val="null3"/>
            </w:pPr>
            <w:r>
              <w:rPr>
                <w:rFonts w:ascii="仿宋_GB2312" w:hAnsi="仿宋_GB2312" w:cs="仿宋_GB2312" w:eastAsia="仿宋_GB2312"/>
              </w:rPr>
              <w:t>内容包括但不限于：①体检结果分析；②健康风险评估报告；③治疗建议；④被检人员的体检结果详细资料及电子档案。以上内容专门针对本项目且阐述明晰、全面、合理得8分，每缺一项内容扣2分，评审内容有缺陷的根据情况扣分，扣完为止。“缺陷”是指：内容粗略、逻辑混乱、描述过于简单、与项目特点不匹配、凭空编造、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服务方案响应说明.docx</w:t>
            </w:r>
          </w:p>
        </w:tc>
      </w:tr>
      <w:tr>
        <w:tc>
          <w:tcPr>
            <w:tcW w:type="dxa" w:w="831"/>
            <w:vMerge/>
          </w:tcPr>
          <w:p/>
        </w:tc>
        <w:tc>
          <w:tcPr>
            <w:tcW w:type="dxa" w:w="1661"/>
          </w:tcPr>
          <w:p>
            <w:pPr>
              <w:pStyle w:val="null3"/>
            </w:pPr>
            <w:r>
              <w:rPr>
                <w:rFonts w:ascii="仿宋_GB2312" w:hAnsi="仿宋_GB2312" w:cs="仿宋_GB2312" w:eastAsia="仿宋_GB2312"/>
              </w:rPr>
              <w:t>体检场地</w:t>
            </w:r>
          </w:p>
        </w:tc>
        <w:tc>
          <w:tcPr>
            <w:tcW w:type="dxa" w:w="2492"/>
          </w:tcPr>
          <w:p>
            <w:pPr>
              <w:pStyle w:val="null3"/>
            </w:pPr>
            <w:r>
              <w:rPr>
                <w:rFonts w:ascii="仿宋_GB2312" w:hAnsi="仿宋_GB2312" w:cs="仿宋_GB2312" w:eastAsia="仿宋_GB2312"/>
              </w:rPr>
              <w:t>针对本次体检服务，提供独立的体检空间和受检者专用通道，遵循“医检分开、相对独立”的原则，防止受检者与其他无关人员接触，提供相关证明材料（包括但不限于场地产权证明或租赁合同、场地现场照片及划分平面图等）得3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服务方案响应说明.docx</w:t>
            </w:r>
          </w:p>
        </w:tc>
      </w:tr>
      <w:tr>
        <w:tc>
          <w:tcPr>
            <w:tcW w:type="dxa" w:w="831"/>
            <w:vMerge/>
          </w:tcPr>
          <w:p/>
        </w:tc>
        <w:tc>
          <w:tcPr>
            <w:tcW w:type="dxa" w:w="1661"/>
          </w:tcPr>
          <w:p>
            <w:pPr>
              <w:pStyle w:val="null3"/>
            </w:pPr>
            <w:r>
              <w:rPr>
                <w:rFonts w:ascii="仿宋_GB2312" w:hAnsi="仿宋_GB2312" w:cs="仿宋_GB2312" w:eastAsia="仿宋_GB2312"/>
              </w:rPr>
              <w:t>综合服务能力</w:t>
            </w:r>
          </w:p>
        </w:tc>
        <w:tc>
          <w:tcPr>
            <w:tcW w:type="dxa" w:w="2492"/>
          </w:tcPr>
          <w:p>
            <w:pPr>
              <w:pStyle w:val="null3"/>
            </w:pPr>
            <w:r>
              <w:rPr>
                <w:rFonts w:ascii="仿宋_GB2312" w:hAnsi="仿宋_GB2312" w:cs="仿宋_GB2312" w:eastAsia="仿宋_GB2312"/>
              </w:rPr>
              <w:t>内容包括但不限于：①具有先进的体检手段（如AI智能检测等）；②具有智能化体检信息服务（如只能导检、叫号系统、健康档案管理系统、体检报告在线查询系统等）；③针对本项目不同服务对象，结合行业属性及行业高发疾病、不同年龄段身体状况特性及高发疾病，对体检项目有升级或增项；④针对本项目不同服务对象中有特殊需求的人员，提供专项服务(包括但不限于免费车辆接送、专人陪检等) ；⑤对于无法按统一约定时间进行体检的人员，可以提供另行预约时间的方案。以上内容专门针对本项目且阐述明晰、全面、合理得10分，每缺一项内容扣2分，评审内容有缺陷的根据情况扣分，扣完为止。“缺陷”是指：内容粗略、逻辑混乱、描述过于简单、与项目特点不匹配、凭空编造、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服务方案响应说明.docx</w:t>
            </w:r>
          </w:p>
        </w:tc>
      </w:tr>
      <w:tr>
        <w:tc>
          <w:tcPr>
            <w:tcW w:type="dxa" w:w="831"/>
            <w:vMerge/>
          </w:tcPr>
          <w:p/>
        </w:tc>
        <w:tc>
          <w:tcPr>
            <w:tcW w:type="dxa" w:w="1661"/>
          </w:tcPr>
          <w:p>
            <w:pPr>
              <w:pStyle w:val="null3"/>
            </w:pPr>
            <w:r>
              <w:rPr>
                <w:rFonts w:ascii="仿宋_GB2312" w:hAnsi="仿宋_GB2312" w:cs="仿宋_GB2312" w:eastAsia="仿宋_GB2312"/>
              </w:rPr>
              <w:t>体检后续服务</w:t>
            </w:r>
          </w:p>
        </w:tc>
        <w:tc>
          <w:tcPr>
            <w:tcW w:type="dxa" w:w="2492"/>
          </w:tcPr>
          <w:p>
            <w:pPr>
              <w:pStyle w:val="null3"/>
            </w:pPr>
            <w:r>
              <w:rPr>
                <w:rFonts w:ascii="仿宋_GB2312" w:hAnsi="仿宋_GB2312" w:cs="仿宋_GB2312" w:eastAsia="仿宋_GB2312"/>
              </w:rPr>
              <w:t>内容包括但不限于：①体检报告移交及时性；②体检报告的准确性(需保证后期可使用体检报告直接进行就医) ；③提供初次体检及检后就医绿色通道；④按照专科指南，有体检阳性结果处理小组和流程，并有跟踪复诊提醒；⑤配套服务(包括但不限于体检结果详细解读等)。以上内容专门针对本项目且阐述明晰、全面、合理得15分，每缺一项内容扣3分，评审内容有缺陷的根据情况扣分，扣完为止。“缺陷”是指：内容粗略、逻辑混乱、描述过于简单、与项目特点不匹配、凭空编造、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服务方案响应说明.docx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提供2022年1月1日至今（以合同签订时间为准）的同类项目（体检服务）业绩，每提供1份得1分，最高得5分。 注：磋商响应文件中提供合同复印件加盖公章。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业绩有关证明材料.docx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满足磋商文件要求且最后报价最低的供应商的价格为评标基准价，其价格分为满分。其他供应商的价格分统一按照下列公式计算： 投标报价得分=（评标基准价/最后报价）×价格权值×100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详见附件：响应文件封面.docx</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详见附件：基本资格条件承诺函.docx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详见附件：具有独立承担民事责任能力.docx</w:t>
      </w:r>
    </w:p>
    <w:p>
      <w:pPr>
        <w:pStyle w:val="null3"/>
        <w:ind w:firstLine="960"/>
      </w:pPr>
      <w:r>
        <w:rPr>
          <w:rFonts w:ascii="仿宋_GB2312" w:hAnsi="仿宋_GB2312" w:cs="仿宋_GB2312" w:eastAsia="仿宋_GB2312"/>
        </w:rPr>
        <w:t>详见附件：企业资质.docx</w:t>
      </w:r>
    </w:p>
    <w:p>
      <w:pPr>
        <w:pStyle w:val="null3"/>
        <w:ind w:firstLine="960"/>
      </w:pPr>
      <w:r>
        <w:rPr>
          <w:rFonts w:ascii="仿宋_GB2312" w:hAnsi="仿宋_GB2312" w:cs="仿宋_GB2312" w:eastAsia="仿宋_GB2312"/>
        </w:rPr>
        <w:t>详见附件：法定代表人身份证明或法定代表人授权委托书.docx</w:t>
      </w:r>
    </w:p>
    <w:p>
      <w:pPr>
        <w:pStyle w:val="null3"/>
        <w:ind w:firstLine="960"/>
      </w:pPr>
      <w:r>
        <w:rPr>
          <w:rFonts w:ascii="仿宋_GB2312" w:hAnsi="仿宋_GB2312" w:cs="仿宋_GB2312" w:eastAsia="仿宋_GB2312"/>
        </w:rPr>
        <w:t>详见附件：信誉要求.docx</w:t>
      </w:r>
    </w:p>
    <w:p>
      <w:pPr>
        <w:pStyle w:val="null3"/>
        <w:ind w:firstLine="960"/>
      </w:pPr>
      <w:r>
        <w:rPr>
          <w:rFonts w:ascii="仿宋_GB2312" w:hAnsi="仿宋_GB2312" w:cs="仿宋_GB2312" w:eastAsia="仿宋_GB2312"/>
        </w:rPr>
        <w:t>详见附件：合同条款响应偏离表.docx</w:t>
      </w:r>
    </w:p>
    <w:p>
      <w:pPr>
        <w:pStyle w:val="null3"/>
        <w:ind w:firstLine="960"/>
      </w:pPr>
      <w:r>
        <w:rPr>
          <w:rFonts w:ascii="仿宋_GB2312" w:hAnsi="仿宋_GB2312" w:cs="仿宋_GB2312" w:eastAsia="仿宋_GB2312"/>
        </w:rPr>
        <w:t>详见附件：服务方案响应说明.docx</w:t>
      </w:r>
    </w:p>
    <w:p>
      <w:pPr>
        <w:pStyle w:val="null3"/>
        <w:ind w:firstLine="960"/>
      </w:pPr>
      <w:r>
        <w:rPr>
          <w:rFonts w:ascii="仿宋_GB2312" w:hAnsi="仿宋_GB2312" w:cs="仿宋_GB2312" w:eastAsia="仿宋_GB2312"/>
        </w:rPr>
        <w:t>详见附件：业绩有关证明材料.docx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详见附件：拟签订的合同条款文本(1)(1).docx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