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7CD56E">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rPr>
          <w:rFonts w:hint="eastAsia" w:ascii="方正小标宋简体" w:hAnsi="方正小标宋简体" w:eastAsia="方正小标宋简体" w:cs="方正小标宋简体"/>
          <w:b w:val="0"/>
          <w:bCs w:val="0"/>
          <w:spacing w:val="-5"/>
          <w:sz w:val="44"/>
          <w:szCs w:val="44"/>
        </w:rPr>
      </w:pPr>
      <w:bookmarkStart w:id="0" w:name="_Hlk107229277"/>
      <w:r>
        <w:rPr>
          <w:rFonts w:hint="eastAsia" w:ascii="方正小标宋简体" w:hAnsi="方正小标宋简体" w:eastAsia="方正小标宋简体" w:cs="方正小标宋简体"/>
          <w:b w:val="0"/>
          <w:bCs w:val="0"/>
          <w:spacing w:val="-5"/>
          <w:sz w:val="44"/>
          <w:szCs w:val="44"/>
        </w:rPr>
        <w:t>拟签订的合同条款文本</w:t>
      </w:r>
    </w:p>
    <w:bookmarkEnd w:id="0"/>
    <w:p w14:paraId="520EA121">
      <w:pPr>
        <w:tabs>
          <w:tab w:val="left" w:pos="9030"/>
        </w:tabs>
        <w:snapToGrid w:val="0"/>
        <w:spacing w:line="360" w:lineRule="auto"/>
        <w:ind w:right="-62"/>
        <w:jc w:val="center"/>
        <w:outlineLvl w:val="0"/>
        <w:rPr>
          <w:rFonts w:hint="eastAsia"/>
          <w:b w:val="0"/>
          <w:bCs w:val="0"/>
          <w:sz w:val="18"/>
          <w:szCs w:val="18"/>
          <w:highlight w:val="none"/>
          <w:lang w:val="zh-CN"/>
        </w:rPr>
      </w:pPr>
      <w:r>
        <w:rPr>
          <w:rFonts w:hint="eastAsia"/>
          <w:b w:val="0"/>
          <w:bCs w:val="0"/>
          <w:sz w:val="18"/>
          <w:szCs w:val="18"/>
          <w:highlight w:val="none"/>
          <w:lang w:val="zh-CN"/>
        </w:rPr>
        <w:t>（</w:t>
      </w:r>
      <w:r>
        <w:rPr>
          <w:rFonts w:hint="eastAsia" w:eastAsia="宋体"/>
          <w:b w:val="0"/>
          <w:bCs w:val="0"/>
          <w:sz w:val="18"/>
          <w:szCs w:val="18"/>
          <w:highlight w:val="none"/>
          <w:lang w:val="en-US" w:eastAsia="zh-CN"/>
        </w:rPr>
        <w:t>具体以甲方签订合同为准</w:t>
      </w:r>
      <w:r>
        <w:rPr>
          <w:rFonts w:hint="eastAsia"/>
          <w:b w:val="0"/>
          <w:bCs w:val="0"/>
          <w:sz w:val="18"/>
          <w:szCs w:val="18"/>
          <w:highlight w:val="none"/>
          <w:lang w:val="zh-CN"/>
        </w:rPr>
        <w:t>）</w:t>
      </w:r>
    </w:p>
    <w:p w14:paraId="1F6F5B98">
      <w:pPr>
        <w:autoSpaceDE w:val="0"/>
        <w:autoSpaceDN w:val="0"/>
        <w:adjustRightInd w:val="0"/>
        <w:spacing w:line="360" w:lineRule="auto"/>
        <w:ind w:firstLine="400" w:firstLineChars="200"/>
        <w:rPr>
          <w:rFonts w:hint="eastAsia" w:ascii="仿宋_GB2312" w:hAnsi="仿宋_GB2312" w:eastAsia="仿宋_GB2312" w:cs="仿宋_GB2312"/>
          <w:sz w:val="20"/>
          <w:szCs w:val="20"/>
          <w:highlight w:val="none"/>
          <w:u w:val="single"/>
        </w:rPr>
      </w:pPr>
      <w:r>
        <w:rPr>
          <w:rFonts w:hint="eastAsia" w:ascii="仿宋_GB2312" w:hAnsi="仿宋_GB2312" w:eastAsia="仿宋_GB2312" w:cs="仿宋_GB2312"/>
          <w:bCs/>
          <w:sz w:val="20"/>
          <w:szCs w:val="20"/>
          <w:highlight w:val="none"/>
        </w:rPr>
        <w:t>甲方（采购人）：</w:t>
      </w:r>
      <w:r>
        <w:rPr>
          <w:rFonts w:hint="eastAsia" w:ascii="仿宋_GB2312" w:hAnsi="仿宋_GB2312" w:eastAsia="仿宋_GB2312" w:cs="仿宋_GB2312"/>
          <w:bCs/>
          <w:sz w:val="20"/>
          <w:szCs w:val="20"/>
          <w:highlight w:val="none"/>
          <w:u w:val="single"/>
        </w:rPr>
        <w:t xml:space="preserve">                                    </w:t>
      </w:r>
    </w:p>
    <w:p w14:paraId="0DA6DD42">
      <w:pPr>
        <w:autoSpaceDE w:val="0"/>
        <w:autoSpaceDN w:val="0"/>
        <w:adjustRightInd w:val="0"/>
        <w:spacing w:line="360" w:lineRule="auto"/>
        <w:ind w:firstLine="400" w:firstLineChars="200"/>
        <w:rPr>
          <w:rFonts w:hint="eastAsia" w:ascii="仿宋_GB2312" w:hAnsi="仿宋_GB2312" w:eastAsia="仿宋_GB2312" w:cs="仿宋_GB2312"/>
          <w:bCs/>
          <w:sz w:val="20"/>
          <w:szCs w:val="20"/>
          <w:highlight w:val="none"/>
          <w:u w:val="single"/>
          <w:lang w:val="en-US" w:eastAsia="zh-CN"/>
        </w:rPr>
      </w:pPr>
      <w:r>
        <w:rPr>
          <w:rFonts w:hint="eastAsia" w:ascii="仿宋_GB2312" w:hAnsi="仿宋_GB2312" w:eastAsia="仿宋_GB2312" w:cs="仿宋_GB2312"/>
          <w:bCs/>
          <w:sz w:val="20"/>
          <w:szCs w:val="20"/>
          <w:highlight w:val="none"/>
          <w:lang w:val="en-US" w:eastAsia="zh-CN"/>
        </w:rPr>
        <w:t>地  址：</w:t>
      </w:r>
      <w:r>
        <w:rPr>
          <w:rFonts w:hint="eastAsia" w:ascii="仿宋_GB2312" w:hAnsi="仿宋_GB2312" w:eastAsia="仿宋_GB2312" w:cs="仿宋_GB2312"/>
          <w:bCs/>
          <w:sz w:val="20"/>
          <w:szCs w:val="20"/>
          <w:highlight w:val="none"/>
          <w:u w:val="single"/>
          <w:lang w:val="en-US" w:eastAsia="zh-CN"/>
        </w:rPr>
        <w:t xml:space="preserve">                                            </w:t>
      </w:r>
    </w:p>
    <w:p w14:paraId="33C921E3">
      <w:pPr>
        <w:autoSpaceDE w:val="0"/>
        <w:autoSpaceDN w:val="0"/>
        <w:adjustRightInd w:val="0"/>
        <w:spacing w:line="360" w:lineRule="auto"/>
        <w:ind w:firstLine="400" w:firstLineChars="200"/>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乙方（成交供应商）：</w:t>
      </w:r>
      <w:r>
        <w:rPr>
          <w:rFonts w:hint="eastAsia" w:ascii="仿宋_GB2312" w:hAnsi="仿宋_GB2312" w:eastAsia="仿宋_GB2312" w:cs="仿宋_GB2312"/>
          <w:bCs/>
          <w:sz w:val="20"/>
          <w:szCs w:val="20"/>
          <w:highlight w:val="none"/>
          <w:u w:val="single"/>
        </w:rPr>
        <w:t xml:space="preserve">                                </w:t>
      </w:r>
      <w:r>
        <w:rPr>
          <w:rFonts w:hint="eastAsia" w:ascii="仿宋_GB2312" w:hAnsi="仿宋_GB2312" w:eastAsia="仿宋_GB2312" w:cs="仿宋_GB2312"/>
          <w:bCs/>
          <w:sz w:val="20"/>
          <w:szCs w:val="20"/>
          <w:highlight w:val="none"/>
        </w:rPr>
        <w:t xml:space="preserve"> </w:t>
      </w:r>
    </w:p>
    <w:p w14:paraId="2F0F1ABE">
      <w:pPr>
        <w:autoSpaceDE w:val="0"/>
        <w:autoSpaceDN w:val="0"/>
        <w:adjustRightInd w:val="0"/>
        <w:spacing w:line="360" w:lineRule="auto"/>
        <w:ind w:firstLine="400" w:firstLineChars="200"/>
        <w:jc w:val="left"/>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地  址：</w:t>
      </w:r>
      <w:r>
        <w:rPr>
          <w:rFonts w:hint="eastAsia" w:ascii="仿宋_GB2312" w:hAnsi="仿宋_GB2312" w:eastAsia="仿宋_GB2312" w:cs="仿宋_GB2312"/>
          <w:bCs/>
          <w:sz w:val="20"/>
          <w:szCs w:val="20"/>
          <w:highlight w:val="none"/>
          <w:u w:val="single"/>
          <w:lang w:val="en-US" w:eastAsia="zh-CN"/>
        </w:rPr>
        <w:t xml:space="preserve">                                            </w:t>
      </w:r>
    </w:p>
    <w:p w14:paraId="7A8716F5">
      <w:pPr>
        <w:autoSpaceDE w:val="0"/>
        <w:autoSpaceDN w:val="0"/>
        <w:adjustRightInd w:val="0"/>
        <w:spacing w:line="360" w:lineRule="auto"/>
        <w:ind w:firstLine="400" w:firstLineChars="200"/>
        <w:jc w:val="left"/>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u w:val="single"/>
        </w:rPr>
        <w:t>民警健康体检项目(项目编号：</w:t>
      </w:r>
      <w:r>
        <w:rPr>
          <w:rFonts w:hint="eastAsia" w:ascii="仿宋_GB2312" w:hAnsi="仿宋_GB2312" w:eastAsia="仿宋_GB2312" w:cs="仿宋_GB2312"/>
          <w:bCs/>
          <w:sz w:val="20"/>
          <w:szCs w:val="20"/>
          <w:highlight w:val="none"/>
          <w:u w:val="single"/>
          <w:lang w:eastAsia="zh-CN"/>
        </w:rPr>
        <w:t>SXHC202</w:t>
      </w:r>
      <w:r>
        <w:rPr>
          <w:rFonts w:hint="eastAsia" w:ascii="仿宋_GB2312" w:hAnsi="仿宋_GB2312" w:eastAsia="仿宋_GB2312" w:cs="仿宋_GB2312"/>
          <w:bCs/>
          <w:sz w:val="20"/>
          <w:szCs w:val="20"/>
          <w:highlight w:val="none"/>
          <w:u w:val="single"/>
          <w:lang w:val="en-US" w:eastAsia="zh-CN"/>
        </w:rPr>
        <w:t>5</w:t>
      </w:r>
      <w:r>
        <w:rPr>
          <w:rFonts w:hint="eastAsia" w:ascii="仿宋_GB2312" w:hAnsi="仿宋_GB2312" w:eastAsia="仿宋_GB2312" w:cs="仿宋_GB2312"/>
          <w:bCs/>
          <w:sz w:val="20"/>
          <w:szCs w:val="20"/>
          <w:highlight w:val="none"/>
          <w:u w:val="single"/>
          <w:lang w:eastAsia="zh-CN"/>
        </w:rPr>
        <w:t>-</w:t>
      </w:r>
      <w:r>
        <w:rPr>
          <w:rFonts w:hint="eastAsia" w:ascii="仿宋_GB2312" w:hAnsi="仿宋_GB2312" w:eastAsia="仿宋_GB2312" w:cs="仿宋_GB2312"/>
          <w:bCs/>
          <w:sz w:val="20"/>
          <w:szCs w:val="20"/>
          <w:highlight w:val="none"/>
          <w:u w:val="single"/>
          <w:lang w:val="en-US" w:eastAsia="zh-CN"/>
        </w:rPr>
        <w:t>313</w:t>
      </w:r>
      <w:bookmarkStart w:id="1" w:name="_GoBack"/>
      <w:bookmarkEnd w:id="1"/>
      <w:r>
        <w:rPr>
          <w:rFonts w:hint="eastAsia" w:ascii="仿宋_GB2312" w:hAnsi="仿宋_GB2312" w:eastAsia="仿宋_GB2312" w:cs="仿宋_GB2312"/>
          <w:bCs/>
          <w:sz w:val="20"/>
          <w:szCs w:val="20"/>
          <w:highlight w:val="none"/>
          <w:u w:val="single"/>
        </w:rPr>
        <w:t>)</w:t>
      </w:r>
      <w:r>
        <w:rPr>
          <w:rFonts w:hint="eastAsia" w:ascii="仿宋_GB2312" w:hAnsi="仿宋_GB2312" w:eastAsia="仿宋_GB2312" w:cs="仿宋_GB2312"/>
          <w:bCs/>
          <w:sz w:val="20"/>
          <w:szCs w:val="20"/>
          <w:highlight w:val="none"/>
        </w:rPr>
        <w:t>由陕西华采招标有限公司组织竞争性磋商，</w:t>
      </w:r>
      <w:r>
        <w:rPr>
          <w:rFonts w:hint="eastAsia" w:ascii="仿宋_GB2312" w:hAnsi="仿宋_GB2312" w:eastAsia="仿宋_GB2312" w:cs="仿宋_GB2312"/>
          <w:bCs/>
          <w:sz w:val="20"/>
          <w:szCs w:val="20"/>
          <w:highlight w:val="none"/>
          <w:u w:val="single"/>
        </w:rPr>
        <w:t xml:space="preserve">    </w:t>
      </w:r>
      <w:r>
        <w:rPr>
          <w:rFonts w:hint="eastAsia" w:ascii="仿宋_GB2312" w:hAnsi="仿宋_GB2312" w:eastAsia="仿宋_GB2312" w:cs="仿宋_GB2312"/>
          <w:bCs/>
          <w:sz w:val="20"/>
          <w:szCs w:val="20"/>
          <w:highlight w:val="none"/>
        </w:rPr>
        <w:t>(以下简称“甲方”)确定</w:t>
      </w:r>
      <w:r>
        <w:rPr>
          <w:rFonts w:hint="eastAsia" w:ascii="仿宋_GB2312" w:hAnsi="仿宋_GB2312" w:eastAsia="仿宋_GB2312" w:cs="仿宋_GB2312"/>
          <w:bCs/>
          <w:sz w:val="20"/>
          <w:szCs w:val="20"/>
          <w:highlight w:val="none"/>
          <w:u w:val="single"/>
        </w:rPr>
        <w:t xml:space="preserve">        </w:t>
      </w:r>
      <w:r>
        <w:rPr>
          <w:rFonts w:hint="eastAsia" w:ascii="仿宋_GB2312" w:hAnsi="仿宋_GB2312" w:eastAsia="仿宋_GB2312" w:cs="仿宋_GB2312"/>
          <w:bCs/>
          <w:sz w:val="20"/>
          <w:szCs w:val="20"/>
          <w:highlight w:val="none"/>
        </w:rPr>
        <w:t>（以下简称“乙方”）为该项目的成交供应商。</w:t>
      </w:r>
    </w:p>
    <w:p w14:paraId="48F5AA2B">
      <w:pPr>
        <w:autoSpaceDE w:val="0"/>
        <w:autoSpaceDN w:val="0"/>
        <w:adjustRightInd w:val="0"/>
        <w:snapToGrid w:val="0"/>
        <w:spacing w:line="360" w:lineRule="auto"/>
        <w:ind w:firstLine="400" w:firstLineChars="200"/>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依据《中华人民共和国民法典》和《中华人民共和国政府采购法》，经双方在平等、自愿、互利的基础上，签订本合同，共同信守。</w:t>
      </w:r>
    </w:p>
    <w:p w14:paraId="0C5E89DA">
      <w:pPr>
        <w:autoSpaceDE w:val="0"/>
        <w:autoSpaceDN w:val="0"/>
        <w:adjustRightInd w:val="0"/>
        <w:spacing w:line="360" w:lineRule="auto"/>
        <w:ind w:firstLine="402" w:firstLineChars="200"/>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一、合同价款</w:t>
      </w:r>
    </w:p>
    <w:p w14:paraId="728A5F8F">
      <w:pPr>
        <w:autoSpaceDE w:val="0"/>
        <w:autoSpaceDN w:val="0"/>
        <w:adjustRightInd w:val="0"/>
        <w:snapToGrid w:val="0"/>
        <w:spacing w:line="360" w:lineRule="auto"/>
        <w:ind w:firstLine="400" w:firstLineChars="200"/>
        <w:rPr>
          <w:rFonts w:hint="eastAsia" w:ascii="仿宋_GB2312" w:hAnsi="仿宋_GB2312" w:eastAsia="仿宋_GB2312" w:cs="仿宋_GB2312"/>
          <w:b/>
          <w:bCs w:val="0"/>
          <w:sz w:val="20"/>
          <w:szCs w:val="20"/>
          <w:highlight w:val="none"/>
        </w:rPr>
      </w:pPr>
      <w:r>
        <w:rPr>
          <w:rFonts w:hint="eastAsia" w:ascii="仿宋_GB2312" w:hAnsi="仿宋_GB2312" w:eastAsia="仿宋_GB2312" w:cs="仿宋_GB2312"/>
          <w:b w:val="0"/>
          <w:bCs w:val="0"/>
          <w:sz w:val="20"/>
          <w:szCs w:val="20"/>
          <w:highlight w:val="none"/>
        </w:rPr>
        <w:t>（一）合同</w:t>
      </w:r>
      <w:r>
        <w:rPr>
          <w:rFonts w:hint="eastAsia" w:ascii="仿宋_GB2312" w:hAnsi="仿宋_GB2312" w:eastAsia="仿宋_GB2312" w:cs="仿宋_GB2312"/>
          <w:b w:val="0"/>
          <w:bCs w:val="0"/>
          <w:sz w:val="20"/>
          <w:szCs w:val="20"/>
          <w:highlight w:val="none"/>
          <w:lang w:eastAsia="zh-CN"/>
        </w:rPr>
        <w:t>暂定</w:t>
      </w:r>
      <w:r>
        <w:rPr>
          <w:rFonts w:hint="eastAsia" w:ascii="仿宋_GB2312" w:hAnsi="仿宋_GB2312" w:eastAsia="仿宋_GB2312" w:cs="仿宋_GB2312"/>
          <w:b w:val="0"/>
          <w:bCs w:val="0"/>
          <w:sz w:val="20"/>
          <w:szCs w:val="20"/>
          <w:highlight w:val="none"/>
          <w:lang w:val="en-US" w:eastAsia="zh-CN"/>
        </w:rPr>
        <w:t>综合单价</w:t>
      </w:r>
      <w:r>
        <w:rPr>
          <w:rFonts w:hint="eastAsia" w:ascii="仿宋_GB2312" w:hAnsi="仿宋_GB2312" w:eastAsia="仿宋_GB2312" w:cs="仿宋_GB2312"/>
          <w:b w:val="0"/>
          <w:bCs w:val="0"/>
          <w:sz w:val="20"/>
          <w:szCs w:val="20"/>
          <w:highlight w:val="none"/>
        </w:rPr>
        <w:t>为</w:t>
      </w:r>
      <w:r>
        <w:rPr>
          <w:rFonts w:hint="eastAsia" w:ascii="仿宋_GB2312" w:hAnsi="仿宋_GB2312" w:eastAsia="仿宋_GB2312" w:cs="仿宋_GB2312"/>
          <w:sz w:val="20"/>
          <w:szCs w:val="20"/>
          <w:highlight w:val="none"/>
          <w:lang w:val="en-US" w:eastAsia="zh-CN"/>
        </w:rPr>
        <w:t>：</w:t>
      </w:r>
      <w:r>
        <w:rPr>
          <w:rFonts w:hint="eastAsia" w:ascii="仿宋_GB2312" w:hAnsi="仿宋_GB2312" w:eastAsia="仿宋_GB2312" w:cs="仿宋_GB2312"/>
          <w:sz w:val="20"/>
          <w:szCs w:val="20"/>
          <w:highlight w:val="none"/>
          <w:u w:val="single"/>
          <w:lang w:val="en-US" w:eastAsia="zh-CN"/>
        </w:rPr>
        <w:t xml:space="preserve">      </w:t>
      </w:r>
      <w:r>
        <w:rPr>
          <w:rFonts w:hint="eastAsia" w:ascii="仿宋_GB2312" w:hAnsi="仿宋_GB2312" w:eastAsia="仿宋_GB2312" w:cs="仿宋_GB2312"/>
          <w:sz w:val="20"/>
          <w:szCs w:val="20"/>
          <w:highlight w:val="none"/>
          <w:u w:val="none"/>
          <w:lang w:val="en-US" w:eastAsia="zh-CN"/>
        </w:rPr>
        <w:t>元/人，</w:t>
      </w:r>
      <w:r>
        <w:rPr>
          <w:rFonts w:hint="eastAsia" w:ascii="仿宋_GB2312" w:hAnsi="仿宋_GB2312" w:eastAsia="仿宋_GB2312" w:cs="仿宋_GB2312"/>
          <w:b/>
          <w:bCs w:val="0"/>
          <w:sz w:val="20"/>
          <w:szCs w:val="20"/>
          <w:highlight w:val="none"/>
        </w:rPr>
        <w:t>最终合同支付费用按照实际参加体检人数*成交单价</w:t>
      </w:r>
      <w:r>
        <w:rPr>
          <w:rFonts w:hint="eastAsia" w:ascii="仿宋_GB2312" w:hAnsi="仿宋_GB2312" w:eastAsia="仿宋_GB2312" w:cs="仿宋_GB2312"/>
          <w:b/>
          <w:bCs w:val="0"/>
          <w:sz w:val="20"/>
          <w:szCs w:val="20"/>
          <w:highlight w:val="none"/>
          <w:lang w:eastAsia="zh-CN"/>
        </w:rPr>
        <w:t>据实结算</w:t>
      </w:r>
      <w:r>
        <w:rPr>
          <w:rFonts w:hint="eastAsia" w:ascii="仿宋_GB2312" w:hAnsi="仿宋_GB2312" w:eastAsia="仿宋_GB2312" w:cs="仿宋_GB2312"/>
          <w:b/>
          <w:bCs w:val="0"/>
          <w:sz w:val="20"/>
          <w:szCs w:val="20"/>
          <w:highlight w:val="none"/>
        </w:rPr>
        <w:t>，最终支付不超过项目预算。</w:t>
      </w:r>
    </w:p>
    <w:p w14:paraId="22CCB114">
      <w:pPr>
        <w:autoSpaceDE w:val="0"/>
        <w:autoSpaceDN w:val="0"/>
        <w:adjustRightInd w:val="0"/>
        <w:snapToGrid w:val="0"/>
        <w:spacing w:line="360" w:lineRule="auto"/>
        <w:ind w:firstLine="402" w:firstLineChars="200"/>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b/>
          <w:bCs w:val="0"/>
          <w:sz w:val="20"/>
          <w:szCs w:val="20"/>
          <w:highlight w:val="none"/>
          <w:lang w:eastAsia="zh-CN"/>
        </w:rPr>
        <w:t>说明：</w:t>
      </w:r>
      <w:r>
        <w:rPr>
          <w:rFonts w:hint="eastAsia" w:ascii="仿宋_GB2312" w:hAnsi="仿宋_GB2312" w:eastAsia="仿宋_GB2312" w:cs="仿宋_GB2312"/>
          <w:b/>
          <w:bCs w:val="0"/>
          <w:sz w:val="20"/>
          <w:szCs w:val="20"/>
          <w:highlight w:val="none"/>
        </w:rPr>
        <w:t>体检</w:t>
      </w:r>
      <w:r>
        <w:rPr>
          <w:rFonts w:hint="eastAsia" w:ascii="仿宋_GB2312" w:hAnsi="仿宋_GB2312" w:eastAsia="仿宋_GB2312" w:cs="仿宋_GB2312"/>
          <w:b/>
          <w:bCs w:val="0"/>
          <w:sz w:val="20"/>
          <w:szCs w:val="20"/>
          <w:highlight w:val="none"/>
          <w:lang w:eastAsia="zh-CN"/>
        </w:rPr>
        <w:t>过程中</w:t>
      </w:r>
      <w:r>
        <w:rPr>
          <w:rFonts w:hint="eastAsia" w:ascii="仿宋_GB2312" w:hAnsi="仿宋_GB2312" w:eastAsia="仿宋_GB2312" w:cs="仿宋_GB2312"/>
          <w:b/>
          <w:bCs w:val="0"/>
          <w:sz w:val="20"/>
          <w:szCs w:val="20"/>
          <w:highlight w:val="none"/>
        </w:rPr>
        <w:t>发生套餐外加项的，</w:t>
      </w:r>
      <w:r>
        <w:rPr>
          <w:rFonts w:hint="eastAsia" w:ascii="仿宋_GB2312" w:hAnsi="仿宋_GB2312" w:eastAsia="仿宋_GB2312" w:cs="仿宋_GB2312"/>
          <w:b/>
          <w:bCs w:val="0"/>
          <w:sz w:val="20"/>
          <w:szCs w:val="20"/>
          <w:highlight w:val="none"/>
          <w:lang w:eastAsia="zh-CN"/>
        </w:rPr>
        <w:t>外加项</w:t>
      </w:r>
      <w:r>
        <w:rPr>
          <w:rFonts w:hint="eastAsia" w:ascii="仿宋_GB2312" w:hAnsi="仿宋_GB2312" w:eastAsia="仿宋_GB2312" w:cs="仿宋_GB2312"/>
          <w:b/>
          <w:bCs w:val="0"/>
          <w:sz w:val="20"/>
          <w:szCs w:val="20"/>
          <w:highlight w:val="none"/>
        </w:rPr>
        <w:t>费用由体检本人承担。</w:t>
      </w:r>
    </w:p>
    <w:p w14:paraId="35C1795A">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sz w:val="20"/>
          <w:szCs w:val="20"/>
          <w:highlight w:val="none"/>
        </w:rPr>
        <w:t>（二）合同价款是指包含各项检查所需的材料费、处置费、营养早餐、税金等全部费用</w:t>
      </w:r>
      <w:r>
        <w:rPr>
          <w:rFonts w:hint="eastAsia" w:ascii="仿宋_GB2312" w:hAnsi="仿宋_GB2312" w:eastAsia="仿宋_GB2312" w:cs="仿宋_GB2312"/>
          <w:b w:val="0"/>
          <w:bCs w:val="0"/>
          <w:color w:val="auto"/>
          <w:sz w:val="20"/>
          <w:szCs w:val="20"/>
          <w:highlight w:val="none"/>
        </w:rPr>
        <w:t>。</w:t>
      </w:r>
    </w:p>
    <w:p w14:paraId="60D6F981">
      <w:pPr>
        <w:autoSpaceDE w:val="0"/>
        <w:autoSpaceDN w:val="0"/>
        <w:adjustRightInd w:val="0"/>
        <w:snapToGrid w:val="0"/>
        <w:spacing w:line="360" w:lineRule="auto"/>
        <w:ind w:firstLine="400" w:firstLineChars="200"/>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b w:val="0"/>
          <w:bCs w:val="0"/>
          <w:sz w:val="20"/>
          <w:szCs w:val="20"/>
          <w:highlight w:val="none"/>
        </w:rPr>
        <w:t>（三）合同</w:t>
      </w:r>
      <w:r>
        <w:rPr>
          <w:rFonts w:hint="eastAsia" w:ascii="仿宋_GB2312" w:hAnsi="仿宋_GB2312" w:eastAsia="仿宋_GB2312" w:cs="仿宋_GB2312"/>
          <w:b w:val="0"/>
          <w:bCs w:val="0"/>
          <w:sz w:val="20"/>
          <w:szCs w:val="20"/>
          <w:highlight w:val="none"/>
          <w:lang w:eastAsia="zh-CN"/>
        </w:rPr>
        <w:t>综合单价</w:t>
      </w:r>
      <w:r>
        <w:rPr>
          <w:rFonts w:hint="eastAsia" w:ascii="仿宋_GB2312" w:hAnsi="仿宋_GB2312" w:eastAsia="仿宋_GB2312" w:cs="仿宋_GB2312"/>
          <w:b w:val="0"/>
          <w:bCs w:val="0"/>
          <w:sz w:val="20"/>
          <w:szCs w:val="20"/>
          <w:highlight w:val="none"/>
        </w:rPr>
        <w:t>一次性包死，不受市场价格变化因素的影响</w:t>
      </w:r>
      <w:r>
        <w:rPr>
          <w:rFonts w:hint="eastAsia" w:ascii="仿宋_GB2312" w:hAnsi="仿宋_GB2312" w:eastAsia="仿宋_GB2312" w:cs="仿宋_GB2312"/>
          <w:bCs/>
          <w:sz w:val="20"/>
          <w:szCs w:val="20"/>
          <w:highlight w:val="none"/>
        </w:rPr>
        <w:t>。</w:t>
      </w:r>
    </w:p>
    <w:p w14:paraId="2E0AE1B8">
      <w:pPr>
        <w:autoSpaceDE w:val="0"/>
        <w:autoSpaceDN w:val="0"/>
        <w:adjustRightInd w:val="0"/>
        <w:spacing w:line="360" w:lineRule="auto"/>
        <w:ind w:firstLine="402" w:firstLineChars="200"/>
        <w:rPr>
          <w:rFonts w:hint="eastAsia" w:ascii="仿宋_GB2312" w:hAnsi="仿宋_GB2312" w:eastAsia="仿宋_GB2312" w:cs="仿宋_GB2312"/>
          <w:b/>
          <w:bCs/>
          <w:sz w:val="20"/>
          <w:szCs w:val="20"/>
          <w:highlight w:val="none"/>
          <w:u w:val="single"/>
        </w:rPr>
      </w:pPr>
      <w:r>
        <w:rPr>
          <w:rFonts w:hint="eastAsia" w:ascii="仿宋_GB2312" w:hAnsi="仿宋_GB2312" w:eastAsia="仿宋_GB2312" w:cs="仿宋_GB2312"/>
          <w:b/>
          <w:bCs/>
          <w:sz w:val="20"/>
          <w:szCs w:val="20"/>
          <w:highlight w:val="none"/>
        </w:rPr>
        <w:t>二、委托工作内容：</w:t>
      </w:r>
      <w:r>
        <w:rPr>
          <w:rFonts w:hint="eastAsia" w:ascii="仿宋_GB2312" w:hAnsi="仿宋_GB2312" w:eastAsia="仿宋_GB2312" w:cs="仿宋_GB2312"/>
          <w:b/>
          <w:bCs/>
          <w:sz w:val="20"/>
          <w:szCs w:val="20"/>
          <w:highlight w:val="none"/>
          <w:u w:val="single"/>
        </w:rPr>
        <w:t xml:space="preserve">                 </w:t>
      </w:r>
    </w:p>
    <w:p w14:paraId="3E56F7F3">
      <w:pPr>
        <w:autoSpaceDE w:val="0"/>
        <w:autoSpaceDN w:val="0"/>
        <w:adjustRightInd w:val="0"/>
        <w:spacing w:line="360" w:lineRule="auto"/>
        <w:ind w:firstLine="402" w:firstLineChars="200"/>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三、款项结算</w:t>
      </w:r>
    </w:p>
    <w:p w14:paraId="56C298E1">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_GB2312" w:hAnsi="仿宋_GB2312" w:eastAsia="仿宋_GB2312" w:cs="仿宋_GB2312"/>
          <w:bCs/>
          <w:sz w:val="20"/>
          <w:szCs w:val="20"/>
          <w:highlight w:val="none"/>
          <w:lang w:eastAsia="zh-CN"/>
        </w:rPr>
      </w:pPr>
      <w:r>
        <w:rPr>
          <w:rFonts w:hint="eastAsia" w:ascii="仿宋_GB2312" w:hAnsi="仿宋_GB2312" w:eastAsia="仿宋_GB2312" w:cs="仿宋_GB2312"/>
          <w:bCs/>
          <w:sz w:val="20"/>
          <w:szCs w:val="20"/>
          <w:highlight w:val="none"/>
        </w:rPr>
        <w:t>（一）付款方式：服务</w:t>
      </w:r>
      <w:r>
        <w:rPr>
          <w:rFonts w:hint="eastAsia" w:ascii="仿宋_GB2312" w:hAnsi="仿宋_GB2312" w:eastAsia="仿宋_GB2312" w:cs="仿宋_GB2312"/>
          <w:bCs/>
          <w:sz w:val="20"/>
          <w:szCs w:val="20"/>
          <w:highlight w:val="none"/>
          <w:lang w:eastAsia="zh-CN"/>
        </w:rPr>
        <w:t>期结束，</w:t>
      </w:r>
      <w:r>
        <w:rPr>
          <w:rFonts w:hint="eastAsia" w:ascii="仿宋_GB2312" w:hAnsi="仿宋_GB2312" w:eastAsia="仿宋_GB2312" w:cs="仿宋_GB2312"/>
          <w:bCs/>
          <w:sz w:val="20"/>
          <w:szCs w:val="20"/>
          <w:highlight w:val="none"/>
        </w:rPr>
        <w:t>经甲方验收合格后，</w:t>
      </w:r>
      <w:r>
        <w:rPr>
          <w:rFonts w:hint="eastAsia" w:ascii="仿宋_GB2312" w:hAnsi="仿宋_GB2312" w:eastAsia="仿宋_GB2312" w:cs="仿宋_GB2312"/>
          <w:b/>
          <w:bCs w:val="0"/>
          <w:sz w:val="20"/>
          <w:szCs w:val="20"/>
          <w:highlight w:val="none"/>
        </w:rPr>
        <w:t>按照实际参加体检人数*成交单价</w:t>
      </w:r>
      <w:r>
        <w:rPr>
          <w:rFonts w:hint="eastAsia" w:ascii="仿宋_GB2312" w:hAnsi="仿宋_GB2312" w:eastAsia="仿宋_GB2312" w:cs="仿宋_GB2312"/>
          <w:b/>
          <w:bCs w:val="0"/>
          <w:sz w:val="20"/>
          <w:szCs w:val="20"/>
          <w:highlight w:val="none"/>
          <w:lang w:eastAsia="zh-CN"/>
        </w:rPr>
        <w:t>据实</w:t>
      </w:r>
      <w:r>
        <w:rPr>
          <w:rFonts w:hint="eastAsia" w:ascii="仿宋_GB2312" w:hAnsi="仿宋_GB2312" w:eastAsia="仿宋_GB2312" w:cs="仿宋_GB2312"/>
          <w:b/>
          <w:bCs w:val="0"/>
          <w:sz w:val="20"/>
          <w:szCs w:val="20"/>
          <w:highlight w:val="none"/>
        </w:rPr>
        <w:t>计算，最终支付不超过项目预算。</w:t>
      </w:r>
    </w:p>
    <w:p w14:paraId="7FDA1F12">
      <w:pPr>
        <w:tabs>
          <w:tab w:val="left" w:pos="9030"/>
        </w:tabs>
        <w:adjustRightInd w:val="0"/>
        <w:snapToGrid w:val="0"/>
        <w:spacing w:line="360" w:lineRule="auto"/>
        <w:ind w:firstLine="400" w:firstLineChars="200"/>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（二）结算方式：银行转账。</w:t>
      </w:r>
    </w:p>
    <w:p w14:paraId="761C90F2">
      <w:pPr>
        <w:autoSpaceDE w:val="0"/>
        <w:autoSpaceDN w:val="0"/>
        <w:adjustRightInd w:val="0"/>
        <w:spacing w:line="360" w:lineRule="auto"/>
        <w:ind w:firstLine="400" w:firstLineChars="200"/>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（三）结算单位：</w:t>
      </w:r>
      <w:r>
        <w:rPr>
          <w:rFonts w:hint="eastAsia" w:ascii="仿宋_GB2312" w:hAnsi="仿宋_GB2312" w:eastAsia="仿宋_GB2312" w:cs="仿宋_GB2312"/>
          <w:sz w:val="20"/>
          <w:szCs w:val="20"/>
          <w:highlight w:val="none"/>
          <w:lang w:val="zh-CN"/>
        </w:rPr>
        <w:t>由</w:t>
      </w:r>
      <w:r>
        <w:rPr>
          <w:rFonts w:hint="eastAsia" w:ascii="仿宋_GB2312" w:hAnsi="仿宋_GB2312" w:eastAsia="仿宋_GB2312" w:cs="仿宋_GB2312"/>
          <w:sz w:val="20"/>
          <w:szCs w:val="20"/>
          <w:highlight w:val="none"/>
        </w:rPr>
        <w:t>甲方</w:t>
      </w:r>
      <w:r>
        <w:rPr>
          <w:rFonts w:hint="eastAsia" w:ascii="仿宋_GB2312" w:hAnsi="仿宋_GB2312" w:eastAsia="仿宋_GB2312" w:cs="仿宋_GB2312"/>
          <w:sz w:val="20"/>
          <w:szCs w:val="20"/>
          <w:highlight w:val="none"/>
          <w:lang w:val="zh-CN"/>
        </w:rPr>
        <w:t>负责结算，</w:t>
      </w:r>
      <w:r>
        <w:rPr>
          <w:rFonts w:hint="eastAsia" w:ascii="仿宋_GB2312" w:hAnsi="仿宋_GB2312" w:eastAsia="仿宋_GB2312" w:cs="仿宋_GB2312"/>
          <w:bCs/>
          <w:sz w:val="20"/>
          <w:szCs w:val="20"/>
          <w:highlight w:val="none"/>
        </w:rPr>
        <w:t>乙方开具合同价款的全额发票给甲方。</w:t>
      </w:r>
    </w:p>
    <w:p w14:paraId="37E5127C">
      <w:pPr>
        <w:autoSpaceDE w:val="0"/>
        <w:autoSpaceDN w:val="0"/>
        <w:adjustRightInd w:val="0"/>
        <w:spacing w:line="360" w:lineRule="auto"/>
        <w:ind w:firstLine="402" w:firstLineChars="200"/>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四、服务期</w:t>
      </w:r>
    </w:p>
    <w:p w14:paraId="648DC0B7">
      <w:pPr>
        <w:autoSpaceDE w:val="0"/>
        <w:autoSpaceDN w:val="0"/>
        <w:adjustRightInd w:val="0"/>
        <w:spacing w:line="360" w:lineRule="auto"/>
        <w:ind w:firstLine="400" w:firstLineChars="200"/>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（一）服务地点：西安市范围内，具体按照</w:t>
      </w:r>
      <w:r>
        <w:rPr>
          <w:rFonts w:hint="eastAsia" w:ascii="仿宋_GB2312" w:hAnsi="仿宋_GB2312" w:eastAsia="仿宋_GB2312" w:cs="仿宋_GB2312"/>
          <w:bCs/>
          <w:sz w:val="20"/>
          <w:szCs w:val="20"/>
          <w:highlight w:val="none"/>
          <w:lang w:val="en-US" w:eastAsia="zh-CN"/>
        </w:rPr>
        <w:t>甲方</w:t>
      </w:r>
      <w:r>
        <w:rPr>
          <w:rFonts w:hint="eastAsia" w:ascii="仿宋_GB2312" w:hAnsi="仿宋_GB2312" w:eastAsia="仿宋_GB2312" w:cs="仿宋_GB2312"/>
          <w:bCs/>
          <w:sz w:val="20"/>
          <w:szCs w:val="20"/>
          <w:highlight w:val="none"/>
        </w:rPr>
        <w:t>要求。</w:t>
      </w:r>
    </w:p>
    <w:p w14:paraId="34529F38">
      <w:pPr>
        <w:tabs>
          <w:tab w:val="center" w:pos="4140"/>
          <w:tab w:val="right" w:pos="8300"/>
        </w:tabs>
        <w:autoSpaceDE w:val="0"/>
        <w:autoSpaceDN w:val="0"/>
        <w:adjustRightInd w:val="0"/>
        <w:spacing w:line="360" w:lineRule="auto"/>
        <w:ind w:firstLine="400" w:firstLineChars="200"/>
        <w:rPr>
          <w:rFonts w:hint="eastAsia" w:ascii="仿宋_GB2312" w:hAnsi="仿宋_GB2312" w:eastAsia="仿宋_GB2312" w:cs="仿宋_GB2312"/>
          <w:bCs/>
          <w:sz w:val="20"/>
          <w:szCs w:val="20"/>
          <w:highlight w:val="none"/>
          <w:lang w:val="en-US" w:eastAsia="zh-CN"/>
        </w:rPr>
      </w:pPr>
      <w:r>
        <w:rPr>
          <w:rFonts w:hint="eastAsia" w:ascii="仿宋_GB2312" w:hAnsi="仿宋_GB2312" w:eastAsia="仿宋_GB2312" w:cs="仿宋_GB2312"/>
          <w:bCs/>
          <w:sz w:val="20"/>
          <w:szCs w:val="20"/>
          <w:highlight w:val="none"/>
        </w:rPr>
        <w:t>（二）服务期</w:t>
      </w:r>
      <w:r>
        <w:rPr>
          <w:rFonts w:hint="eastAsia" w:ascii="仿宋_GB2312" w:hAnsi="仿宋_GB2312" w:eastAsia="仿宋_GB2312" w:cs="仿宋_GB2312"/>
          <w:bCs/>
          <w:sz w:val="20"/>
          <w:szCs w:val="20"/>
          <w:highlight w:val="none"/>
          <w:lang w:val="en-US" w:eastAsia="zh-CN"/>
        </w:rPr>
        <w:t>限</w:t>
      </w:r>
      <w:r>
        <w:rPr>
          <w:rFonts w:hint="eastAsia" w:ascii="仿宋_GB2312" w:hAnsi="仿宋_GB2312" w:eastAsia="仿宋_GB2312" w:cs="仿宋_GB2312"/>
          <w:bCs/>
          <w:sz w:val="20"/>
          <w:szCs w:val="20"/>
          <w:highlight w:val="none"/>
        </w:rPr>
        <w:t>：自合同签订后90个日历日。</w:t>
      </w:r>
    </w:p>
    <w:p w14:paraId="1E0C98E0">
      <w:pPr>
        <w:autoSpaceDE w:val="0"/>
        <w:autoSpaceDN w:val="0"/>
        <w:adjustRightInd w:val="0"/>
        <w:spacing w:line="360" w:lineRule="auto"/>
        <w:ind w:firstLine="402" w:firstLineChars="200"/>
        <w:rPr>
          <w:rFonts w:hint="eastAsia" w:ascii="仿宋_GB2312" w:hAnsi="仿宋_GB2312" w:eastAsia="仿宋_GB2312" w:cs="仿宋_GB2312"/>
          <w:b/>
          <w:sz w:val="20"/>
          <w:szCs w:val="20"/>
          <w:highlight w:val="none"/>
        </w:rPr>
      </w:pPr>
      <w:r>
        <w:rPr>
          <w:rFonts w:hint="eastAsia" w:ascii="仿宋_GB2312" w:hAnsi="仿宋_GB2312" w:eastAsia="仿宋_GB2312" w:cs="仿宋_GB2312"/>
          <w:b/>
          <w:sz w:val="20"/>
          <w:szCs w:val="20"/>
          <w:highlight w:val="none"/>
        </w:rPr>
        <w:t>五、双方的权利和义务</w:t>
      </w:r>
    </w:p>
    <w:p w14:paraId="5F5053CF">
      <w:pPr>
        <w:autoSpaceDE w:val="0"/>
        <w:autoSpaceDN w:val="0"/>
        <w:adjustRightInd w:val="0"/>
        <w:spacing w:line="360" w:lineRule="auto"/>
        <w:ind w:firstLine="400" w:firstLineChars="200"/>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（一）甲方的权利与义务</w:t>
      </w:r>
    </w:p>
    <w:p w14:paraId="0DF800F9">
      <w:pPr>
        <w:autoSpaceDE w:val="0"/>
        <w:autoSpaceDN w:val="0"/>
        <w:adjustRightInd w:val="0"/>
        <w:spacing w:line="360" w:lineRule="auto"/>
        <w:ind w:firstLine="400" w:firstLineChars="200"/>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7B281DC6">
      <w:pPr>
        <w:autoSpaceDE w:val="0"/>
        <w:autoSpaceDN w:val="0"/>
        <w:adjustRightInd w:val="0"/>
        <w:spacing w:line="360" w:lineRule="auto"/>
        <w:ind w:firstLine="400" w:firstLineChars="200"/>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2.甲方有权依据双方签订的考评办法对乙方提供的服务进行定期考评。当考评结果未达到标准时，有权依据考评办法约定的数额扣除履约保证金。</w:t>
      </w:r>
    </w:p>
    <w:p w14:paraId="5CC2F30A">
      <w:pPr>
        <w:autoSpaceDE w:val="0"/>
        <w:autoSpaceDN w:val="0"/>
        <w:adjustRightInd w:val="0"/>
        <w:spacing w:line="360" w:lineRule="auto"/>
        <w:ind w:firstLine="400" w:firstLineChars="200"/>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3.负责检查监督乙方管理工作的实施及制度的执行情况。</w:t>
      </w:r>
    </w:p>
    <w:p w14:paraId="0F16B3E3">
      <w:pPr>
        <w:autoSpaceDE w:val="0"/>
        <w:autoSpaceDN w:val="0"/>
        <w:adjustRightInd w:val="0"/>
        <w:spacing w:line="360" w:lineRule="auto"/>
        <w:ind w:firstLine="400" w:firstLineChars="200"/>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4.根据本合同规定，按时向乙方支付应付服务费用。</w:t>
      </w:r>
    </w:p>
    <w:p w14:paraId="67954AEC">
      <w:pPr>
        <w:autoSpaceDE w:val="0"/>
        <w:autoSpaceDN w:val="0"/>
        <w:adjustRightInd w:val="0"/>
        <w:spacing w:line="360" w:lineRule="auto"/>
        <w:ind w:firstLine="400" w:firstLineChars="200"/>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5.国家法律、法规所规定由甲方承担的其它责任。</w:t>
      </w:r>
    </w:p>
    <w:p w14:paraId="174F8D03">
      <w:pPr>
        <w:autoSpaceDE w:val="0"/>
        <w:autoSpaceDN w:val="0"/>
        <w:adjustRightInd w:val="0"/>
        <w:spacing w:line="360" w:lineRule="auto"/>
        <w:ind w:firstLine="400" w:firstLineChars="200"/>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（二）乙方的权利与义务</w:t>
      </w:r>
    </w:p>
    <w:p w14:paraId="4C4F62DD">
      <w:pPr>
        <w:autoSpaceDE w:val="0"/>
        <w:autoSpaceDN w:val="0"/>
        <w:adjustRightInd w:val="0"/>
        <w:spacing w:line="360" w:lineRule="auto"/>
        <w:ind w:firstLine="400" w:firstLineChars="200"/>
        <w:rPr>
          <w:rFonts w:hint="eastAsia" w:ascii="仿宋_GB2312" w:hAnsi="仿宋_GB2312" w:eastAsia="仿宋_GB2312" w:cs="仿宋_GB2312"/>
          <w:bCs/>
          <w:sz w:val="20"/>
          <w:szCs w:val="20"/>
          <w:highlight w:val="none"/>
          <w:lang w:eastAsia="zh-CN"/>
        </w:rPr>
      </w:pPr>
      <w:r>
        <w:rPr>
          <w:rFonts w:hint="eastAsia" w:ascii="仿宋_GB2312" w:hAnsi="仿宋_GB2312" w:eastAsia="仿宋_GB2312" w:cs="仿宋_GB2312"/>
          <w:bCs/>
          <w:sz w:val="20"/>
          <w:szCs w:val="20"/>
          <w:highlight w:val="none"/>
          <w:lang w:eastAsia="zh-CN"/>
        </w:rPr>
        <w:t>1.对本合同规定的委托服务范围内的项目享有管理权及服务义务。</w:t>
      </w:r>
    </w:p>
    <w:p w14:paraId="291D9105">
      <w:pPr>
        <w:autoSpaceDE w:val="0"/>
        <w:autoSpaceDN w:val="0"/>
        <w:adjustRightInd w:val="0"/>
        <w:spacing w:line="360" w:lineRule="auto"/>
        <w:ind w:firstLine="400" w:firstLineChars="200"/>
        <w:rPr>
          <w:rFonts w:hint="eastAsia" w:ascii="仿宋_GB2312" w:hAnsi="仿宋_GB2312" w:eastAsia="仿宋_GB2312" w:cs="仿宋_GB2312"/>
          <w:bCs/>
          <w:sz w:val="20"/>
          <w:szCs w:val="20"/>
          <w:highlight w:val="none"/>
          <w:lang w:eastAsia="zh-CN"/>
        </w:rPr>
      </w:pPr>
      <w:r>
        <w:rPr>
          <w:rFonts w:hint="eastAsia" w:ascii="仿宋_GB2312" w:hAnsi="仿宋_GB2312" w:eastAsia="仿宋_GB2312" w:cs="仿宋_GB2312"/>
          <w:bCs/>
          <w:sz w:val="20"/>
          <w:szCs w:val="20"/>
          <w:highlight w:val="none"/>
          <w:lang w:eastAsia="zh-CN"/>
        </w:rPr>
        <w:t>2.根据本合同的规定向甲方收取相关服务费用，并有权在本项目管理范围内管理及合理使用。</w:t>
      </w:r>
    </w:p>
    <w:p w14:paraId="544BBD2E">
      <w:pPr>
        <w:autoSpaceDE w:val="0"/>
        <w:autoSpaceDN w:val="0"/>
        <w:adjustRightInd w:val="0"/>
        <w:spacing w:line="360" w:lineRule="auto"/>
        <w:ind w:firstLine="400" w:firstLineChars="200"/>
        <w:rPr>
          <w:rFonts w:hint="eastAsia" w:ascii="仿宋_GB2312" w:hAnsi="仿宋_GB2312" w:eastAsia="仿宋_GB2312" w:cs="仿宋_GB2312"/>
          <w:bCs/>
          <w:sz w:val="20"/>
          <w:szCs w:val="20"/>
          <w:highlight w:val="none"/>
          <w:lang w:eastAsia="zh-CN"/>
        </w:rPr>
      </w:pPr>
      <w:r>
        <w:rPr>
          <w:rFonts w:hint="eastAsia" w:ascii="仿宋_GB2312" w:hAnsi="仿宋_GB2312" w:eastAsia="仿宋_GB2312" w:cs="仿宋_GB2312"/>
          <w:bCs/>
          <w:sz w:val="20"/>
          <w:szCs w:val="20"/>
          <w:highlight w:val="none"/>
          <w:lang w:eastAsia="zh-CN"/>
        </w:rPr>
        <w:t>3.及时向甲方通告本项目服务范围内有关服务的重大事项，及时配合处理投诉。</w:t>
      </w:r>
    </w:p>
    <w:p w14:paraId="618F3051">
      <w:pPr>
        <w:autoSpaceDE w:val="0"/>
        <w:autoSpaceDN w:val="0"/>
        <w:adjustRightInd w:val="0"/>
        <w:spacing w:line="360" w:lineRule="auto"/>
        <w:ind w:firstLine="400" w:firstLineChars="200"/>
        <w:rPr>
          <w:rFonts w:hint="eastAsia" w:ascii="仿宋_GB2312" w:hAnsi="仿宋_GB2312" w:eastAsia="仿宋_GB2312" w:cs="仿宋_GB2312"/>
          <w:bCs/>
          <w:sz w:val="20"/>
          <w:szCs w:val="20"/>
          <w:highlight w:val="none"/>
          <w:lang w:eastAsia="zh-CN"/>
        </w:rPr>
      </w:pPr>
      <w:r>
        <w:rPr>
          <w:rFonts w:hint="eastAsia" w:ascii="仿宋_GB2312" w:hAnsi="仿宋_GB2312" w:eastAsia="仿宋_GB2312" w:cs="仿宋_GB2312"/>
          <w:bCs/>
          <w:sz w:val="20"/>
          <w:szCs w:val="20"/>
          <w:highlight w:val="none"/>
          <w:lang w:eastAsia="zh-CN"/>
        </w:rPr>
        <w:t>4.接受项目行业管理部门及政府有关部门的指导，接受甲方的监督。</w:t>
      </w:r>
    </w:p>
    <w:p w14:paraId="7DB6A390">
      <w:pPr>
        <w:autoSpaceDE w:val="0"/>
        <w:autoSpaceDN w:val="0"/>
        <w:adjustRightInd w:val="0"/>
        <w:spacing w:line="360" w:lineRule="auto"/>
        <w:ind w:firstLine="400" w:firstLineChars="200"/>
        <w:rPr>
          <w:rFonts w:hint="eastAsia" w:ascii="仿宋_GB2312" w:hAnsi="仿宋_GB2312" w:eastAsia="仿宋_GB2312" w:cs="仿宋_GB2312"/>
          <w:bCs/>
          <w:sz w:val="20"/>
          <w:szCs w:val="20"/>
          <w:highlight w:val="none"/>
          <w:lang w:eastAsia="zh-CN"/>
        </w:rPr>
      </w:pPr>
      <w:r>
        <w:rPr>
          <w:rFonts w:hint="eastAsia" w:ascii="仿宋_GB2312" w:hAnsi="仿宋_GB2312" w:eastAsia="仿宋_GB2312" w:cs="仿宋_GB2312"/>
          <w:bCs/>
          <w:sz w:val="20"/>
          <w:szCs w:val="20"/>
          <w:highlight w:val="none"/>
          <w:lang w:eastAsia="zh-CN"/>
        </w:rPr>
        <w:t>5.国家法律、法规所规定由乙方承担的其它责任。</w:t>
      </w:r>
    </w:p>
    <w:p w14:paraId="4FB79240">
      <w:pPr>
        <w:autoSpaceDE w:val="0"/>
        <w:autoSpaceDN w:val="0"/>
        <w:adjustRightInd w:val="0"/>
        <w:spacing w:line="360" w:lineRule="auto"/>
        <w:ind w:firstLine="402" w:firstLineChars="200"/>
        <w:rPr>
          <w:rFonts w:hint="eastAsia" w:ascii="仿宋_GB2312" w:hAnsi="仿宋_GB2312" w:eastAsia="仿宋_GB2312" w:cs="仿宋_GB2312"/>
          <w:b/>
          <w:sz w:val="20"/>
          <w:szCs w:val="20"/>
          <w:highlight w:val="none"/>
        </w:rPr>
      </w:pPr>
      <w:r>
        <w:rPr>
          <w:rFonts w:hint="eastAsia" w:ascii="仿宋_GB2312" w:hAnsi="仿宋_GB2312" w:eastAsia="仿宋_GB2312" w:cs="仿宋_GB2312"/>
          <w:b/>
          <w:sz w:val="20"/>
          <w:szCs w:val="20"/>
          <w:highlight w:val="none"/>
        </w:rPr>
        <w:t>六、服务质量保证</w:t>
      </w:r>
    </w:p>
    <w:p w14:paraId="6B0FA10A">
      <w:pPr>
        <w:autoSpaceDE w:val="0"/>
        <w:autoSpaceDN w:val="0"/>
        <w:adjustRightInd w:val="0"/>
        <w:spacing w:line="360" w:lineRule="auto"/>
        <w:ind w:firstLine="400" w:firstLineChars="200"/>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（一）乙方需派一名项目负责人，直接与甲方沟通，项目负责人接收甲方提出的问题与要求，并及时反馈给</w:t>
      </w:r>
      <w:r>
        <w:rPr>
          <w:rFonts w:hint="eastAsia" w:ascii="仿宋_GB2312" w:hAnsi="仿宋_GB2312" w:eastAsia="仿宋_GB2312" w:cs="仿宋_GB2312"/>
          <w:bCs/>
          <w:sz w:val="20"/>
          <w:szCs w:val="20"/>
          <w:highlight w:val="none"/>
          <w:lang w:val="en-US" w:eastAsia="zh-CN"/>
        </w:rPr>
        <w:t>其他人员</w:t>
      </w:r>
      <w:r>
        <w:rPr>
          <w:rFonts w:hint="eastAsia" w:ascii="仿宋_GB2312" w:hAnsi="仿宋_GB2312" w:eastAsia="仿宋_GB2312" w:cs="仿宋_GB2312"/>
          <w:bCs/>
          <w:sz w:val="20"/>
          <w:szCs w:val="20"/>
          <w:highlight w:val="none"/>
        </w:rPr>
        <w:t>，解决在项目实施过程中遇到的问题。</w:t>
      </w:r>
    </w:p>
    <w:p w14:paraId="3EF5DBAB">
      <w:pPr>
        <w:autoSpaceDE w:val="0"/>
        <w:autoSpaceDN w:val="0"/>
        <w:adjustRightInd w:val="0"/>
        <w:snapToGrid w:val="0"/>
        <w:spacing w:line="360" w:lineRule="auto"/>
        <w:ind w:firstLine="630"/>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（二）项目在实施过程中会出现不可预料的需求变更，乙方需积极配合甲方的需求变更，并按照变更后的需求继续实施。</w:t>
      </w:r>
    </w:p>
    <w:p w14:paraId="2F21DE76">
      <w:pPr>
        <w:spacing w:line="360" w:lineRule="auto"/>
        <w:ind w:firstLine="402" w:firstLineChars="200"/>
        <w:rPr>
          <w:rFonts w:hint="eastAsia" w:ascii="仿宋_GB2312" w:hAnsi="仿宋_GB2312" w:eastAsia="仿宋_GB2312" w:cs="仿宋_GB2312"/>
          <w:b/>
          <w:sz w:val="20"/>
          <w:szCs w:val="20"/>
          <w:highlight w:val="none"/>
        </w:rPr>
      </w:pPr>
      <w:r>
        <w:rPr>
          <w:rFonts w:hint="eastAsia" w:ascii="仿宋_GB2312" w:hAnsi="仿宋_GB2312" w:eastAsia="仿宋_GB2312" w:cs="仿宋_GB2312"/>
          <w:b/>
          <w:sz w:val="20"/>
          <w:szCs w:val="20"/>
          <w:highlight w:val="none"/>
          <w:lang w:val="en-US" w:eastAsia="zh-CN"/>
        </w:rPr>
        <w:t>七</w:t>
      </w:r>
      <w:r>
        <w:rPr>
          <w:rFonts w:hint="eastAsia" w:ascii="仿宋_GB2312" w:hAnsi="仿宋_GB2312" w:eastAsia="仿宋_GB2312" w:cs="仿宋_GB2312"/>
          <w:b/>
          <w:sz w:val="20"/>
          <w:szCs w:val="20"/>
          <w:highlight w:val="none"/>
        </w:rPr>
        <w:t>、保密规定</w:t>
      </w:r>
    </w:p>
    <w:p w14:paraId="3FB30638">
      <w:pPr>
        <w:spacing w:line="360" w:lineRule="auto"/>
        <w:ind w:firstLine="400" w:firstLineChars="200"/>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甲、乙双方应永久恪守因签署或履行本合同而获知的对方秘密信息及其它秘密资料。任何一方如将获知的对方秘密信息泄露给第三方，应赔偿因泄密而给对方造成的一切损失并承担相应的法律责任（包括刑事责任）。</w:t>
      </w:r>
    </w:p>
    <w:p w14:paraId="72C7583D">
      <w:pPr>
        <w:snapToGrid w:val="0"/>
        <w:spacing w:line="360" w:lineRule="auto"/>
        <w:ind w:firstLine="402" w:firstLineChars="200"/>
        <w:rPr>
          <w:rFonts w:hint="eastAsia" w:ascii="仿宋_GB2312" w:hAnsi="仿宋_GB2312" w:eastAsia="仿宋_GB2312" w:cs="仿宋_GB2312"/>
          <w:b/>
          <w:sz w:val="20"/>
          <w:szCs w:val="20"/>
          <w:highlight w:val="none"/>
        </w:rPr>
      </w:pPr>
      <w:r>
        <w:rPr>
          <w:rFonts w:hint="eastAsia" w:ascii="仿宋_GB2312" w:hAnsi="仿宋_GB2312" w:eastAsia="仿宋_GB2312" w:cs="仿宋_GB2312"/>
          <w:b/>
          <w:sz w:val="20"/>
          <w:szCs w:val="20"/>
          <w:highlight w:val="none"/>
          <w:lang w:val="en-US" w:eastAsia="zh-CN"/>
        </w:rPr>
        <w:t>八</w:t>
      </w:r>
      <w:r>
        <w:rPr>
          <w:rFonts w:hint="eastAsia" w:ascii="仿宋_GB2312" w:hAnsi="仿宋_GB2312" w:eastAsia="仿宋_GB2312" w:cs="仿宋_GB2312"/>
          <w:b/>
          <w:sz w:val="20"/>
          <w:szCs w:val="20"/>
          <w:highlight w:val="none"/>
        </w:rPr>
        <w:t>、其他事项</w:t>
      </w:r>
    </w:p>
    <w:p w14:paraId="19A9B65B">
      <w:pPr>
        <w:snapToGrid w:val="0"/>
        <w:spacing w:line="360" w:lineRule="auto"/>
        <w:ind w:firstLine="400" w:firstLineChars="200"/>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（一）乙方不得转让、分包给其它单位或个人。</w:t>
      </w:r>
    </w:p>
    <w:p w14:paraId="42AB54B0">
      <w:pPr>
        <w:snapToGrid w:val="0"/>
        <w:spacing w:line="360" w:lineRule="auto"/>
        <w:ind w:firstLine="400" w:firstLineChars="200"/>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（二）乙方的响应文件和承诺等内容将列入合同。</w:t>
      </w:r>
    </w:p>
    <w:p w14:paraId="27B569DD">
      <w:pPr>
        <w:snapToGrid w:val="0"/>
        <w:spacing w:line="360" w:lineRule="auto"/>
        <w:ind w:firstLine="402" w:firstLineChars="200"/>
        <w:rPr>
          <w:rFonts w:hint="eastAsia" w:ascii="仿宋_GB2312" w:hAnsi="仿宋_GB2312" w:eastAsia="仿宋_GB2312" w:cs="仿宋_GB2312"/>
          <w:b/>
          <w:sz w:val="20"/>
          <w:szCs w:val="20"/>
          <w:highlight w:val="none"/>
        </w:rPr>
      </w:pPr>
      <w:r>
        <w:rPr>
          <w:rFonts w:hint="eastAsia" w:ascii="仿宋_GB2312" w:hAnsi="仿宋_GB2312" w:eastAsia="仿宋_GB2312" w:cs="仿宋_GB2312"/>
          <w:b/>
          <w:sz w:val="20"/>
          <w:szCs w:val="20"/>
          <w:highlight w:val="none"/>
          <w:lang w:val="en-US" w:eastAsia="zh-CN"/>
        </w:rPr>
        <w:t>九</w:t>
      </w:r>
      <w:r>
        <w:rPr>
          <w:rFonts w:hint="eastAsia" w:ascii="仿宋_GB2312" w:hAnsi="仿宋_GB2312" w:eastAsia="仿宋_GB2312" w:cs="仿宋_GB2312"/>
          <w:b/>
          <w:sz w:val="20"/>
          <w:szCs w:val="20"/>
          <w:highlight w:val="none"/>
        </w:rPr>
        <w:t>、验收</w:t>
      </w:r>
    </w:p>
    <w:p w14:paraId="750B8E3D">
      <w:pPr>
        <w:autoSpaceDE w:val="0"/>
        <w:autoSpaceDN w:val="0"/>
        <w:adjustRightInd w:val="0"/>
        <w:snapToGrid w:val="0"/>
        <w:spacing w:line="360" w:lineRule="auto"/>
        <w:ind w:firstLine="400" w:firstLineChars="200"/>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（一）本项目验收费用，由乙方自行承担。</w:t>
      </w:r>
    </w:p>
    <w:p w14:paraId="7D711EA3">
      <w:pPr>
        <w:autoSpaceDE w:val="0"/>
        <w:autoSpaceDN w:val="0"/>
        <w:adjustRightInd w:val="0"/>
        <w:snapToGrid w:val="0"/>
        <w:spacing w:line="360" w:lineRule="auto"/>
        <w:ind w:firstLine="400" w:firstLineChars="200"/>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（二）服务期满后，由乙方向甲方递交验收通知书，经甲方确认后，组织乙方进行系统验收。验收合格后，填写政府采购项目验收单作为对本次服务的最终认可。</w:t>
      </w:r>
    </w:p>
    <w:p w14:paraId="46DA6C17">
      <w:pPr>
        <w:autoSpaceDE w:val="0"/>
        <w:autoSpaceDN w:val="0"/>
        <w:adjustRightInd w:val="0"/>
        <w:snapToGrid w:val="0"/>
        <w:spacing w:line="360" w:lineRule="auto"/>
        <w:ind w:firstLine="400" w:firstLineChars="200"/>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（三）验收依据：</w:t>
      </w:r>
    </w:p>
    <w:p w14:paraId="3F07E9E9">
      <w:pPr>
        <w:autoSpaceDE w:val="0"/>
        <w:autoSpaceDN w:val="0"/>
        <w:adjustRightInd w:val="0"/>
        <w:snapToGrid w:val="0"/>
        <w:spacing w:line="360" w:lineRule="auto"/>
        <w:ind w:firstLine="400" w:firstLineChars="200"/>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1、本合同及附加文本；</w:t>
      </w:r>
    </w:p>
    <w:p w14:paraId="47F92D67">
      <w:pPr>
        <w:autoSpaceDE w:val="0"/>
        <w:autoSpaceDN w:val="0"/>
        <w:adjustRightInd w:val="0"/>
        <w:snapToGrid w:val="0"/>
        <w:spacing w:line="360" w:lineRule="auto"/>
        <w:ind w:firstLine="400" w:firstLineChars="200"/>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2、磋商文件、成交供应商的响应文件及澄清（承诺）函；</w:t>
      </w:r>
    </w:p>
    <w:p w14:paraId="3C155BC8">
      <w:pPr>
        <w:snapToGrid w:val="0"/>
        <w:spacing w:line="360" w:lineRule="auto"/>
        <w:ind w:firstLine="400" w:firstLineChars="200"/>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3、国家相应的标准、规范。</w:t>
      </w:r>
    </w:p>
    <w:p w14:paraId="312FA79A">
      <w:pPr>
        <w:snapToGrid w:val="0"/>
        <w:spacing w:line="360" w:lineRule="auto"/>
        <w:ind w:firstLine="402" w:firstLineChars="200"/>
        <w:rPr>
          <w:rFonts w:hint="eastAsia" w:ascii="仿宋_GB2312" w:hAnsi="仿宋_GB2312" w:eastAsia="仿宋_GB2312" w:cs="仿宋_GB2312"/>
          <w:sz w:val="20"/>
          <w:szCs w:val="20"/>
          <w:highlight w:val="none"/>
        </w:rPr>
      </w:pPr>
      <w:r>
        <w:rPr>
          <w:rFonts w:hint="eastAsia" w:ascii="仿宋_GB2312" w:hAnsi="仿宋_GB2312" w:eastAsia="仿宋_GB2312" w:cs="仿宋_GB2312"/>
          <w:b/>
          <w:sz w:val="20"/>
          <w:szCs w:val="20"/>
          <w:highlight w:val="none"/>
        </w:rPr>
        <w:t>十、违约责任</w:t>
      </w:r>
    </w:p>
    <w:p w14:paraId="434D49BE">
      <w:pPr>
        <w:snapToGrid w:val="0"/>
        <w:spacing w:line="360" w:lineRule="auto"/>
        <w:ind w:firstLine="400" w:firstLineChars="200"/>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（一）按《</w:t>
      </w:r>
      <w:r>
        <w:rPr>
          <w:rFonts w:hint="eastAsia" w:ascii="仿宋_GB2312" w:hAnsi="仿宋_GB2312" w:eastAsia="仿宋_GB2312" w:cs="仿宋_GB2312"/>
          <w:bCs/>
          <w:sz w:val="20"/>
          <w:szCs w:val="20"/>
          <w:highlight w:val="none"/>
        </w:rPr>
        <w:t>中华人民共和国民法典</w:t>
      </w:r>
      <w:r>
        <w:rPr>
          <w:rFonts w:hint="eastAsia" w:ascii="仿宋_GB2312" w:hAnsi="仿宋_GB2312" w:eastAsia="仿宋_GB2312" w:cs="仿宋_GB2312"/>
          <w:sz w:val="20"/>
          <w:szCs w:val="20"/>
          <w:highlight w:val="none"/>
        </w:rPr>
        <w:t>》中的相关条款执行。</w:t>
      </w:r>
    </w:p>
    <w:p w14:paraId="68A7434F">
      <w:pPr>
        <w:autoSpaceDE w:val="0"/>
        <w:autoSpaceDN w:val="0"/>
        <w:adjustRightInd w:val="0"/>
        <w:snapToGrid w:val="0"/>
        <w:spacing w:line="360" w:lineRule="auto"/>
        <w:ind w:firstLine="400" w:firstLineChars="200"/>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（二）未按合同要求提供服务或服务质量不能满足本次采购要求，采购人会同监督机构、采购代理机构有权终止合同和对成交供应商违约行为进行追究，同时按政府采购法的有关规定进行相应</w:t>
      </w:r>
    </w:p>
    <w:p w14:paraId="6FE3F274">
      <w:pPr>
        <w:autoSpaceDE w:val="0"/>
        <w:autoSpaceDN w:val="0"/>
        <w:adjustRightInd w:val="0"/>
        <w:snapToGrid w:val="0"/>
        <w:spacing w:line="360" w:lineRule="auto"/>
        <w:ind w:firstLine="402" w:firstLineChars="200"/>
        <w:rPr>
          <w:rFonts w:hint="eastAsia" w:ascii="仿宋_GB2312" w:hAnsi="仿宋" w:eastAsia="仿宋_GB2312"/>
          <w:bCs/>
          <w:sz w:val="20"/>
          <w:szCs w:val="20"/>
          <w:highlight w:val="none"/>
        </w:rPr>
      </w:pPr>
      <w:r>
        <w:rPr>
          <w:rFonts w:hint="eastAsia" w:ascii="仿宋_GB2312" w:hAnsi="仿宋" w:eastAsia="仿宋_GB2312"/>
          <w:b/>
          <w:bCs/>
          <w:sz w:val="20"/>
          <w:szCs w:val="20"/>
          <w:highlight w:val="none"/>
        </w:rPr>
        <w:t>十</w:t>
      </w:r>
      <w:r>
        <w:rPr>
          <w:rFonts w:hint="eastAsia" w:ascii="仿宋_GB2312" w:hAnsi="仿宋" w:eastAsia="仿宋_GB2312"/>
          <w:b/>
          <w:bCs/>
          <w:sz w:val="20"/>
          <w:szCs w:val="20"/>
          <w:highlight w:val="none"/>
          <w:lang w:val="en-US" w:eastAsia="zh-CN"/>
        </w:rPr>
        <w:t>一</w:t>
      </w:r>
      <w:r>
        <w:rPr>
          <w:rFonts w:hint="eastAsia" w:ascii="仿宋_GB2312" w:hAnsi="仿宋" w:eastAsia="仿宋_GB2312"/>
          <w:b/>
          <w:bCs/>
          <w:sz w:val="20"/>
          <w:szCs w:val="20"/>
          <w:highlight w:val="none"/>
        </w:rPr>
        <w:t>、合同争议解决的方式</w:t>
      </w:r>
    </w:p>
    <w:p w14:paraId="3496B523">
      <w:pPr>
        <w:autoSpaceDE w:val="0"/>
        <w:autoSpaceDN w:val="0"/>
        <w:adjustRightInd w:val="0"/>
        <w:snapToGrid w:val="0"/>
        <w:spacing w:line="360" w:lineRule="auto"/>
        <w:ind w:firstLine="400" w:firstLineChars="200"/>
        <w:rPr>
          <w:rFonts w:hint="eastAsia" w:ascii="仿宋_GB2312" w:hAnsi="仿宋" w:eastAsia="仿宋_GB2312"/>
          <w:bCs/>
          <w:sz w:val="20"/>
          <w:szCs w:val="20"/>
          <w:highlight w:val="none"/>
        </w:rPr>
      </w:pPr>
      <w:r>
        <w:rPr>
          <w:rFonts w:hint="eastAsia" w:ascii="仿宋_GB2312" w:hAnsi="仿宋" w:eastAsia="仿宋_GB2312"/>
          <w:bCs/>
          <w:sz w:val="20"/>
          <w:szCs w:val="20"/>
          <w:highlight w:val="none"/>
        </w:rPr>
        <w:t>（一）本合同在履行过程中发生的争议，由甲、乙双方当事人协商解决，协商不成的按下列第</w:t>
      </w:r>
      <w:r>
        <w:rPr>
          <w:rFonts w:hint="eastAsia" w:ascii="仿宋_GB2312" w:hAnsi="仿宋" w:eastAsia="仿宋_GB2312"/>
          <w:bCs/>
          <w:sz w:val="20"/>
          <w:szCs w:val="20"/>
          <w:highlight w:val="none"/>
          <w:u w:val="single"/>
          <w:lang w:val="en-US" w:eastAsia="zh-CN"/>
        </w:rPr>
        <w:t xml:space="preserve"> </w:t>
      </w:r>
      <w:r>
        <w:rPr>
          <w:rFonts w:hint="eastAsia" w:ascii="仿宋_GB2312" w:hAnsi="仿宋" w:eastAsia="仿宋_GB2312"/>
          <w:bCs/>
          <w:sz w:val="20"/>
          <w:szCs w:val="20"/>
          <w:highlight w:val="none"/>
          <w:u w:val="single"/>
        </w:rPr>
        <w:t>2</w:t>
      </w:r>
      <w:r>
        <w:rPr>
          <w:rFonts w:hint="eastAsia" w:ascii="仿宋_GB2312" w:hAnsi="仿宋" w:eastAsia="仿宋_GB2312"/>
          <w:bCs/>
          <w:sz w:val="20"/>
          <w:szCs w:val="20"/>
          <w:highlight w:val="none"/>
          <w:u w:val="single"/>
          <w:lang w:val="en-US" w:eastAsia="zh-CN"/>
        </w:rPr>
        <w:t xml:space="preserve"> </w:t>
      </w:r>
      <w:r>
        <w:rPr>
          <w:rFonts w:hint="eastAsia" w:ascii="仿宋_GB2312" w:hAnsi="仿宋" w:eastAsia="仿宋_GB2312"/>
          <w:bCs/>
          <w:sz w:val="20"/>
          <w:szCs w:val="20"/>
          <w:highlight w:val="none"/>
        </w:rPr>
        <w:t>种方式解决：</w:t>
      </w:r>
    </w:p>
    <w:p w14:paraId="43170E6D">
      <w:pPr>
        <w:autoSpaceDE w:val="0"/>
        <w:autoSpaceDN w:val="0"/>
        <w:adjustRightInd w:val="0"/>
        <w:snapToGrid w:val="0"/>
        <w:spacing w:line="360" w:lineRule="auto"/>
        <w:ind w:firstLine="400" w:firstLineChars="200"/>
        <w:rPr>
          <w:rFonts w:hint="eastAsia" w:ascii="仿宋_GB2312" w:hAnsi="仿宋" w:eastAsia="仿宋_GB2312"/>
          <w:bCs/>
          <w:sz w:val="20"/>
          <w:szCs w:val="20"/>
          <w:highlight w:val="none"/>
        </w:rPr>
      </w:pPr>
      <w:r>
        <w:rPr>
          <w:rFonts w:hint="eastAsia" w:ascii="仿宋_GB2312" w:hAnsi="仿宋" w:eastAsia="仿宋_GB2312"/>
          <w:bCs/>
          <w:sz w:val="20"/>
          <w:szCs w:val="20"/>
          <w:highlight w:val="none"/>
        </w:rPr>
        <w:t>1、提交**仲裁委员会仲裁；</w:t>
      </w:r>
    </w:p>
    <w:p w14:paraId="6833D8CD">
      <w:pPr>
        <w:autoSpaceDE w:val="0"/>
        <w:autoSpaceDN w:val="0"/>
        <w:adjustRightInd w:val="0"/>
        <w:snapToGrid w:val="0"/>
        <w:spacing w:line="360" w:lineRule="auto"/>
        <w:ind w:firstLine="400" w:firstLineChars="200"/>
        <w:rPr>
          <w:rFonts w:hint="eastAsia" w:ascii="仿宋_GB2312" w:hAnsi="仿宋" w:eastAsia="仿宋_GB2312"/>
          <w:bCs/>
          <w:sz w:val="20"/>
          <w:szCs w:val="20"/>
          <w:highlight w:val="none"/>
        </w:rPr>
      </w:pPr>
      <w:r>
        <w:rPr>
          <w:rFonts w:hint="eastAsia" w:ascii="仿宋_GB2312" w:hAnsi="仿宋" w:eastAsia="仿宋_GB2312"/>
          <w:bCs/>
          <w:sz w:val="20"/>
          <w:szCs w:val="20"/>
          <w:highlight w:val="none"/>
        </w:rPr>
        <w:t>2、依法向甲方所在地人民法院起诉。</w:t>
      </w:r>
    </w:p>
    <w:p w14:paraId="50620CBE">
      <w:pPr>
        <w:autoSpaceDE w:val="0"/>
        <w:autoSpaceDN w:val="0"/>
        <w:adjustRightInd w:val="0"/>
        <w:snapToGrid w:val="0"/>
        <w:spacing w:line="360" w:lineRule="auto"/>
        <w:ind w:firstLine="400" w:firstLineChars="200"/>
        <w:rPr>
          <w:rFonts w:hint="eastAsia" w:ascii="仿宋_GB2312" w:hAnsi="仿宋" w:eastAsia="仿宋_GB2312"/>
          <w:bCs/>
          <w:sz w:val="20"/>
          <w:szCs w:val="20"/>
          <w:highlight w:val="none"/>
        </w:rPr>
      </w:pPr>
      <w:r>
        <w:rPr>
          <w:rFonts w:hint="eastAsia" w:ascii="仿宋_GB2312" w:hAnsi="仿宋" w:eastAsia="仿宋_GB2312"/>
          <w:bCs/>
          <w:sz w:val="20"/>
          <w:szCs w:val="20"/>
          <w:highlight w:val="none"/>
        </w:rPr>
        <w:t>（二）因质量问题发生的争议，由国家权威技术单位进行质量鉴定，该鉴定结论为最终结果，甲乙双方应当接受。</w:t>
      </w:r>
    </w:p>
    <w:p w14:paraId="44D08D7A">
      <w:pPr>
        <w:autoSpaceDE w:val="0"/>
        <w:autoSpaceDN w:val="0"/>
        <w:adjustRightInd w:val="0"/>
        <w:snapToGrid w:val="0"/>
        <w:spacing w:line="360" w:lineRule="auto"/>
        <w:ind w:firstLine="402" w:firstLineChars="200"/>
        <w:rPr>
          <w:rFonts w:hint="eastAsia" w:ascii="仿宋_GB2312" w:hAnsi="仿宋" w:eastAsia="仿宋_GB2312"/>
          <w:b/>
          <w:bCs/>
          <w:sz w:val="20"/>
          <w:szCs w:val="20"/>
          <w:highlight w:val="none"/>
        </w:rPr>
      </w:pPr>
      <w:r>
        <w:rPr>
          <w:rFonts w:hint="eastAsia" w:ascii="仿宋_GB2312" w:hAnsi="仿宋" w:eastAsia="仿宋_GB2312"/>
          <w:b/>
          <w:bCs/>
          <w:sz w:val="20"/>
          <w:szCs w:val="20"/>
          <w:highlight w:val="none"/>
        </w:rPr>
        <w:t>十</w:t>
      </w:r>
      <w:r>
        <w:rPr>
          <w:rFonts w:hint="eastAsia" w:ascii="仿宋_GB2312" w:hAnsi="仿宋" w:eastAsia="仿宋_GB2312"/>
          <w:b/>
          <w:bCs/>
          <w:sz w:val="20"/>
          <w:szCs w:val="20"/>
          <w:highlight w:val="none"/>
          <w:lang w:val="en-US" w:eastAsia="zh-CN"/>
        </w:rPr>
        <w:t>二</w:t>
      </w:r>
      <w:r>
        <w:rPr>
          <w:rFonts w:hint="eastAsia" w:ascii="仿宋_GB2312" w:hAnsi="仿宋" w:eastAsia="仿宋_GB2312"/>
          <w:b/>
          <w:bCs/>
          <w:sz w:val="20"/>
          <w:szCs w:val="20"/>
          <w:highlight w:val="none"/>
        </w:rPr>
        <w:t>、合同生效</w:t>
      </w:r>
    </w:p>
    <w:p w14:paraId="03F63009">
      <w:pPr>
        <w:autoSpaceDE w:val="0"/>
        <w:autoSpaceDN w:val="0"/>
        <w:adjustRightInd w:val="0"/>
        <w:snapToGrid w:val="0"/>
        <w:spacing w:line="360" w:lineRule="auto"/>
        <w:ind w:firstLine="400" w:firstLineChars="200"/>
        <w:rPr>
          <w:rFonts w:ascii="仿宋_GB2312" w:hAnsi="仿宋" w:eastAsia="仿宋_GB2312"/>
          <w:bCs/>
          <w:sz w:val="20"/>
          <w:szCs w:val="20"/>
          <w:highlight w:val="none"/>
        </w:rPr>
      </w:pPr>
      <w:r>
        <w:rPr>
          <w:rFonts w:hint="eastAsia" w:ascii="仿宋_GB2312" w:hAnsi="仿宋" w:eastAsia="仿宋_GB2312"/>
          <w:bCs/>
          <w:sz w:val="20"/>
          <w:szCs w:val="20"/>
          <w:highlight w:val="none"/>
        </w:rPr>
        <w:t>（一）本合同须经甲、乙双方的法定代表人（授权代理人）在合同书上签字并加盖本单位公章后正式生效。</w:t>
      </w:r>
    </w:p>
    <w:p w14:paraId="1E9C17B4">
      <w:pPr>
        <w:autoSpaceDE w:val="0"/>
        <w:autoSpaceDN w:val="0"/>
        <w:adjustRightInd w:val="0"/>
        <w:snapToGrid w:val="0"/>
        <w:spacing w:line="360" w:lineRule="auto"/>
        <w:ind w:firstLine="400" w:firstLineChars="200"/>
        <w:rPr>
          <w:rFonts w:ascii="仿宋_GB2312" w:hAnsi="仿宋" w:eastAsia="仿宋_GB2312"/>
          <w:bCs/>
          <w:sz w:val="20"/>
          <w:szCs w:val="20"/>
          <w:highlight w:val="none"/>
        </w:rPr>
      </w:pPr>
      <w:r>
        <w:rPr>
          <w:rFonts w:hint="eastAsia" w:ascii="仿宋_GB2312" w:hAnsi="仿宋" w:eastAsia="仿宋_GB2312"/>
          <w:bCs/>
          <w:sz w:val="20"/>
          <w:szCs w:val="20"/>
          <w:highlight w:val="none"/>
        </w:rPr>
        <w:t>（二）合同生效后，甲、乙双方须严格执行本合同条款的规定，全面履行合同，违者按《</w:t>
      </w:r>
      <w:r>
        <w:rPr>
          <w:rFonts w:hint="eastAsia" w:ascii="仿宋_GB2312" w:hAnsi="仿宋" w:eastAsia="仿宋_GB2312"/>
          <w:bCs/>
          <w:sz w:val="20"/>
          <w:szCs w:val="20"/>
          <w:highlight w:val="none"/>
          <w:lang w:eastAsia="zh-CN"/>
        </w:rPr>
        <w:t>中华人民共和国民法典</w:t>
      </w:r>
      <w:r>
        <w:rPr>
          <w:rFonts w:hint="eastAsia" w:ascii="仿宋_GB2312" w:hAnsi="仿宋" w:eastAsia="仿宋_GB2312"/>
          <w:bCs/>
          <w:sz w:val="20"/>
          <w:szCs w:val="20"/>
          <w:highlight w:val="none"/>
        </w:rPr>
        <w:t>》的有关规定承担相应责任。</w:t>
      </w:r>
    </w:p>
    <w:p w14:paraId="3DA89DAF">
      <w:pPr>
        <w:autoSpaceDE w:val="0"/>
        <w:autoSpaceDN w:val="0"/>
        <w:adjustRightInd w:val="0"/>
        <w:snapToGrid w:val="0"/>
        <w:spacing w:line="360" w:lineRule="auto"/>
        <w:ind w:firstLine="400" w:firstLineChars="200"/>
        <w:rPr>
          <w:rFonts w:ascii="仿宋_GB2312" w:hAnsi="仿宋" w:eastAsia="仿宋_GB2312"/>
          <w:bCs/>
          <w:sz w:val="20"/>
          <w:szCs w:val="20"/>
          <w:highlight w:val="none"/>
        </w:rPr>
      </w:pPr>
      <w:r>
        <w:rPr>
          <w:rFonts w:hint="eastAsia" w:ascii="仿宋_GB2312" w:hAnsi="仿宋" w:eastAsia="仿宋_GB2312"/>
          <w:bCs/>
          <w:sz w:val="20"/>
          <w:szCs w:val="20"/>
          <w:highlight w:val="none"/>
        </w:rPr>
        <w:t>（三）本合同一式</w:t>
      </w:r>
      <w:r>
        <w:rPr>
          <w:rFonts w:hint="eastAsia" w:ascii="仿宋_GB2312" w:hAnsi="仿宋" w:eastAsia="仿宋_GB2312"/>
          <w:bCs/>
          <w:sz w:val="20"/>
          <w:szCs w:val="20"/>
          <w:highlight w:val="none"/>
          <w:u w:val="single"/>
        </w:rPr>
        <w:t xml:space="preserve">   </w:t>
      </w:r>
      <w:r>
        <w:rPr>
          <w:rFonts w:hint="eastAsia" w:ascii="仿宋_GB2312" w:hAnsi="仿宋" w:eastAsia="仿宋_GB2312"/>
          <w:bCs/>
          <w:sz w:val="20"/>
          <w:szCs w:val="20"/>
          <w:highlight w:val="none"/>
        </w:rPr>
        <w:t>份，甲乙双方各执</w:t>
      </w:r>
      <w:r>
        <w:rPr>
          <w:rFonts w:hint="eastAsia" w:ascii="仿宋_GB2312" w:hAnsi="仿宋" w:eastAsia="仿宋_GB2312"/>
          <w:bCs/>
          <w:sz w:val="20"/>
          <w:szCs w:val="20"/>
          <w:highlight w:val="none"/>
          <w:u w:val="single"/>
        </w:rPr>
        <w:t xml:space="preserve">    </w:t>
      </w:r>
      <w:r>
        <w:rPr>
          <w:rFonts w:hint="eastAsia" w:ascii="仿宋_GB2312" w:hAnsi="仿宋" w:eastAsia="仿宋_GB2312"/>
          <w:bCs/>
          <w:sz w:val="20"/>
          <w:szCs w:val="20"/>
          <w:highlight w:val="none"/>
        </w:rPr>
        <w:t>份。</w:t>
      </w:r>
    </w:p>
    <w:p w14:paraId="0FD3EC73">
      <w:pPr>
        <w:widowControl/>
        <w:spacing w:line="360" w:lineRule="auto"/>
        <w:ind w:firstLine="400" w:firstLineChars="200"/>
        <w:jc w:val="left"/>
        <w:rPr>
          <w:rFonts w:hint="eastAsia" w:ascii="仿宋_GB2312" w:hAnsi="仿宋_GB2312" w:eastAsia="仿宋_GB2312" w:cs="仿宋_GB2312"/>
          <w:kern w:val="0"/>
          <w:sz w:val="20"/>
          <w:szCs w:val="20"/>
          <w:highlight w:val="none"/>
        </w:rPr>
      </w:pPr>
      <w:r>
        <w:rPr>
          <w:rFonts w:hint="eastAsia" w:ascii="仿宋_GB2312" w:hAnsi="仿宋" w:eastAsia="仿宋_GB2312"/>
          <w:bCs/>
          <w:sz w:val="20"/>
          <w:szCs w:val="20"/>
          <w:highlight w:val="none"/>
        </w:rPr>
        <w:t>（四）本合同如有未尽事宜，甲、乙双方协商解决。</w:t>
      </w:r>
    </w:p>
    <w:tbl>
      <w:tblPr>
        <w:tblStyle w:val="8"/>
        <w:tblW w:w="0" w:type="auto"/>
        <w:jc w:val="center"/>
        <w:tblLayout w:type="fixed"/>
        <w:tblCellMar>
          <w:top w:w="0" w:type="dxa"/>
          <w:left w:w="108" w:type="dxa"/>
          <w:bottom w:w="0" w:type="dxa"/>
          <w:right w:w="108" w:type="dxa"/>
        </w:tblCellMar>
      </w:tblPr>
      <w:tblGrid>
        <w:gridCol w:w="4259"/>
        <w:gridCol w:w="4260"/>
      </w:tblGrid>
      <w:tr w14:paraId="4993B24A">
        <w:tblPrEx>
          <w:tblCellMar>
            <w:top w:w="0" w:type="dxa"/>
            <w:left w:w="108" w:type="dxa"/>
            <w:bottom w:w="0" w:type="dxa"/>
            <w:right w:w="108" w:type="dxa"/>
          </w:tblCellMar>
        </w:tblPrEx>
        <w:trPr>
          <w:trHeight w:val="512" w:hRule="exact"/>
          <w:jc w:val="center"/>
        </w:trPr>
        <w:tc>
          <w:tcPr>
            <w:tcW w:w="4259" w:type="dxa"/>
            <w:noWrap w:val="0"/>
            <w:vAlign w:val="center"/>
          </w:tcPr>
          <w:p w14:paraId="73CF4C2B">
            <w:pPr>
              <w:autoSpaceDE w:val="0"/>
              <w:autoSpaceDN w:val="0"/>
              <w:adjustRightInd w:val="0"/>
              <w:rPr>
                <w:rFonts w:hint="eastAsia" w:ascii="仿宋_GB2312" w:hAnsi="仿宋_GB2312" w:eastAsia="仿宋_GB2312" w:cs="仿宋_GB2312"/>
                <w:spacing w:val="-20"/>
                <w:kern w:val="0"/>
                <w:sz w:val="20"/>
                <w:szCs w:val="20"/>
                <w:highlight w:val="none"/>
              </w:rPr>
            </w:pPr>
            <w:r>
              <w:rPr>
                <w:rFonts w:hint="eastAsia" w:ascii="仿宋_GB2312" w:hAnsi="仿宋_GB2312" w:eastAsia="仿宋_GB2312" w:cs="仿宋_GB2312"/>
                <w:spacing w:val="-20"/>
                <w:kern w:val="0"/>
                <w:sz w:val="20"/>
                <w:szCs w:val="20"/>
                <w:highlight w:val="none"/>
              </w:rPr>
              <w:t>甲  方</w:t>
            </w:r>
          </w:p>
        </w:tc>
        <w:tc>
          <w:tcPr>
            <w:tcW w:w="4260" w:type="dxa"/>
            <w:noWrap w:val="0"/>
            <w:vAlign w:val="center"/>
          </w:tcPr>
          <w:p w14:paraId="7CE380A4">
            <w:pPr>
              <w:autoSpaceDE w:val="0"/>
              <w:autoSpaceDN w:val="0"/>
              <w:adjustRightInd w:val="0"/>
              <w:rPr>
                <w:rFonts w:hint="eastAsia" w:ascii="仿宋_GB2312" w:hAnsi="仿宋_GB2312" w:eastAsia="仿宋_GB2312" w:cs="仿宋_GB2312"/>
                <w:spacing w:val="-20"/>
                <w:kern w:val="0"/>
                <w:sz w:val="20"/>
                <w:szCs w:val="20"/>
                <w:highlight w:val="none"/>
              </w:rPr>
            </w:pPr>
            <w:r>
              <w:rPr>
                <w:rFonts w:hint="eastAsia" w:ascii="仿宋_GB2312" w:hAnsi="仿宋_GB2312" w:eastAsia="仿宋_GB2312" w:cs="仿宋_GB2312"/>
                <w:spacing w:val="-20"/>
                <w:kern w:val="0"/>
                <w:sz w:val="20"/>
                <w:szCs w:val="20"/>
                <w:highlight w:val="none"/>
              </w:rPr>
              <w:t>乙  方</w:t>
            </w:r>
          </w:p>
        </w:tc>
      </w:tr>
      <w:tr w14:paraId="5F180B6E">
        <w:tblPrEx>
          <w:tblCellMar>
            <w:top w:w="0" w:type="dxa"/>
            <w:left w:w="108" w:type="dxa"/>
            <w:bottom w:w="0" w:type="dxa"/>
            <w:right w:w="108" w:type="dxa"/>
          </w:tblCellMar>
        </w:tblPrEx>
        <w:trPr>
          <w:trHeight w:val="512" w:hRule="exact"/>
          <w:jc w:val="center"/>
        </w:trPr>
        <w:tc>
          <w:tcPr>
            <w:tcW w:w="4259" w:type="dxa"/>
            <w:noWrap w:val="0"/>
            <w:vAlign w:val="center"/>
          </w:tcPr>
          <w:p w14:paraId="5DD7BDE7">
            <w:pPr>
              <w:autoSpaceDE w:val="0"/>
              <w:autoSpaceDN w:val="0"/>
              <w:adjustRightInd w:val="0"/>
              <w:ind w:firstLine="560" w:firstLineChars="350"/>
              <w:rPr>
                <w:rFonts w:hint="eastAsia" w:ascii="仿宋_GB2312" w:hAnsi="仿宋_GB2312" w:eastAsia="仿宋_GB2312" w:cs="仿宋_GB2312"/>
                <w:spacing w:val="-20"/>
                <w:kern w:val="0"/>
                <w:sz w:val="20"/>
                <w:szCs w:val="20"/>
                <w:highlight w:val="none"/>
              </w:rPr>
            </w:pPr>
            <w:r>
              <w:rPr>
                <w:rFonts w:hint="eastAsia" w:ascii="仿宋_GB2312" w:hAnsi="仿宋_GB2312" w:eastAsia="仿宋_GB2312" w:cs="仿宋_GB2312"/>
                <w:spacing w:val="-20"/>
                <w:kern w:val="0"/>
                <w:sz w:val="20"/>
                <w:szCs w:val="20"/>
                <w:highlight w:val="none"/>
              </w:rPr>
              <w:t>（盖章）</w:t>
            </w:r>
          </w:p>
        </w:tc>
        <w:tc>
          <w:tcPr>
            <w:tcW w:w="4260" w:type="dxa"/>
            <w:noWrap w:val="0"/>
            <w:vAlign w:val="center"/>
          </w:tcPr>
          <w:p w14:paraId="3AD67A0C">
            <w:pPr>
              <w:autoSpaceDE w:val="0"/>
              <w:autoSpaceDN w:val="0"/>
              <w:adjustRightInd w:val="0"/>
              <w:ind w:firstLine="640" w:firstLineChars="400"/>
              <w:rPr>
                <w:rFonts w:hint="eastAsia" w:ascii="仿宋_GB2312" w:hAnsi="仿宋_GB2312" w:eastAsia="仿宋_GB2312" w:cs="仿宋_GB2312"/>
                <w:spacing w:val="-20"/>
                <w:kern w:val="0"/>
                <w:sz w:val="20"/>
                <w:szCs w:val="20"/>
                <w:highlight w:val="none"/>
              </w:rPr>
            </w:pPr>
            <w:r>
              <w:rPr>
                <w:rFonts w:hint="eastAsia" w:ascii="仿宋_GB2312" w:hAnsi="仿宋_GB2312" w:eastAsia="仿宋_GB2312" w:cs="仿宋_GB2312"/>
                <w:spacing w:val="-20"/>
                <w:kern w:val="0"/>
                <w:sz w:val="20"/>
                <w:szCs w:val="20"/>
                <w:highlight w:val="none"/>
              </w:rPr>
              <w:t>（盖章）</w:t>
            </w:r>
          </w:p>
        </w:tc>
      </w:tr>
      <w:tr w14:paraId="4BC47C88">
        <w:tblPrEx>
          <w:tblCellMar>
            <w:top w:w="0" w:type="dxa"/>
            <w:left w:w="108" w:type="dxa"/>
            <w:bottom w:w="0" w:type="dxa"/>
            <w:right w:w="108" w:type="dxa"/>
          </w:tblCellMar>
        </w:tblPrEx>
        <w:trPr>
          <w:trHeight w:val="512" w:hRule="exact"/>
          <w:jc w:val="center"/>
        </w:trPr>
        <w:tc>
          <w:tcPr>
            <w:tcW w:w="4259" w:type="dxa"/>
            <w:noWrap w:val="0"/>
            <w:vAlign w:val="center"/>
          </w:tcPr>
          <w:p w14:paraId="2501435E">
            <w:pPr>
              <w:autoSpaceDE w:val="0"/>
              <w:autoSpaceDN w:val="0"/>
              <w:adjustRightInd w:val="0"/>
              <w:rPr>
                <w:rFonts w:hint="eastAsia" w:ascii="仿宋_GB2312" w:hAnsi="仿宋_GB2312" w:eastAsia="仿宋_GB2312" w:cs="仿宋_GB2312"/>
                <w:spacing w:val="-20"/>
                <w:kern w:val="0"/>
                <w:sz w:val="20"/>
                <w:szCs w:val="20"/>
                <w:highlight w:val="none"/>
              </w:rPr>
            </w:pPr>
            <w:r>
              <w:rPr>
                <w:rFonts w:hint="eastAsia" w:ascii="仿宋_GB2312" w:hAnsi="仿宋_GB2312" w:eastAsia="仿宋_GB2312" w:cs="仿宋_GB2312"/>
                <w:spacing w:val="-20"/>
                <w:kern w:val="0"/>
                <w:sz w:val="20"/>
                <w:szCs w:val="20"/>
                <w:highlight w:val="none"/>
              </w:rPr>
              <w:t xml:space="preserve">地址： </w:t>
            </w:r>
          </w:p>
        </w:tc>
        <w:tc>
          <w:tcPr>
            <w:tcW w:w="4260" w:type="dxa"/>
            <w:noWrap w:val="0"/>
            <w:vAlign w:val="center"/>
          </w:tcPr>
          <w:p w14:paraId="2FDF0B83">
            <w:pPr>
              <w:autoSpaceDE w:val="0"/>
              <w:autoSpaceDN w:val="0"/>
              <w:adjustRightInd w:val="0"/>
              <w:rPr>
                <w:rFonts w:hint="eastAsia" w:ascii="仿宋_GB2312" w:hAnsi="仿宋_GB2312" w:eastAsia="仿宋_GB2312" w:cs="仿宋_GB2312"/>
                <w:spacing w:val="-20"/>
                <w:kern w:val="0"/>
                <w:sz w:val="20"/>
                <w:szCs w:val="20"/>
                <w:highlight w:val="none"/>
              </w:rPr>
            </w:pPr>
            <w:r>
              <w:rPr>
                <w:rFonts w:hint="eastAsia" w:ascii="仿宋_GB2312" w:hAnsi="仿宋_GB2312" w:eastAsia="仿宋_GB2312" w:cs="仿宋_GB2312"/>
                <w:spacing w:val="-20"/>
                <w:kern w:val="0"/>
                <w:sz w:val="20"/>
                <w:szCs w:val="20"/>
                <w:highlight w:val="none"/>
              </w:rPr>
              <w:t>地址：</w:t>
            </w:r>
          </w:p>
        </w:tc>
      </w:tr>
      <w:tr w14:paraId="55AA7D68">
        <w:tblPrEx>
          <w:tblCellMar>
            <w:top w:w="0" w:type="dxa"/>
            <w:left w:w="108" w:type="dxa"/>
            <w:bottom w:w="0" w:type="dxa"/>
            <w:right w:w="108" w:type="dxa"/>
          </w:tblCellMar>
        </w:tblPrEx>
        <w:trPr>
          <w:trHeight w:val="512" w:hRule="exact"/>
          <w:jc w:val="center"/>
        </w:trPr>
        <w:tc>
          <w:tcPr>
            <w:tcW w:w="4259" w:type="dxa"/>
            <w:noWrap w:val="0"/>
            <w:vAlign w:val="center"/>
          </w:tcPr>
          <w:p w14:paraId="49B2FEB1">
            <w:pPr>
              <w:autoSpaceDE w:val="0"/>
              <w:autoSpaceDN w:val="0"/>
              <w:adjustRightInd w:val="0"/>
              <w:rPr>
                <w:rFonts w:hint="eastAsia" w:ascii="仿宋_GB2312" w:hAnsi="仿宋_GB2312" w:eastAsia="仿宋_GB2312" w:cs="仿宋_GB2312"/>
                <w:spacing w:val="-20"/>
                <w:kern w:val="0"/>
                <w:sz w:val="20"/>
                <w:szCs w:val="20"/>
                <w:highlight w:val="none"/>
              </w:rPr>
            </w:pPr>
            <w:r>
              <w:rPr>
                <w:rFonts w:hint="eastAsia" w:ascii="仿宋_GB2312" w:hAnsi="仿宋_GB2312" w:eastAsia="仿宋_GB2312" w:cs="仿宋_GB2312"/>
                <w:spacing w:val="-20"/>
                <w:kern w:val="0"/>
                <w:sz w:val="20"/>
                <w:szCs w:val="20"/>
                <w:highlight w:val="none"/>
              </w:rPr>
              <w:t>邮编：</w:t>
            </w:r>
          </w:p>
        </w:tc>
        <w:tc>
          <w:tcPr>
            <w:tcW w:w="4260" w:type="dxa"/>
            <w:noWrap w:val="0"/>
            <w:vAlign w:val="center"/>
          </w:tcPr>
          <w:p w14:paraId="0C075C8A">
            <w:pPr>
              <w:autoSpaceDE w:val="0"/>
              <w:autoSpaceDN w:val="0"/>
              <w:adjustRightInd w:val="0"/>
              <w:rPr>
                <w:rFonts w:hint="eastAsia" w:ascii="仿宋_GB2312" w:hAnsi="仿宋_GB2312" w:eastAsia="仿宋_GB2312" w:cs="仿宋_GB2312"/>
                <w:spacing w:val="-20"/>
                <w:kern w:val="0"/>
                <w:sz w:val="20"/>
                <w:szCs w:val="20"/>
                <w:highlight w:val="none"/>
              </w:rPr>
            </w:pPr>
            <w:r>
              <w:rPr>
                <w:rFonts w:hint="eastAsia" w:ascii="仿宋_GB2312" w:hAnsi="仿宋_GB2312" w:eastAsia="仿宋_GB2312" w:cs="仿宋_GB2312"/>
                <w:spacing w:val="-20"/>
                <w:kern w:val="0"/>
                <w:sz w:val="20"/>
                <w:szCs w:val="20"/>
                <w:highlight w:val="none"/>
              </w:rPr>
              <w:t>邮编：</w:t>
            </w:r>
          </w:p>
        </w:tc>
      </w:tr>
      <w:tr w14:paraId="0AA8C224">
        <w:tblPrEx>
          <w:tblCellMar>
            <w:top w:w="0" w:type="dxa"/>
            <w:left w:w="108" w:type="dxa"/>
            <w:bottom w:w="0" w:type="dxa"/>
            <w:right w:w="108" w:type="dxa"/>
          </w:tblCellMar>
        </w:tblPrEx>
        <w:trPr>
          <w:trHeight w:val="512" w:hRule="exact"/>
          <w:jc w:val="center"/>
        </w:trPr>
        <w:tc>
          <w:tcPr>
            <w:tcW w:w="4259" w:type="dxa"/>
            <w:noWrap w:val="0"/>
            <w:vAlign w:val="center"/>
          </w:tcPr>
          <w:p w14:paraId="526CB57B">
            <w:pPr>
              <w:autoSpaceDE w:val="0"/>
              <w:autoSpaceDN w:val="0"/>
              <w:adjustRightInd w:val="0"/>
              <w:rPr>
                <w:rFonts w:hint="eastAsia" w:ascii="仿宋_GB2312" w:hAnsi="仿宋_GB2312" w:eastAsia="仿宋_GB2312" w:cs="仿宋_GB2312"/>
                <w:spacing w:val="-20"/>
                <w:kern w:val="0"/>
                <w:sz w:val="20"/>
                <w:szCs w:val="20"/>
                <w:highlight w:val="none"/>
              </w:rPr>
            </w:pPr>
            <w:r>
              <w:rPr>
                <w:rFonts w:hint="eastAsia" w:ascii="仿宋_GB2312" w:hAnsi="仿宋_GB2312" w:eastAsia="仿宋_GB2312" w:cs="仿宋_GB2312"/>
                <w:spacing w:val="-20"/>
                <w:kern w:val="0"/>
                <w:sz w:val="20"/>
                <w:szCs w:val="20"/>
                <w:highlight w:val="none"/>
              </w:rPr>
              <w:t xml:space="preserve">法定代表人： </w:t>
            </w:r>
          </w:p>
        </w:tc>
        <w:tc>
          <w:tcPr>
            <w:tcW w:w="4260" w:type="dxa"/>
            <w:noWrap w:val="0"/>
            <w:vAlign w:val="center"/>
          </w:tcPr>
          <w:p w14:paraId="35410D50">
            <w:pPr>
              <w:autoSpaceDE w:val="0"/>
              <w:autoSpaceDN w:val="0"/>
              <w:adjustRightInd w:val="0"/>
              <w:rPr>
                <w:rFonts w:hint="eastAsia" w:ascii="仿宋_GB2312" w:hAnsi="仿宋_GB2312" w:eastAsia="仿宋_GB2312" w:cs="仿宋_GB2312"/>
                <w:spacing w:val="-20"/>
                <w:kern w:val="0"/>
                <w:sz w:val="20"/>
                <w:szCs w:val="20"/>
                <w:highlight w:val="none"/>
              </w:rPr>
            </w:pPr>
            <w:r>
              <w:rPr>
                <w:rFonts w:hint="eastAsia" w:ascii="仿宋_GB2312" w:hAnsi="仿宋_GB2312" w:eastAsia="仿宋_GB2312" w:cs="仿宋_GB2312"/>
                <w:spacing w:val="-20"/>
                <w:kern w:val="0"/>
                <w:sz w:val="20"/>
                <w:szCs w:val="20"/>
                <w:highlight w:val="none"/>
              </w:rPr>
              <w:t>法定代表人：</w:t>
            </w:r>
          </w:p>
        </w:tc>
      </w:tr>
      <w:tr w14:paraId="2946BB6C">
        <w:tblPrEx>
          <w:tblCellMar>
            <w:top w:w="0" w:type="dxa"/>
            <w:left w:w="108" w:type="dxa"/>
            <w:bottom w:w="0" w:type="dxa"/>
            <w:right w:w="108" w:type="dxa"/>
          </w:tblCellMar>
        </w:tblPrEx>
        <w:trPr>
          <w:trHeight w:val="512" w:hRule="exact"/>
          <w:jc w:val="center"/>
        </w:trPr>
        <w:tc>
          <w:tcPr>
            <w:tcW w:w="4259" w:type="dxa"/>
            <w:noWrap w:val="0"/>
            <w:vAlign w:val="center"/>
          </w:tcPr>
          <w:p w14:paraId="3ACF501B">
            <w:pPr>
              <w:autoSpaceDE w:val="0"/>
              <w:autoSpaceDN w:val="0"/>
              <w:adjustRightInd w:val="0"/>
              <w:rPr>
                <w:rFonts w:hint="eastAsia" w:ascii="仿宋_GB2312" w:hAnsi="仿宋_GB2312" w:eastAsia="仿宋_GB2312" w:cs="仿宋_GB2312"/>
                <w:spacing w:val="-20"/>
                <w:kern w:val="0"/>
                <w:sz w:val="20"/>
                <w:szCs w:val="20"/>
                <w:highlight w:val="none"/>
              </w:rPr>
            </w:pPr>
            <w:r>
              <w:rPr>
                <w:rFonts w:hint="eastAsia" w:ascii="仿宋_GB2312" w:hAnsi="仿宋_GB2312" w:eastAsia="仿宋_GB2312" w:cs="仿宋_GB2312"/>
                <w:spacing w:val="-20"/>
                <w:kern w:val="0"/>
                <w:sz w:val="20"/>
                <w:szCs w:val="20"/>
                <w:highlight w:val="none"/>
              </w:rPr>
              <w:t>被授权代表：</w:t>
            </w:r>
          </w:p>
        </w:tc>
        <w:tc>
          <w:tcPr>
            <w:tcW w:w="4260" w:type="dxa"/>
            <w:noWrap w:val="0"/>
            <w:vAlign w:val="center"/>
          </w:tcPr>
          <w:p w14:paraId="4CD871AC">
            <w:pPr>
              <w:autoSpaceDE w:val="0"/>
              <w:autoSpaceDN w:val="0"/>
              <w:adjustRightInd w:val="0"/>
              <w:rPr>
                <w:rFonts w:hint="eastAsia" w:ascii="仿宋_GB2312" w:hAnsi="仿宋_GB2312" w:eastAsia="仿宋_GB2312" w:cs="仿宋_GB2312"/>
                <w:spacing w:val="-20"/>
                <w:kern w:val="0"/>
                <w:sz w:val="20"/>
                <w:szCs w:val="20"/>
                <w:highlight w:val="none"/>
              </w:rPr>
            </w:pPr>
            <w:r>
              <w:rPr>
                <w:rFonts w:hint="eastAsia" w:ascii="仿宋_GB2312" w:hAnsi="仿宋_GB2312" w:eastAsia="仿宋_GB2312" w:cs="仿宋_GB2312"/>
                <w:spacing w:val="-20"/>
                <w:kern w:val="0"/>
                <w:sz w:val="20"/>
                <w:szCs w:val="20"/>
                <w:highlight w:val="none"/>
              </w:rPr>
              <w:t>被授权代表：</w:t>
            </w:r>
          </w:p>
        </w:tc>
      </w:tr>
      <w:tr w14:paraId="0BE1D825">
        <w:tblPrEx>
          <w:tblCellMar>
            <w:top w:w="0" w:type="dxa"/>
            <w:left w:w="108" w:type="dxa"/>
            <w:bottom w:w="0" w:type="dxa"/>
            <w:right w:w="108" w:type="dxa"/>
          </w:tblCellMar>
        </w:tblPrEx>
        <w:trPr>
          <w:trHeight w:val="512" w:hRule="exact"/>
          <w:jc w:val="center"/>
        </w:trPr>
        <w:tc>
          <w:tcPr>
            <w:tcW w:w="4259" w:type="dxa"/>
            <w:noWrap w:val="0"/>
            <w:vAlign w:val="center"/>
          </w:tcPr>
          <w:p w14:paraId="54B73198">
            <w:pPr>
              <w:autoSpaceDE w:val="0"/>
              <w:autoSpaceDN w:val="0"/>
              <w:adjustRightInd w:val="0"/>
              <w:rPr>
                <w:rFonts w:hint="eastAsia" w:ascii="仿宋_GB2312" w:hAnsi="仿宋_GB2312" w:eastAsia="仿宋_GB2312" w:cs="仿宋_GB2312"/>
                <w:spacing w:val="-20"/>
                <w:kern w:val="0"/>
                <w:sz w:val="20"/>
                <w:szCs w:val="20"/>
                <w:highlight w:val="none"/>
              </w:rPr>
            </w:pPr>
            <w:r>
              <w:rPr>
                <w:rFonts w:hint="eastAsia" w:ascii="仿宋_GB2312" w:hAnsi="仿宋_GB2312" w:eastAsia="仿宋_GB2312" w:cs="仿宋_GB2312"/>
                <w:spacing w:val="-20"/>
                <w:kern w:val="0"/>
                <w:sz w:val="20"/>
                <w:szCs w:val="20"/>
                <w:highlight w:val="none"/>
              </w:rPr>
              <w:t>电话：</w:t>
            </w:r>
          </w:p>
        </w:tc>
        <w:tc>
          <w:tcPr>
            <w:tcW w:w="4260" w:type="dxa"/>
            <w:noWrap w:val="0"/>
            <w:vAlign w:val="center"/>
          </w:tcPr>
          <w:p w14:paraId="127EC4D1">
            <w:pPr>
              <w:autoSpaceDE w:val="0"/>
              <w:autoSpaceDN w:val="0"/>
              <w:adjustRightInd w:val="0"/>
              <w:ind w:left="840" w:hanging="480" w:hangingChars="300"/>
              <w:rPr>
                <w:rFonts w:hint="eastAsia" w:ascii="仿宋_GB2312" w:hAnsi="仿宋_GB2312" w:eastAsia="仿宋_GB2312" w:cs="仿宋_GB2312"/>
                <w:spacing w:val="-20"/>
                <w:kern w:val="0"/>
                <w:sz w:val="20"/>
                <w:szCs w:val="20"/>
                <w:highlight w:val="none"/>
              </w:rPr>
            </w:pPr>
            <w:r>
              <w:rPr>
                <w:rFonts w:hint="eastAsia" w:ascii="仿宋_GB2312" w:hAnsi="仿宋_GB2312" w:eastAsia="仿宋_GB2312" w:cs="仿宋_GB2312"/>
                <w:spacing w:val="-20"/>
                <w:kern w:val="0"/>
                <w:sz w:val="20"/>
                <w:szCs w:val="20"/>
                <w:highlight w:val="none"/>
              </w:rPr>
              <w:t>电话：</w:t>
            </w:r>
          </w:p>
        </w:tc>
      </w:tr>
      <w:tr w14:paraId="3BA65151">
        <w:tblPrEx>
          <w:tblCellMar>
            <w:top w:w="0" w:type="dxa"/>
            <w:left w:w="108" w:type="dxa"/>
            <w:bottom w:w="0" w:type="dxa"/>
            <w:right w:w="108" w:type="dxa"/>
          </w:tblCellMar>
        </w:tblPrEx>
        <w:trPr>
          <w:trHeight w:val="512" w:hRule="exact"/>
          <w:jc w:val="center"/>
        </w:trPr>
        <w:tc>
          <w:tcPr>
            <w:tcW w:w="4259" w:type="dxa"/>
            <w:noWrap w:val="0"/>
            <w:vAlign w:val="center"/>
          </w:tcPr>
          <w:p w14:paraId="54860551">
            <w:pPr>
              <w:autoSpaceDE w:val="0"/>
              <w:autoSpaceDN w:val="0"/>
              <w:adjustRightInd w:val="0"/>
              <w:rPr>
                <w:rFonts w:hint="eastAsia" w:ascii="仿宋_GB2312" w:hAnsi="仿宋_GB2312" w:eastAsia="仿宋_GB2312" w:cs="仿宋_GB2312"/>
                <w:spacing w:val="-20"/>
                <w:kern w:val="0"/>
                <w:sz w:val="20"/>
                <w:szCs w:val="20"/>
                <w:highlight w:val="none"/>
              </w:rPr>
            </w:pPr>
            <w:r>
              <w:rPr>
                <w:rFonts w:hint="eastAsia" w:ascii="仿宋_GB2312" w:hAnsi="仿宋_GB2312" w:eastAsia="仿宋_GB2312" w:cs="仿宋_GB2312"/>
                <w:spacing w:val="-20"/>
                <w:kern w:val="0"/>
                <w:sz w:val="20"/>
                <w:szCs w:val="20"/>
                <w:highlight w:val="none"/>
              </w:rPr>
              <w:t>传真：</w:t>
            </w:r>
          </w:p>
        </w:tc>
        <w:tc>
          <w:tcPr>
            <w:tcW w:w="4260" w:type="dxa"/>
            <w:noWrap w:val="0"/>
            <w:vAlign w:val="center"/>
          </w:tcPr>
          <w:p w14:paraId="22FFEE1D">
            <w:pPr>
              <w:autoSpaceDE w:val="0"/>
              <w:autoSpaceDN w:val="0"/>
              <w:adjustRightInd w:val="0"/>
              <w:rPr>
                <w:rFonts w:hint="eastAsia" w:ascii="仿宋_GB2312" w:hAnsi="仿宋_GB2312" w:eastAsia="仿宋_GB2312" w:cs="仿宋_GB2312"/>
                <w:spacing w:val="-20"/>
                <w:kern w:val="0"/>
                <w:sz w:val="20"/>
                <w:szCs w:val="20"/>
                <w:highlight w:val="none"/>
              </w:rPr>
            </w:pPr>
            <w:r>
              <w:rPr>
                <w:rFonts w:hint="eastAsia" w:ascii="仿宋_GB2312" w:hAnsi="仿宋_GB2312" w:eastAsia="仿宋_GB2312" w:cs="仿宋_GB2312"/>
                <w:spacing w:val="-20"/>
                <w:kern w:val="0"/>
                <w:sz w:val="20"/>
                <w:szCs w:val="20"/>
                <w:highlight w:val="none"/>
              </w:rPr>
              <w:t>传真：</w:t>
            </w:r>
          </w:p>
        </w:tc>
      </w:tr>
      <w:tr w14:paraId="4C2E71A6">
        <w:tblPrEx>
          <w:tblCellMar>
            <w:top w:w="0" w:type="dxa"/>
            <w:left w:w="108" w:type="dxa"/>
            <w:bottom w:w="0" w:type="dxa"/>
            <w:right w:w="108" w:type="dxa"/>
          </w:tblCellMar>
        </w:tblPrEx>
        <w:trPr>
          <w:trHeight w:val="512" w:hRule="exact"/>
          <w:jc w:val="center"/>
        </w:trPr>
        <w:tc>
          <w:tcPr>
            <w:tcW w:w="4259" w:type="dxa"/>
            <w:noWrap w:val="0"/>
            <w:vAlign w:val="center"/>
          </w:tcPr>
          <w:p w14:paraId="288B02F6">
            <w:pPr>
              <w:autoSpaceDE w:val="0"/>
              <w:autoSpaceDN w:val="0"/>
              <w:adjustRightInd w:val="0"/>
              <w:rPr>
                <w:rFonts w:hint="eastAsia" w:ascii="仿宋_GB2312" w:hAnsi="仿宋_GB2312" w:eastAsia="仿宋_GB2312" w:cs="仿宋_GB2312"/>
                <w:spacing w:val="-20"/>
                <w:kern w:val="0"/>
                <w:sz w:val="20"/>
                <w:szCs w:val="20"/>
                <w:highlight w:val="none"/>
              </w:rPr>
            </w:pPr>
            <w:r>
              <w:rPr>
                <w:rFonts w:hint="eastAsia" w:ascii="仿宋_GB2312" w:hAnsi="仿宋_GB2312" w:eastAsia="仿宋_GB2312" w:cs="仿宋_GB2312"/>
                <w:spacing w:val="-20"/>
                <w:kern w:val="0"/>
                <w:sz w:val="20"/>
                <w:szCs w:val="20"/>
                <w:highlight w:val="none"/>
              </w:rPr>
              <w:t>开户银行：</w:t>
            </w:r>
          </w:p>
        </w:tc>
        <w:tc>
          <w:tcPr>
            <w:tcW w:w="4260" w:type="dxa"/>
            <w:noWrap w:val="0"/>
            <w:vAlign w:val="center"/>
          </w:tcPr>
          <w:p w14:paraId="29DFE756">
            <w:pPr>
              <w:autoSpaceDE w:val="0"/>
              <w:autoSpaceDN w:val="0"/>
              <w:adjustRightInd w:val="0"/>
              <w:rPr>
                <w:rFonts w:hint="eastAsia" w:ascii="仿宋_GB2312" w:hAnsi="仿宋_GB2312" w:eastAsia="仿宋_GB2312" w:cs="仿宋_GB2312"/>
                <w:spacing w:val="-20"/>
                <w:kern w:val="0"/>
                <w:sz w:val="20"/>
                <w:szCs w:val="20"/>
                <w:highlight w:val="none"/>
              </w:rPr>
            </w:pPr>
            <w:r>
              <w:rPr>
                <w:rFonts w:hint="eastAsia" w:ascii="仿宋_GB2312" w:hAnsi="仿宋_GB2312" w:eastAsia="仿宋_GB2312" w:cs="仿宋_GB2312"/>
                <w:spacing w:val="-20"/>
                <w:kern w:val="0"/>
                <w:sz w:val="20"/>
                <w:szCs w:val="20"/>
                <w:highlight w:val="none"/>
              </w:rPr>
              <w:t>开户银行：</w:t>
            </w:r>
          </w:p>
        </w:tc>
      </w:tr>
      <w:tr w14:paraId="33CBDAD6">
        <w:tblPrEx>
          <w:tblCellMar>
            <w:top w:w="0" w:type="dxa"/>
            <w:left w:w="108" w:type="dxa"/>
            <w:bottom w:w="0" w:type="dxa"/>
            <w:right w:w="108" w:type="dxa"/>
          </w:tblCellMar>
        </w:tblPrEx>
        <w:trPr>
          <w:trHeight w:val="512" w:hRule="exact"/>
          <w:jc w:val="center"/>
        </w:trPr>
        <w:tc>
          <w:tcPr>
            <w:tcW w:w="4259" w:type="dxa"/>
            <w:noWrap w:val="0"/>
            <w:vAlign w:val="center"/>
          </w:tcPr>
          <w:p w14:paraId="20DE4CF1">
            <w:pPr>
              <w:autoSpaceDE w:val="0"/>
              <w:autoSpaceDN w:val="0"/>
              <w:adjustRightInd w:val="0"/>
              <w:rPr>
                <w:rFonts w:hint="eastAsia" w:ascii="仿宋_GB2312" w:hAnsi="仿宋_GB2312" w:eastAsia="仿宋_GB2312" w:cs="仿宋_GB2312"/>
                <w:spacing w:val="-20"/>
                <w:kern w:val="0"/>
                <w:sz w:val="20"/>
                <w:szCs w:val="20"/>
                <w:highlight w:val="none"/>
              </w:rPr>
            </w:pPr>
            <w:r>
              <w:rPr>
                <w:rFonts w:hint="eastAsia" w:ascii="仿宋_GB2312" w:hAnsi="仿宋_GB2312" w:eastAsia="仿宋_GB2312" w:cs="仿宋_GB2312"/>
                <w:spacing w:val="-20"/>
                <w:kern w:val="0"/>
                <w:sz w:val="20"/>
                <w:szCs w:val="20"/>
                <w:highlight w:val="none"/>
              </w:rPr>
              <w:t>日期：</w:t>
            </w:r>
          </w:p>
        </w:tc>
        <w:tc>
          <w:tcPr>
            <w:tcW w:w="4260" w:type="dxa"/>
            <w:noWrap w:val="0"/>
            <w:vAlign w:val="center"/>
          </w:tcPr>
          <w:p w14:paraId="3E89E13E">
            <w:pPr>
              <w:autoSpaceDE w:val="0"/>
              <w:autoSpaceDN w:val="0"/>
              <w:adjustRightInd w:val="0"/>
              <w:rPr>
                <w:rFonts w:hint="eastAsia" w:ascii="仿宋_GB2312" w:hAnsi="仿宋_GB2312" w:eastAsia="仿宋_GB2312" w:cs="仿宋_GB2312"/>
                <w:spacing w:val="-20"/>
                <w:kern w:val="0"/>
                <w:sz w:val="20"/>
                <w:szCs w:val="20"/>
                <w:highlight w:val="none"/>
              </w:rPr>
            </w:pPr>
            <w:r>
              <w:rPr>
                <w:rFonts w:hint="eastAsia" w:ascii="仿宋_GB2312" w:hAnsi="仿宋_GB2312" w:eastAsia="仿宋_GB2312" w:cs="仿宋_GB2312"/>
                <w:spacing w:val="-20"/>
                <w:kern w:val="0"/>
                <w:sz w:val="20"/>
                <w:szCs w:val="20"/>
                <w:highlight w:val="none"/>
              </w:rPr>
              <w:t>日期：</w:t>
            </w:r>
          </w:p>
        </w:tc>
      </w:tr>
    </w:tbl>
    <w:p w14:paraId="3C3ABB1F">
      <w:pPr>
        <w:pStyle w:val="16"/>
        <w:rPr>
          <w:rFonts w:hint="eastAsia" w:ascii="仿宋_GB2312" w:hAnsi="仿宋_GB2312" w:eastAsia="仿宋_GB2312" w:cs="仿宋_GB2312"/>
          <w:sz w:val="20"/>
          <w:szCs w:val="20"/>
          <w:highlight w:val="none"/>
          <w:lang w:val="en-US" w:eastAsia="zh-Hans"/>
        </w:rPr>
      </w:pPr>
    </w:p>
    <w:p w14:paraId="6708B59F">
      <w:pPr>
        <w:keepNext w:val="0"/>
        <w:keepLines w:val="0"/>
        <w:pageBreakBefore w:val="0"/>
        <w:widowControl w:val="0"/>
        <w:kinsoku/>
        <w:wordWrap/>
        <w:overflowPunct/>
        <w:topLinePunct w:val="0"/>
        <w:bidi w:val="0"/>
        <w:spacing w:line="560" w:lineRule="exact"/>
        <w:ind w:firstLine="420" w:firstLineChars="20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方正小标宋简体">
    <w:altName w:val="Arial Unicode MS"/>
    <w:panose1 w:val="02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03674E6"/>
    <w:rsid w:val="01091F26"/>
    <w:rsid w:val="029C1412"/>
    <w:rsid w:val="047E2BDC"/>
    <w:rsid w:val="04AD7ABA"/>
    <w:rsid w:val="060C64A3"/>
    <w:rsid w:val="07554228"/>
    <w:rsid w:val="088B0AD2"/>
    <w:rsid w:val="08B82EF3"/>
    <w:rsid w:val="0B060E63"/>
    <w:rsid w:val="0CA43C19"/>
    <w:rsid w:val="0E6810FB"/>
    <w:rsid w:val="14B37887"/>
    <w:rsid w:val="1A9B4D19"/>
    <w:rsid w:val="1E8D5F3B"/>
    <w:rsid w:val="20045859"/>
    <w:rsid w:val="22983D97"/>
    <w:rsid w:val="22AF0896"/>
    <w:rsid w:val="22FB2867"/>
    <w:rsid w:val="22FE48A1"/>
    <w:rsid w:val="23002CC8"/>
    <w:rsid w:val="29450034"/>
    <w:rsid w:val="29E259F5"/>
    <w:rsid w:val="2CF40789"/>
    <w:rsid w:val="2D23061C"/>
    <w:rsid w:val="2DB155D6"/>
    <w:rsid w:val="2F193C67"/>
    <w:rsid w:val="30332969"/>
    <w:rsid w:val="305425A9"/>
    <w:rsid w:val="32F94991"/>
    <w:rsid w:val="342B6D4B"/>
    <w:rsid w:val="34651AF2"/>
    <w:rsid w:val="34FC549D"/>
    <w:rsid w:val="366E3E9D"/>
    <w:rsid w:val="3A102E54"/>
    <w:rsid w:val="3B6E0E98"/>
    <w:rsid w:val="3DF24001"/>
    <w:rsid w:val="435720D9"/>
    <w:rsid w:val="459B04FB"/>
    <w:rsid w:val="46784A78"/>
    <w:rsid w:val="475F17EC"/>
    <w:rsid w:val="4B46076C"/>
    <w:rsid w:val="4D6132AA"/>
    <w:rsid w:val="4E0B7D9B"/>
    <w:rsid w:val="50CA2930"/>
    <w:rsid w:val="51F233A7"/>
    <w:rsid w:val="57BB08A7"/>
    <w:rsid w:val="58907E91"/>
    <w:rsid w:val="58DF3ACC"/>
    <w:rsid w:val="59C3741A"/>
    <w:rsid w:val="5B1E7567"/>
    <w:rsid w:val="5C440896"/>
    <w:rsid w:val="5E496E33"/>
    <w:rsid w:val="623C6124"/>
    <w:rsid w:val="68FC4253"/>
    <w:rsid w:val="690A53D6"/>
    <w:rsid w:val="6AF83D38"/>
    <w:rsid w:val="6E4E7318"/>
    <w:rsid w:val="7312139A"/>
    <w:rsid w:val="773B10EA"/>
    <w:rsid w:val="78571E88"/>
    <w:rsid w:val="78F637DD"/>
    <w:rsid w:val="7B864284"/>
    <w:rsid w:val="7B9C2A4D"/>
    <w:rsid w:val="7BBB198C"/>
    <w:rsid w:val="7CA10B3D"/>
    <w:rsid w:val="7E342B22"/>
    <w:rsid w:val="7EC62364"/>
    <w:rsid w:val="7EF377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2"/>
    <w:qFormat/>
    <w:uiPriority w:val="0"/>
    <w:pPr>
      <w:keepNext/>
      <w:widowControl w:val="0"/>
      <w:jc w:val="center"/>
      <w:outlineLvl w:val="0"/>
    </w:pPr>
    <w:rPr>
      <w:rFonts w:ascii="黑体" w:eastAsia="黑体"/>
      <w:sz w:val="28"/>
    </w:rPr>
  </w:style>
  <w:style w:type="paragraph" w:styleId="4">
    <w:name w:val="heading 2"/>
    <w:basedOn w:val="1"/>
    <w:next w:val="1"/>
    <w:qFormat/>
    <w:uiPriority w:val="0"/>
    <w:pPr>
      <w:keepNext/>
      <w:widowControl w:val="0"/>
      <w:spacing w:line="720" w:lineRule="exact"/>
      <w:outlineLvl w:val="1"/>
    </w:pPr>
    <w:rPr>
      <w:rFonts w:ascii="黑体" w:hAnsi="黑体" w:eastAsia="楷体_GB2312"/>
      <w:sz w:val="28"/>
    </w:rPr>
  </w:style>
  <w:style w:type="paragraph" w:styleId="5">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center"/>
    </w:pPr>
  </w:style>
  <w:style w:type="paragraph" w:styleId="6">
    <w:name w:val="annotation text"/>
    <w:basedOn w:val="1"/>
    <w:qFormat/>
    <w:uiPriority w:val="0"/>
    <w:pPr>
      <w:jc w:val="left"/>
    </w:pPr>
  </w:style>
  <w:style w:type="paragraph" w:styleId="7">
    <w:name w:val="footer"/>
    <w:basedOn w:val="1"/>
    <w:qFormat/>
    <w:uiPriority w:val="0"/>
    <w:pPr>
      <w:tabs>
        <w:tab w:val="center" w:pos="4153"/>
        <w:tab w:val="right" w:pos="8306"/>
      </w:tabs>
      <w:snapToGrid w:val="0"/>
      <w:jc w:val="left"/>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character" w:customStyle="1" w:styleId="12">
    <w:name w:val="标题 1 Char"/>
    <w:link w:val="3"/>
    <w:qFormat/>
    <w:uiPriority w:val="0"/>
    <w:rPr>
      <w:rFonts w:ascii="黑体" w:eastAsia="黑体"/>
      <w:sz w:val="28"/>
    </w:rPr>
  </w:style>
  <w:style w:type="paragraph" w:customStyle="1" w:styleId="13">
    <w:name w:val="p0"/>
    <w:basedOn w:val="1"/>
    <w:qFormat/>
    <w:uiPriority w:val="0"/>
    <w:pPr>
      <w:widowControl/>
      <w:jc w:val="left"/>
    </w:pPr>
    <w:rPr>
      <w:rFonts w:ascii="Calibri" w:hAnsi="Calibri"/>
      <w:kern w:val="0"/>
      <w:szCs w:val="21"/>
    </w:rPr>
  </w:style>
  <w:style w:type="paragraph" w:customStyle="1" w:styleId="14">
    <w:name w:val="Default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样式 首行缩进:  2 字符"/>
    <w:basedOn w:val="1"/>
    <w:qFormat/>
    <w:uiPriority w:val="0"/>
    <w:pPr>
      <w:spacing w:line="400" w:lineRule="exact"/>
      <w:ind w:firstLine="200" w:firstLineChars="200"/>
    </w:pPr>
    <w:rPr>
      <w:rFonts w:cs="宋体"/>
      <w:sz w:val="24"/>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1718</Words>
  <Characters>1791</Characters>
  <Lines>0</Lines>
  <Paragraphs>0</Paragraphs>
  <TotalTime>0</TotalTime>
  <ScaleCrop>false</ScaleCrop>
  <LinksUpToDate>false</LinksUpToDate>
  <CharactersWithSpaces>2151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2023-07-26T09:00:00Z</dcterms:created>
  <dc:creator>hc618</dc:creator>
  <cp:lastModifiedBy>陕西华采招标有限公司</cp:lastModifiedBy>
  <cp:lastPrinted>2025-08-06T07:00:00Z</cp:lastPrinted>
  <dcterms:modified xsi:type="dcterms:W3CDTF">2025-11-24T06:09:41Z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0337F0FB1C544A00B5D59602DBF64DAB_13</vt:lpwstr>
  </property>
  <property fmtid="{D5CDD505-2E9C-101B-9397-08002B2CF9AE}" pid="4" name="KSOTemplateDocerSaveRecord">
    <vt:lpwstr>eyJoZGlkIjoiZWMxNWU5MTM1NDJhMzM3NzZlNjAyMmRiMjcyMmY4OWYiLCJ1c2VySWQiOiI5MzY1NjA0ODAifQ==</vt:lpwstr>
  </property>
</Properties>
</file>