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35BB6">
      <w:pPr>
        <w:pStyle w:val="3"/>
        <w:spacing w:before="317" w:beforeLines="50" w:after="317" w:afterLines="50" w:line="360" w:lineRule="auto"/>
        <w:jc w:val="center"/>
        <w:rPr>
          <w:rFonts w:hint="eastAsia" w:ascii="仿宋" w:hAnsi="仿宋" w:eastAsia="仿宋" w:cs="仿宋"/>
          <w:sz w:val="44"/>
          <w:szCs w:val="44"/>
          <w:highlight w:val="none"/>
        </w:rPr>
      </w:pPr>
      <w:r>
        <w:rPr>
          <w:rFonts w:hint="eastAsia" w:ascii="仿宋" w:hAnsi="仿宋" w:eastAsia="仿宋" w:cs="仿宋"/>
          <w:sz w:val="44"/>
          <w:szCs w:val="44"/>
          <w:highlight w:val="none"/>
          <w:lang w:val="en-US" w:eastAsia="zh-CN"/>
        </w:rPr>
        <w:t>总说明</w:t>
      </w:r>
    </w:p>
    <w:p w14:paraId="0760A194">
      <w:pPr>
        <w:keepNext w:val="0"/>
        <w:keepLines w:val="0"/>
        <w:pageBreakBefore w:val="0"/>
        <w:wordWrap/>
        <w:overflowPunct/>
        <w:topLinePunct w:val="0"/>
        <w:bidi w:val="0"/>
        <w:spacing w:before="144" w:line="360" w:lineRule="auto"/>
        <w:ind w:right="92" w:firstLine="522" w:firstLineChars="200"/>
        <w:rPr>
          <w:rFonts w:hint="eastAsia" w:ascii="仿宋" w:hAnsi="仿宋" w:eastAsia="仿宋" w:cs="仿宋"/>
          <w:b/>
          <w:bCs/>
          <w:spacing w:val="-10"/>
          <w:sz w:val="28"/>
          <w:szCs w:val="28"/>
          <w:u w:val="single"/>
        </w:rPr>
      </w:pPr>
      <w:r>
        <w:rPr>
          <w:rFonts w:hint="eastAsia" w:ascii="仿宋" w:hAnsi="仿宋" w:eastAsia="仿宋" w:cs="仿宋"/>
          <w:b/>
          <w:bCs/>
          <w:spacing w:val="-10"/>
          <w:sz w:val="28"/>
          <w:szCs w:val="28"/>
          <w:u w:val="single"/>
        </w:rPr>
        <w:t>工程名称：纬十一路雨水</w:t>
      </w:r>
      <w:r>
        <w:rPr>
          <w:rFonts w:hint="eastAsia" w:ascii="仿宋" w:hAnsi="仿宋" w:eastAsia="仿宋" w:cs="仿宋"/>
          <w:b/>
          <w:bCs/>
          <w:spacing w:val="-10"/>
          <w:sz w:val="28"/>
          <w:szCs w:val="28"/>
          <w:u w:val="single"/>
          <w:lang w:val="en-US" w:eastAsia="zh-CN"/>
        </w:rPr>
        <w:t>临时排放工程</w:t>
      </w:r>
    </w:p>
    <w:p w14:paraId="2F569D5D">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一、工程概况</w:t>
      </w:r>
    </w:p>
    <w:p w14:paraId="73356D44">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default" w:ascii="仿宋" w:hAnsi="仿宋" w:eastAsia="仿宋" w:cs="仿宋"/>
          <w:b w:val="0"/>
          <w:bCs w:val="0"/>
          <w:snapToGrid/>
          <w:color w:val="000000"/>
          <w:kern w:val="2"/>
          <w:sz w:val="28"/>
          <w:szCs w:val="22"/>
          <w:lang w:val="en-US" w:eastAsia="zh-CN" w:bidi="ar-SA"/>
        </w:rPr>
      </w:pPr>
      <w:r>
        <w:rPr>
          <w:rFonts w:hint="eastAsia" w:ascii="仿宋" w:hAnsi="仿宋" w:eastAsia="仿宋" w:cs="仿宋"/>
          <w:snapToGrid/>
          <w:color w:val="000000"/>
          <w:kern w:val="2"/>
          <w:sz w:val="28"/>
          <w:szCs w:val="22"/>
          <w:lang w:val="en-US" w:eastAsia="zh-CN" w:bidi="ar-SA"/>
        </w:rPr>
        <w:t>本项目施工范围为纬十一路与草</w:t>
      </w:r>
      <w:bookmarkStart w:id="0" w:name="_GoBack"/>
      <w:bookmarkEnd w:id="0"/>
      <w:r>
        <w:rPr>
          <w:rFonts w:hint="eastAsia" w:ascii="仿宋" w:hAnsi="仿宋" w:eastAsia="仿宋" w:cs="仿宋"/>
          <w:snapToGrid/>
          <w:color w:val="000000"/>
          <w:kern w:val="2"/>
          <w:sz w:val="28"/>
          <w:szCs w:val="22"/>
          <w:lang w:val="en-US" w:eastAsia="zh-CN" w:bidi="ar-SA"/>
        </w:rPr>
        <w:t>堂四路交界处至纬十一路与草堂六路交界处雨水临时排放工程，其中包含一体化雨水泵站、箱变、电力电缆、泵站进出水管道及附属材料的安装等内容</w:t>
      </w:r>
      <w:r>
        <w:rPr>
          <w:rFonts w:hint="eastAsia" w:ascii="仿宋" w:hAnsi="仿宋" w:eastAsia="仿宋" w:cs="仿宋"/>
          <w:b w:val="0"/>
          <w:bCs w:val="0"/>
          <w:snapToGrid/>
          <w:color w:val="000000"/>
          <w:kern w:val="2"/>
          <w:sz w:val="28"/>
          <w:szCs w:val="22"/>
          <w:lang w:val="en-US" w:eastAsia="zh-CN" w:bidi="ar-SA"/>
        </w:rPr>
        <w:t xml:space="preserve">。  </w:t>
      </w:r>
    </w:p>
    <w:p w14:paraId="1D686612">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二、编制范围</w:t>
      </w:r>
    </w:p>
    <w:p w14:paraId="7FA2B9EA">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本项目包括图纸设计全部工程内容。</w:t>
      </w:r>
    </w:p>
    <w:p w14:paraId="164F713F">
      <w:pPr>
        <w:keepNext w:val="0"/>
        <w:keepLines w:val="0"/>
        <w:pageBreakBefore w:val="0"/>
        <w:widowControl w:val="0"/>
        <w:numPr>
          <w:ilvl w:val="0"/>
          <w:numId w:val="1"/>
        </w:numPr>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编制依据</w:t>
      </w:r>
    </w:p>
    <w:p w14:paraId="673F1FCB">
      <w:pPr>
        <w:pStyle w:val="2"/>
        <w:numPr>
          <w:ilvl w:val="0"/>
          <w:numId w:val="0"/>
        </w:numPr>
        <w:rPr>
          <w:rFonts w:hint="default"/>
          <w:lang w:val="en-US" w:eastAsia="zh-CN"/>
        </w:rPr>
      </w:pPr>
      <w:r>
        <w:rPr>
          <w:rFonts w:hint="eastAsia"/>
          <w:lang w:val="en-US" w:eastAsia="zh-CN"/>
        </w:rPr>
        <w:t xml:space="preserve">       </w:t>
      </w:r>
      <w:r>
        <w:rPr>
          <w:rFonts w:hint="eastAsia" w:ascii="仿宋" w:hAnsi="仿宋" w:eastAsia="仿宋" w:cs="仿宋"/>
          <w:b w:val="0"/>
          <w:bCs w:val="0"/>
          <w:snapToGrid/>
          <w:color w:val="000000"/>
          <w:kern w:val="2"/>
          <w:sz w:val="28"/>
          <w:szCs w:val="22"/>
          <w:lang w:val="en-US" w:eastAsia="zh-CN" w:bidi="ar-SA"/>
        </w:rPr>
        <w:t>1、依据建设单位提供的施工图纸及相关资料。</w:t>
      </w:r>
    </w:p>
    <w:p w14:paraId="5DF0F080">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000000"/>
          <w:sz w:val="28"/>
          <w:lang w:val="en-US" w:eastAsia="zh-CN"/>
        </w:rPr>
      </w:pPr>
      <w:r>
        <w:rPr>
          <w:rFonts w:hint="eastAsia" w:ascii="仿宋" w:hAnsi="仿宋" w:eastAsia="仿宋" w:cs="仿宋"/>
          <w:b w:val="0"/>
          <w:bCs w:val="0"/>
          <w:snapToGrid/>
          <w:color w:val="000000"/>
          <w:kern w:val="2"/>
          <w:sz w:val="28"/>
          <w:szCs w:val="22"/>
          <w:lang w:val="en-US" w:eastAsia="zh-CN" w:bidi="ar-SA"/>
        </w:rPr>
        <w:t>2、陕西省住房和城乡建设厅文件：</w:t>
      </w:r>
      <w:r>
        <w:rPr>
          <w:rFonts w:hint="eastAsia" w:ascii="仿宋" w:hAnsi="仿宋" w:eastAsia="仿宋" w:cs="仿宋"/>
          <w:color w:val="000000"/>
          <w:sz w:val="28"/>
          <w:lang w:val="en-US" w:eastAsia="zh-CN"/>
        </w:rPr>
        <w:t>《关于印发2025陕西省建设工程费用规则等计价依据的通知》（陕建管发【2025】10号文）。</w:t>
      </w:r>
    </w:p>
    <w:p w14:paraId="072A5828">
      <w:pPr>
        <w:keepNext w:val="0"/>
        <w:keepLines w:val="0"/>
        <w:pageBreakBefore w:val="0"/>
        <w:widowControl w:val="0"/>
        <w:numPr>
          <w:ilvl w:val="0"/>
          <w:numId w:val="0"/>
        </w:numPr>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3、《建设工程工程量清单计价标准》DB 61/T5126-2025、《通用安装工程工程量计算标准》DB 61/T5130-2025、《房屋建筑与装饰工程工程量计算标准》DB 61/T5129-2025、《市政工程工程量计算标准》DB 61/T5128-2025、《陕西省建设工程费用规则》（2025）、《陕西省通用安装工程基价表》（2025）、《陕西省房屋建筑与装饰工程基价表》（2025）、《陕西省市政工程基价表》（2025）、《陕西省通用安装工程消耗量定额》（2025）、《陕西省房屋建筑与装饰工程消耗量定额》（2025）、《陕西省市政工程消耗量定额》（2025）</w:t>
      </w:r>
      <w:r>
        <w:rPr>
          <w:rFonts w:hint="eastAsia" w:ascii="仿宋" w:hAnsi="仿宋" w:eastAsia="仿宋" w:cs="仿宋"/>
          <w:b w:val="0"/>
          <w:bCs w:val="0"/>
          <w:snapToGrid/>
          <w:color w:val="auto"/>
          <w:kern w:val="2"/>
          <w:sz w:val="28"/>
          <w:szCs w:val="22"/>
          <w:lang w:val="en-US" w:eastAsia="zh-CN" w:bidi="ar-SA"/>
        </w:rPr>
        <w:t>及相</w:t>
      </w:r>
      <w:r>
        <w:rPr>
          <w:rFonts w:hint="eastAsia" w:ascii="仿宋" w:hAnsi="仿宋" w:eastAsia="仿宋" w:cs="仿宋"/>
          <w:b w:val="0"/>
          <w:bCs w:val="0"/>
          <w:snapToGrid/>
          <w:color w:val="000000"/>
          <w:kern w:val="2"/>
          <w:sz w:val="28"/>
          <w:szCs w:val="22"/>
          <w:lang w:val="en-US" w:eastAsia="zh-CN" w:bidi="ar-SA"/>
        </w:rPr>
        <w:t>关政策性文件。</w:t>
      </w:r>
    </w:p>
    <w:p w14:paraId="06C8DEF2">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4、材料价格参考《陕西工程造价信息》2025年第10期及当期市场价。</w:t>
      </w:r>
    </w:p>
    <w:p w14:paraId="441CDC9C">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5、与建设工程项目有关的标准、规范、图集、技术资料。</w:t>
      </w:r>
    </w:p>
    <w:p w14:paraId="4F056AE7">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6、常规施工组织设计及施工方法。</w:t>
      </w:r>
    </w:p>
    <w:p w14:paraId="148C3C79">
      <w:pPr>
        <w:keepNext w:val="0"/>
        <w:keepLines w:val="0"/>
        <w:pageBreakBefore w:val="0"/>
        <w:widowControl w:val="0"/>
        <w:numPr>
          <w:ilvl w:val="0"/>
          <w:numId w:val="1"/>
        </w:numPr>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其他说明</w:t>
      </w:r>
    </w:p>
    <w:p w14:paraId="682923C6">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default"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1、暂列金额以80.00万元计入经三十二路等市政道路及纬十一路等雨污水管线建设项目-市政安装工程的其他项目费用中。</w:t>
      </w:r>
    </w:p>
    <w:p w14:paraId="458FA5A4">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2、本项目混凝土按商品混凝土计入、砂浆按预拌砂浆计入、石灰按袋装熟石灰计入。</w:t>
      </w:r>
    </w:p>
    <w:p w14:paraId="261B5DBB">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lang w:val="en-US" w:eastAsia="zh-CN"/>
        </w:rPr>
      </w:pPr>
      <w:r>
        <w:rPr>
          <w:rFonts w:hint="eastAsia" w:ascii="仿宋" w:hAnsi="仿宋" w:eastAsia="仿宋" w:cs="仿宋"/>
          <w:b w:val="0"/>
          <w:bCs w:val="0"/>
          <w:snapToGrid/>
          <w:color w:val="000000"/>
          <w:kern w:val="2"/>
          <w:sz w:val="28"/>
          <w:szCs w:val="22"/>
          <w:lang w:val="en-US" w:eastAsia="zh-CN" w:bidi="ar-SA"/>
        </w:rPr>
        <w:t>3、本工程降水措施费已考虑在经三十二路等市政道路及纬十一路等雨污水管线建设项目-市政工程的措施费用中。</w:t>
      </w:r>
    </w:p>
    <w:p w14:paraId="53D4F5A0">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4、本工程中余方弃置的工程量是将所有可利用土方平衡后所计算出的数量，以自然方计算。</w:t>
      </w:r>
    </w:p>
    <w:p w14:paraId="5119BF97">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5、本预算中所有工程量仅作为编制最高投标限价的依据，工程竣工按实结</w:t>
      </w:r>
      <w:r>
        <w:rPr>
          <w:rFonts w:hint="eastAsia" w:ascii="仿宋" w:hAnsi="仿宋" w:eastAsia="仿宋" w:cs="仿宋"/>
          <w:b w:val="0"/>
          <w:bCs w:val="0"/>
          <w:snapToGrid/>
          <w:color w:val="000000"/>
          <w:kern w:val="2"/>
          <w:sz w:val="28"/>
          <w:szCs w:val="22"/>
          <w:lang w:val="en-US" w:eastAsia="zh-CN" w:bidi="ar-SA"/>
        </w:rPr>
        <w:pict>
          <v:shape id="_x0000_s1026" o:spid="_x0000_s1026" o:spt="202" type="#_x0000_t202" style="position:absolute;left:0pt;margin-left:-1pt;margin-top:-5.8pt;height:18.9pt;width:15.15pt;z-index:251659264;mso-width-relative:page;mso-height-relative:page;" filled="f" stroked="f" coordsize="21600,21600">
            <v:path/>
            <v:fill on="f" focussize="0,0"/>
            <v:stroke on="f"/>
            <v:imagedata o:title=""/>
            <o:lock v:ext="edit" aspectratio="f"/>
            <v:textbox inset="0mm,0mm,0mm,0mm">
              <w:txbxContent>
                <w:p w14:paraId="5C240DC5">
                  <w:pPr>
                    <w:spacing w:before="20" w:line="222" w:lineRule="auto"/>
                    <w:rPr>
                      <w:rFonts w:ascii="仿宋" w:hAnsi="仿宋" w:eastAsia="仿宋" w:cs="仿宋"/>
                      <w:sz w:val="28"/>
                      <w:szCs w:val="28"/>
                    </w:rPr>
                  </w:pPr>
                </w:p>
              </w:txbxContent>
            </v:textbox>
          </v:shape>
        </w:pict>
      </w:r>
      <w:r>
        <w:rPr>
          <w:rFonts w:hint="eastAsia" w:ascii="仿宋" w:hAnsi="仿宋" w:eastAsia="仿宋" w:cs="仿宋"/>
          <w:b w:val="0"/>
          <w:bCs w:val="0"/>
          <w:snapToGrid/>
          <w:color w:val="000000"/>
          <w:kern w:val="2"/>
          <w:sz w:val="28"/>
          <w:szCs w:val="22"/>
          <w:lang w:val="en-US" w:eastAsia="zh-CN" w:bidi="ar-SA"/>
        </w:rPr>
        <w:t>算。</w:t>
      </w:r>
    </w:p>
    <w:p w14:paraId="4D7E023F">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6、本工程中维护保养设备用电费用为暂定金额，工程竣工按实结</w:t>
      </w:r>
      <w:r>
        <w:rPr>
          <w:rFonts w:hint="eastAsia" w:ascii="仿宋" w:hAnsi="仿宋" w:eastAsia="仿宋" w:cs="仿宋"/>
          <w:b w:val="0"/>
          <w:bCs w:val="0"/>
          <w:snapToGrid/>
          <w:color w:val="000000"/>
          <w:kern w:val="2"/>
          <w:sz w:val="28"/>
          <w:szCs w:val="22"/>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-73660</wp:posOffset>
                </wp:positionV>
                <wp:extent cx="192405" cy="24003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92405" cy="240030"/>
                        </a:xfrm>
                        <a:prstGeom prst="rect">
                          <a:avLst/>
                        </a:prstGeom>
                        <a:noFill/>
                        <a:ln>
                          <a:noFill/>
                        </a:ln>
                      </wps:spPr>
                      <wps:txbx>
                        <w:txbxContent>
                          <w:p w14:paraId="1E518033">
                            <w:pPr>
                              <w:spacing w:before="20" w:line="222" w:lineRule="auto"/>
                              <w:rPr>
                                <w:rFonts w:ascii="仿宋" w:hAnsi="仿宋" w:eastAsia="仿宋" w:cs="仿宋"/>
                                <w:sz w:val="28"/>
                                <w:szCs w:val="28"/>
                              </w:rPr>
                            </w:pPr>
                          </w:p>
                        </w:txbxContent>
                      </wps:txbx>
                      <wps:bodyPr lIns="0" tIns="0" rIns="0" bIns="0" upright="1"/>
                    </wps:wsp>
                  </a:graphicData>
                </a:graphic>
              </wp:anchor>
            </w:drawing>
          </mc:Choice>
          <mc:Fallback>
            <w:pict>
              <v:shape id="_x0000_s1026" o:spid="_x0000_s1026" o:spt="202" type="#_x0000_t202" style="position:absolute;left:0pt;margin-left:-1pt;margin-top:-5.8pt;height:18.9pt;width:15.15pt;z-index:251660288;mso-width-relative:page;mso-height-relative:page;" filled="f" stroked="f" coordsize="21600,21600" o:gfxdata="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GsJAdYAAAAIAQAADwAAAAAAAAABACAAAAAiAAAAZHJzL2Rvd25yZXYueG1sUEsBAhQAFAAA&#10;AAgAh07iQPBHqAe4AQAAcQMAAA4AAAAAAAAAAQAgAAAAJQEAAGRycy9lMm9Eb2MueG1sUEsFBgAA&#10;AAAGAAYAWQEAAE8FAAAAAA==&#10;">
                <v:fill on="f" focussize="0,0"/>
                <v:stroke on="f"/>
                <v:imagedata o:title=""/>
                <o:lock v:ext="edit" aspectratio="f"/>
                <v:textbox inset="0mm,0mm,0mm,0mm">
                  <w:txbxContent>
                    <w:p w14:paraId="1E518033">
                      <w:pPr>
                        <w:spacing w:before="20" w:line="222" w:lineRule="auto"/>
                        <w:rPr>
                          <w:rFonts w:ascii="仿宋" w:hAnsi="仿宋" w:eastAsia="仿宋" w:cs="仿宋"/>
                          <w:sz w:val="28"/>
                          <w:szCs w:val="28"/>
                        </w:rPr>
                      </w:pPr>
                    </w:p>
                  </w:txbxContent>
                </v:textbox>
              </v:shape>
            </w:pict>
          </mc:Fallback>
        </mc:AlternateContent>
      </w:r>
      <w:r>
        <w:rPr>
          <w:rFonts w:hint="eastAsia" w:ascii="仿宋" w:hAnsi="仿宋" w:eastAsia="仿宋" w:cs="仿宋"/>
          <w:b w:val="0"/>
          <w:bCs w:val="0"/>
          <w:snapToGrid/>
          <w:color w:val="000000"/>
          <w:kern w:val="2"/>
          <w:sz w:val="28"/>
          <w:szCs w:val="22"/>
          <w:lang w:val="en-US" w:eastAsia="zh-CN" w:bidi="ar-SA"/>
        </w:rPr>
        <w:t>算。</w:t>
      </w:r>
    </w:p>
    <w:p w14:paraId="0E1572A7">
      <w:pPr>
        <w:keepNext w:val="0"/>
        <w:keepLines w:val="0"/>
        <w:pageBreakBefore w:val="0"/>
        <w:widowControl w:val="0"/>
        <w:numPr>
          <w:ilvl w:val="0"/>
          <w:numId w:val="1"/>
        </w:numPr>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本工程采用广联达计价软件 GCCP7.0 (版本：7.5000.23.2) 。</w:t>
      </w:r>
    </w:p>
    <w:sectPr>
      <w:pgSz w:w="11906" w:h="16839"/>
      <w:pgMar w:top="1440" w:right="1191" w:bottom="1440" w:left="119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E24F7"/>
    <w:multiLevelType w:val="singleLevel"/>
    <w:tmpl w:val="5F5E24F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ZTg3NzJmM2NjOTA2MjYyMGE1MGIxNjdmMzRlMTcwMGYifQ=="/>
  </w:docVars>
  <w:rsids>
    <w:rsidRoot w:val="00000000"/>
    <w:rsid w:val="02B45894"/>
    <w:rsid w:val="05123C0E"/>
    <w:rsid w:val="06190FCC"/>
    <w:rsid w:val="0AD052D8"/>
    <w:rsid w:val="0B8B64C8"/>
    <w:rsid w:val="0C9B6363"/>
    <w:rsid w:val="0CF00C80"/>
    <w:rsid w:val="0D7775AA"/>
    <w:rsid w:val="12C549B5"/>
    <w:rsid w:val="15F94238"/>
    <w:rsid w:val="16CD208A"/>
    <w:rsid w:val="19AA534F"/>
    <w:rsid w:val="1BD417C5"/>
    <w:rsid w:val="1C0A734B"/>
    <w:rsid w:val="1F762CBA"/>
    <w:rsid w:val="1FA8215D"/>
    <w:rsid w:val="21ED35E0"/>
    <w:rsid w:val="250F1AC0"/>
    <w:rsid w:val="25C1725E"/>
    <w:rsid w:val="27954F38"/>
    <w:rsid w:val="2A297180"/>
    <w:rsid w:val="2C9254B0"/>
    <w:rsid w:val="2EB07E70"/>
    <w:rsid w:val="2F474AC7"/>
    <w:rsid w:val="31456F95"/>
    <w:rsid w:val="32F50D48"/>
    <w:rsid w:val="33316CCC"/>
    <w:rsid w:val="34425A0E"/>
    <w:rsid w:val="365A0010"/>
    <w:rsid w:val="392026CD"/>
    <w:rsid w:val="3A8D375B"/>
    <w:rsid w:val="44DC7CCB"/>
    <w:rsid w:val="47DB27C8"/>
    <w:rsid w:val="47FE17F4"/>
    <w:rsid w:val="4B730142"/>
    <w:rsid w:val="4B83098E"/>
    <w:rsid w:val="4C1859E4"/>
    <w:rsid w:val="4F604B42"/>
    <w:rsid w:val="532F0CB9"/>
    <w:rsid w:val="53E211DC"/>
    <w:rsid w:val="57F055DA"/>
    <w:rsid w:val="5A0A1532"/>
    <w:rsid w:val="5A9A1850"/>
    <w:rsid w:val="5B9D1407"/>
    <w:rsid w:val="5D26561D"/>
    <w:rsid w:val="5DC15346"/>
    <w:rsid w:val="605424A1"/>
    <w:rsid w:val="605B738C"/>
    <w:rsid w:val="63952BB5"/>
    <w:rsid w:val="642C3E4F"/>
    <w:rsid w:val="64836EB1"/>
    <w:rsid w:val="65497582"/>
    <w:rsid w:val="663D192E"/>
    <w:rsid w:val="66BE2423"/>
    <w:rsid w:val="674D34C5"/>
    <w:rsid w:val="6AB450C7"/>
    <w:rsid w:val="6BAC4F3F"/>
    <w:rsid w:val="6CD15DD8"/>
    <w:rsid w:val="6F4A6F49"/>
    <w:rsid w:val="6F502BA4"/>
    <w:rsid w:val="72A11576"/>
    <w:rsid w:val="72BF310E"/>
    <w:rsid w:val="743E1047"/>
    <w:rsid w:val="74C23A26"/>
    <w:rsid w:val="75DE488F"/>
    <w:rsid w:val="77A851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rPr>
  </w:style>
  <w:style w:type="paragraph" w:styleId="2">
    <w:name w:val="heading 4"/>
    <w:basedOn w:val="1"/>
    <w:next w:val="1"/>
    <w:qFormat/>
    <w:uiPriority w:val="99"/>
    <w:pPr>
      <w:keepNext/>
      <w:keepLines/>
      <w:spacing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customStyle="1" w:styleId="7">
    <w:name w:val="正文缩进1"/>
    <w:basedOn w:val="1"/>
    <w:qFormat/>
    <w:uiPriority w:val="0"/>
    <w:pPr>
      <w:spacing w:line="360" w:lineRule="auto"/>
      <w:ind w:firstLine="420" w:firstLineChars="200"/>
    </w:p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782</Words>
  <Characters>887</Characters>
  <TotalTime>0</TotalTime>
  <ScaleCrop>false</ScaleCrop>
  <LinksUpToDate>false</LinksUpToDate>
  <CharactersWithSpaces>903</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2022-04-08T15:50:00Z</dcterms:created>
  <dc:creator>Administrator</dc:creator>
  <cp:lastModifiedBy>大世界</cp:lastModifiedBy>
  <dcterms:modified xsi:type="dcterms:W3CDTF">2025-11-26T09:42:21Z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2022-04-21T15:53:35Z</vt:filetime>
  </property>
  <property fmtid="{D5CDD505-2E9C-101B-9397-08002B2CF9AE}" pid="4" name="KSOProductBuildVer">
    <vt:lpwstr>2052-12.1.0.23125</vt:lpwstr>
  </property>
  <property fmtid="{D5CDD505-2E9C-101B-9397-08002B2CF9AE}" pid="5" name="ICV">
    <vt:lpwstr>6B93624C84DF449B8B320C12EC2AF085_13</vt:lpwstr>
  </property>
  <property fmtid="{D5CDD505-2E9C-101B-9397-08002B2CF9AE}" pid="6" name="KSOTemplateDocerSaveRecord">
    <vt:lpwstr>eyJoZGlkIjoiOTk5YmYxM2JiNmFkMDc1NTZjYTc2MjAzN2I2NzM5ZDYiLCJ1c2VySWQiOiI0Mjg0OTI5OTAifQ==</vt:lpwstr>
  </property>
</Properties>
</file>