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版本号：SXHC2025-28520251103001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购置对讲机项目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SXHC2025-285</w:t>
      </w:r>
      <w:r>
        <w:br/>
      </w:r>
      <w:r>
        <w:br/>
      </w:r>
      <w:r>
        <w:br/>
      </w:r>
    </w:p>
    <w:p>
      <w:pPr>
        <w:pStyle w:val="null3"/>
        <w:jc w:val="center"/>
        <w:outlineLvl w:val="2"/>
      </w:pPr>
      <w:r>
        <w:rPr>
          <w:rFonts w:ascii="仿宋_GB2312" w:hAnsi="仿宋_GB2312" w:cs="仿宋_GB2312" w:eastAsia="仿宋_GB2312"/>
          <w:sz w:val="28"/>
          <w:b/>
        </w:rPr>
        <w:t>西安市公安局高新技术产业开发区分局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西安市公安局高新技术产业开发区分局</w:t>
      </w:r>
      <w:r>
        <w:rPr>
          <w:rFonts w:ascii="仿宋_GB2312" w:hAnsi="仿宋_GB2312" w:cs="仿宋_GB2312" w:eastAsia="仿宋_GB2312"/>
        </w:rPr>
        <w:t>委托，拟对</w:t>
      </w:r>
      <w:r>
        <w:rPr>
          <w:rFonts w:ascii="仿宋_GB2312" w:hAnsi="仿宋_GB2312" w:cs="仿宋_GB2312" w:eastAsia="仿宋_GB2312"/>
        </w:rPr>
        <w:t>购置对讲机项目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购置对讲机项目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西安市公安局高新技术产业开发区分局现需采购一批对讲机来满足日常使用需求，采购产品必须符合国家相关质量标准。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采购包1（购置对讲机项目）：属于专门面向中小企业采购。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西安市公安局高新技术产业开发区分局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 改委关于降低 部分建设项目收费标准规范收费行为等有关问题的通知》（发改价格〔2011〕534号） 规定按标准收取，若按照标准收取不足6000元，按6000元计取。2、招标代理服务费可以采取现金、支票、银行汇票、电汇、网银等方式缴纳。 3、招标代理服务费缴纳信息： 银行户名：陕西华采招标有限公司 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西安市公安局高新技术产业开发区分局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西安市公安局高新技术产业开发区分局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西安市公安局高新技术产业开发区分局现需采购一批对讲机来满足日常使用需求，采购产品必须符合国家相关质量标准。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购置对讲机</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30"/>
            </w:pPr>
            <w:r>
              <w:rPr>
                <w:rFonts w:ascii="仿宋_GB2312" w:hAnsi="仿宋_GB2312" w:cs="仿宋_GB2312" w:eastAsia="仿宋_GB2312"/>
                <w:b/>
              </w:rPr>
              <w:t xml:space="preserve">     一、采购内容</w:t>
            </w:r>
          </w:p>
          <w:p>
            <w:pPr>
              <w:pStyle w:val="null3"/>
              <w:ind w:right="630"/>
            </w:pPr>
            <w:r>
              <w:rPr>
                <w:rFonts w:ascii="仿宋_GB2312" w:hAnsi="仿宋_GB2312" w:cs="仿宋_GB2312" w:eastAsia="仿宋_GB2312"/>
                <w:color w:val="000000"/>
              </w:rPr>
              <w:t xml:space="preserve">     西安市公安局高新技术产业开发区分局</w:t>
            </w:r>
            <w:r>
              <w:rPr>
                <w:rFonts w:ascii="仿宋_GB2312" w:hAnsi="仿宋_GB2312" w:cs="仿宋_GB2312" w:eastAsia="仿宋_GB2312"/>
                <w:color w:val="000000"/>
              </w:rPr>
              <w:t>现需采购一批</w:t>
            </w:r>
            <w:r>
              <w:rPr>
                <w:rFonts w:ascii="仿宋_GB2312" w:hAnsi="仿宋_GB2312" w:cs="仿宋_GB2312" w:eastAsia="仿宋_GB2312"/>
                <w:color w:val="000000"/>
              </w:rPr>
              <w:t>对讲机</w:t>
            </w:r>
            <w:r>
              <w:rPr>
                <w:rFonts w:ascii="仿宋_GB2312" w:hAnsi="仿宋_GB2312" w:cs="仿宋_GB2312" w:eastAsia="仿宋_GB2312"/>
                <w:color w:val="000000"/>
              </w:rPr>
              <w:t>来满足日常使用需求，采购产品必须符合国家相关质量标准。</w:t>
            </w:r>
          </w:p>
          <w:p>
            <w:pPr>
              <w:pStyle w:val="null3"/>
              <w:ind w:right="630" w:firstLine="482"/>
            </w:pPr>
            <w:r>
              <w:rPr>
                <w:rFonts w:ascii="仿宋_GB2312" w:hAnsi="仿宋_GB2312" w:cs="仿宋_GB2312" w:eastAsia="仿宋_GB2312"/>
                <w:b/>
              </w:rPr>
              <w:t>二、技术要求</w:t>
            </w:r>
          </w:p>
          <w:tbl>
            <w:tblPr>
              <w:tblInd w:type="dxa" w:w="120"/>
              <w:tblBorders>
                <w:top w:val="none" w:color="000000" w:sz="4"/>
                <w:left w:val="none" w:color="000000" w:sz="4"/>
                <w:bottom w:val="none" w:color="000000" w:sz="4"/>
                <w:right w:val="none" w:color="000000" w:sz="4"/>
                <w:insideH w:val="none"/>
                <w:insideV w:val="none"/>
              </w:tblBorders>
            </w:tblPr>
            <w:tblGrid>
              <w:gridCol w:w="364"/>
              <w:gridCol w:w="1393"/>
              <w:gridCol w:w="440"/>
              <w:gridCol w:w="355"/>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主要技术参数</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对讲机</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★对讲机须具有中华人民共和国工业和信息化部颁发的《无线电发射设备型号核准证》（并可提供证书扫描件及加盖原厂公章）；</w:t>
                  </w:r>
                </w:p>
                <w:p>
                  <w:pPr>
                    <w:pStyle w:val="null3"/>
                    <w:jc w:val="left"/>
                  </w:pPr>
                  <w:r>
                    <w:rPr>
                      <w:rFonts w:ascii="仿宋_GB2312" w:hAnsi="仿宋_GB2312" w:cs="仿宋_GB2312" w:eastAsia="仿宋_GB2312"/>
                      <w:sz w:val="20"/>
                    </w:rPr>
                    <w:t>★锂离子电池组必须通过中国强制性产品认证（CCC）（并可提供证书扫描件及加盖原厂公章）；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color w:val="000000"/>
                    </w:rPr>
                    <w:t>5G</w:t>
                  </w:r>
                  <w:r>
                    <w:rPr>
                      <w:rFonts w:ascii="仿宋_GB2312" w:hAnsi="仿宋_GB2312" w:cs="仿宋_GB2312" w:eastAsia="仿宋_GB2312"/>
                      <w:sz w:val="20"/>
                      <w:color w:val="000000"/>
                    </w:rPr>
                    <w:t>全网通对讲机可全国无限距离对讲</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2）可同时支持移动、电信两张运营商流量卡，可一键切换网络，可自动切换网络；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3）包含3年流量卡资费，3年内无需缴费；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4）屏幕尺寸不低于1.4寸，分辨率不低于128×128；</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5）电池容量不小于4800mAh；电压3.7V；</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6）包含</w:t>
                  </w:r>
                  <w:r>
                    <w:rPr>
                      <w:rFonts w:ascii="仿宋_GB2312" w:hAnsi="仿宋_GB2312" w:cs="仿宋_GB2312" w:eastAsia="仿宋_GB2312"/>
                      <w:sz w:val="20"/>
                      <w:color w:val="000000"/>
                    </w:rPr>
                    <w:t>独立</w:t>
                  </w:r>
                  <w:r>
                    <w:rPr>
                      <w:rFonts w:ascii="仿宋_GB2312" w:hAnsi="仿宋_GB2312" w:cs="仿宋_GB2312" w:eastAsia="仿宋_GB2312"/>
                      <w:sz w:val="20"/>
                      <w:color w:val="000000"/>
                    </w:rPr>
                    <w:t>北斗定位；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7）工作温度：70℃至-35℃；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8）为了办公轻量化，对讲机重量不大于 196g (包括电池组)；</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9）需支持手电筒功能及红蓝爆闪警示灯；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10）支持200个以上组内成员，本机用户名和所在群组显示、呼叫方用户名显示；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11）待机时间不少于120小时</w:t>
                  </w:r>
                  <w:r>
                    <w:rPr>
                      <w:rFonts w:ascii="仿宋_GB2312" w:hAnsi="仿宋_GB2312" w:cs="仿宋_GB2312" w:eastAsia="仿宋_GB2312"/>
                      <w:sz w:val="20"/>
                      <w:color w:val="000000"/>
                    </w:rPr>
                    <w:t>。</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ind w:right="630" w:firstLine="482"/>
            </w:pPr>
            <w:r>
              <w:rPr>
                <w:rFonts w:ascii="仿宋_GB2312" w:hAnsi="仿宋_GB2312" w:cs="仿宋_GB2312" w:eastAsia="仿宋_GB2312"/>
                <w:b/>
              </w:rPr>
              <w:t>三、商务要求</w:t>
            </w:r>
          </w:p>
          <w:p>
            <w:pPr>
              <w:pStyle w:val="null3"/>
              <w:ind w:right="630" w:firstLine="480"/>
            </w:pPr>
            <w:r>
              <w:rPr>
                <w:rFonts w:ascii="仿宋_GB2312" w:hAnsi="仿宋_GB2312" w:cs="仿宋_GB2312" w:eastAsia="仿宋_GB2312"/>
              </w:rPr>
              <w:t>1.交货期：自合同签订生效之日起30个日历日完成供货及调试。</w:t>
            </w:r>
          </w:p>
          <w:p>
            <w:pPr>
              <w:pStyle w:val="null3"/>
              <w:ind w:right="630" w:firstLine="480"/>
            </w:pPr>
            <w:r>
              <w:rPr>
                <w:rFonts w:ascii="仿宋_GB2312" w:hAnsi="仿宋_GB2312" w:cs="仿宋_GB2312" w:eastAsia="仿宋_GB2312"/>
              </w:rPr>
              <w:t>2.交货地点：</w:t>
            </w:r>
            <w:r>
              <w:rPr>
                <w:rFonts w:ascii="仿宋_GB2312" w:hAnsi="仿宋_GB2312" w:cs="仿宋_GB2312" w:eastAsia="仿宋_GB2312"/>
              </w:rPr>
              <w:t>西安市公安局高新技术产业开发区分局</w:t>
            </w:r>
            <w:r>
              <w:rPr>
                <w:rFonts w:ascii="仿宋_GB2312" w:hAnsi="仿宋_GB2312" w:cs="仿宋_GB2312" w:eastAsia="仿宋_GB2312"/>
              </w:rPr>
              <w:t>。</w:t>
            </w:r>
          </w:p>
          <w:p>
            <w:pPr>
              <w:pStyle w:val="null3"/>
              <w:ind w:right="630" w:firstLine="480"/>
            </w:pPr>
            <w:r>
              <w:rPr>
                <w:rFonts w:ascii="仿宋_GB2312" w:hAnsi="仿宋_GB2312" w:cs="仿宋_GB2312" w:eastAsia="仿宋_GB2312"/>
              </w:rPr>
              <w:t>3.售后服务要求：</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1）货物(产品)的现场安装、调试和启动监督。</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）质保期自采购人在货物质量验收单</w:t>
            </w:r>
            <w:r>
              <w:rPr>
                <w:rFonts w:ascii="仿宋_GB2312" w:hAnsi="仿宋_GB2312" w:cs="仿宋_GB2312" w:eastAsia="仿宋_GB2312"/>
              </w:rPr>
              <w:t>(终验)上签字之日起计算。</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）供应商对其所提供设备负责备品配件的供应，长期提供维修服务，并提供技术咨询等服务。质保期内应无偿负责的维修和替换等工作。超出质保期只收取维修所需原设备、材料成本费用。</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）服务响应时限</w:t>
            </w:r>
            <w:r>
              <w:rPr>
                <w:rFonts w:ascii="仿宋_GB2312" w:hAnsi="仿宋_GB2312" w:cs="仿宋_GB2312" w:eastAsia="仿宋_GB2312"/>
              </w:rPr>
              <w:t>:7*24小时服务，提供售后服务电话(应具有:固定电话、移动电话、传真)。</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）成交供应商在接到采购人通知后维修工作时间不大于</w:t>
            </w:r>
            <w:r>
              <w:rPr>
                <w:rFonts w:ascii="仿宋_GB2312" w:hAnsi="仿宋_GB2312" w:cs="仿宋_GB2312" w:eastAsia="仿宋_GB2312"/>
              </w:rPr>
              <w:t>24 小时，更换工作时间不大于 72 小时。</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）若供应商未按照合同规定的售后服务要求执行，甲方有权自行选择第三方进行维护和修理。</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9）所有货物服务方式均为成交供应商上门服务，即由成交供应商派员到货物使用现场维修，由此产生的一切费用均由成交供应商承担。</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）质保期结束后的货物维修、维护由双方协商再定。</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）质保期</w:t>
            </w:r>
            <w:r>
              <w:rPr>
                <w:rFonts w:ascii="仿宋_GB2312" w:hAnsi="仿宋_GB2312" w:cs="仿宋_GB2312" w:eastAsia="仿宋_GB2312"/>
              </w:rPr>
              <w:t>:</w:t>
            </w:r>
            <w:r>
              <w:rPr>
                <w:rFonts w:ascii="仿宋_GB2312" w:hAnsi="仿宋_GB2312" w:cs="仿宋_GB2312" w:eastAsia="仿宋_GB2312"/>
              </w:rPr>
              <w:t>不少于3年（若成交供应商质保期优于此要求，按其承诺的质保期进行质保）。</w:t>
            </w:r>
          </w:p>
          <w:p>
            <w:pPr>
              <w:pStyle w:val="null3"/>
              <w:ind w:right="630" w:firstLine="480"/>
            </w:pPr>
            <w:r>
              <w:rPr>
                <w:rFonts w:ascii="仿宋_GB2312" w:hAnsi="仿宋_GB2312" w:cs="仿宋_GB2312" w:eastAsia="仿宋_GB2312"/>
              </w:rPr>
              <w:t>4.交货、验收要求:</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1）硬件设备到达采购人指定地点后，组织现场开箱请点验货。所到设备的型号和数量必须与合同一致，采购人和供应商共同签署到货验收单。未签收到货验收单的货物不得擅自开箱安装。</w:t>
            </w:r>
          </w:p>
          <w:p>
            <w:pPr>
              <w:pStyle w:val="null3"/>
              <w:ind w:right="630" w:firstLine="480"/>
            </w:pPr>
            <w:r>
              <w:rPr>
                <w:rFonts w:ascii="仿宋_GB2312" w:hAnsi="仿宋_GB2312" w:cs="仿宋_GB2312" w:eastAsia="仿宋_GB2312"/>
              </w:rPr>
              <w:t>（</w:t>
            </w:r>
            <w:r>
              <w:rPr>
                <w:rFonts w:ascii="仿宋_GB2312" w:hAnsi="仿宋_GB2312" w:cs="仿宋_GB2312" w:eastAsia="仿宋_GB2312"/>
              </w:rPr>
              <w:t>2）供应商保证合同所有设备是全新的(包括零部件)，其规格参数及配件不低于(符合)本项目磋商文件和响应文件的要求。</w:t>
            </w:r>
          </w:p>
          <w:p>
            <w:pPr>
              <w:pStyle w:val="null3"/>
              <w:jc w:val="both"/>
            </w:pPr>
            <w:r>
              <w:rPr>
                <w:rFonts w:ascii="仿宋_GB2312" w:hAnsi="仿宋_GB2312" w:cs="仿宋_GB2312" w:eastAsia="仿宋_GB2312"/>
              </w:rPr>
              <w:t xml:space="preserve">     （3）设备采购从通过最终验收之日起进入保修期，提供原厂保修。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西安市公安局高新技术产业开发区分局。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4、提供相同品牌产品且通过资格审查、符合性审查的不同供应商参加同一合同项下投标活动的，按一家供应商计算，评标后得分最高的同品牌供应商获得成交候选人推荐资格；评标得分相同的，采取随机抽取方式确定，其他同品牌供应商不作为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产品分项报价表.docx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满足“★”项的技术参数并按要求提供相关证明材料。</w:t>
            </w:r>
          </w:p>
        </w:tc>
        <w:tc>
          <w:tcPr>
            <w:tcW w:type="dxa" w:w="1661"/>
          </w:tcPr>
          <w:p>
            <w:pPr>
              <w:pStyle w:val="null3"/>
            </w:pPr>
            <w:r>
              <w:rPr>
                <w:rFonts w:ascii="仿宋_GB2312" w:hAnsi="仿宋_GB2312" w:cs="仿宋_GB2312" w:eastAsia="仿宋_GB2312"/>
              </w:rPr>
              <w:t>产品技术条款响应偏离表.docx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投标产品政策符合性</w:t>
            </w:r>
          </w:p>
        </w:tc>
        <w:tc>
          <w:tcPr>
            <w:tcW w:type="dxa" w:w="3322"/>
          </w:tcPr>
          <w:p>
            <w:pPr>
              <w:pStyle w:val="null3"/>
            </w:pPr>
            <w:r>
              <w:rPr>
                <w:rFonts w:ascii="仿宋_GB2312" w:hAnsi="仿宋_GB2312" w:cs="仿宋_GB2312" w:eastAsia="仿宋_GB2312"/>
              </w:rPr>
              <w:t>磋商文件虽未明示，但国家政策有明确要求的，如未载明允许进口产品参与投标的，投标产品须为国产产品等。</w:t>
            </w:r>
          </w:p>
        </w:tc>
        <w:tc>
          <w:tcPr>
            <w:tcW w:type="dxa" w:w="1661"/>
          </w:tcPr>
          <w:p>
            <w:pPr>
              <w:pStyle w:val="null3"/>
            </w:pPr>
            <w:r>
              <w:rPr>
                <w:rFonts w:ascii="仿宋_GB2312" w:hAnsi="仿宋_GB2312" w:cs="仿宋_GB2312" w:eastAsia="仿宋_GB2312"/>
              </w:rPr>
              <w:t>产品分项报价表.docx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供应商应对采购参数中的技术参数、功能指标进行逐项应答，技术参数完全满足或优于磋商文件要求并提供相关证明材料的，得满分22分；技术参数低于磋商文件要求即为负偏离，每项负偏离扣2分，扣完为止。 所投产品技术参数完全复制粘贴磋商文件中的技术要求未明确响应的，得5分。 评审依据为相应的功能证明材料（包括但不限于检测报告、技术白皮书等）及技术参数偏离表。</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产品供应渠道正常，无假货、水货，检验手续合法有效、无产权纠纷。提供相关证明材料得3分，未提供不得分。 注：生产厂家提供产品制造能力证明材料，代理商提供产品来源渠道证明材料（包括但不限于厂家授权或代理协议或经销合同等），未提供证明材料的不得分。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括但不限于①产品供货组织措施；②供货进度计划、供货时间保障；③运输方案；④针对采购任务有具体的安装、组装、验收等组织措施；⑤应急管理措施等。以上内容专门针对本项目且阐述明晰、全面、合理得20分，每缺一项内容扣4分，评审内容有缺陷的根据情况扣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包括但不限于①企业对产品质量的许诺；②产品无不良市场反馈情况及产品质保情况等。以上内容专门针对本项目且阐述明晰、全面、合理得8分，每缺一项内容扣4分，评审内容有缺陷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括但不限于①提供拟投入售后服务人员的配备情况；②提供产品的保修时间、保修期内的保修内容与范围；③提供项目交付后采购人出现故障的响应时间、解决故障时间、补救措施等。以上内容专门针对本项目且阐述明晰、全面、合理得12分，每缺一项内容扣4分，评审内容有缺陷的根据情况扣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供应商具有2022年1月1日至今（以合同签订时间为准）同类项目业绩，响应文件中提供合同扫描件并加盖公章，每提供一个得1分，最高得5分。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采用低价优先法计算，即满足磋商文件内容及技术要求且最后报价最低的投标价为评标基准价，其价格分为满分。 磋商报价得分=（评标基准价／最后报价）×价格权值×100。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详见附件：产品技术条款响应偏离表.docx</w:t>
      </w:r>
    </w:p>
    <w:p>
      <w:pPr>
        <w:pStyle w:val="null3"/>
        <w:ind w:firstLine="960"/>
      </w:pPr>
      <w:r>
        <w:rPr>
          <w:rFonts w:ascii="仿宋_GB2312" w:hAnsi="仿宋_GB2312" w:cs="仿宋_GB2312" w:eastAsia="仿宋_GB2312"/>
        </w:rPr>
        <w:t>详见附件：方案响应说明.docx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