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版本号：LZBD2025-772（XDZ2025-171-J-62）20251114001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科技路与西三环西南角储备用地配合文勘工程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LZBD2025-772（XDZ2025-171-J-62）</w:t>
      </w:r>
      <w:r>
        <w:br/>
      </w:r>
      <w:r>
        <w:br/>
      </w:r>
      <w:r>
        <w:br/>
      </w:r>
    </w:p>
    <w:p>
      <w:pPr>
        <w:pStyle w:val="null3"/>
        <w:jc w:val="center"/>
        <w:outlineLvl w:val="2"/>
      </w:pPr>
      <w:r>
        <w:rPr>
          <w:rFonts w:ascii="仿宋_GB2312" w:hAnsi="仿宋_GB2312" w:cs="仿宋_GB2312" w:eastAsia="仿宋_GB2312"/>
          <w:sz w:val="28"/>
          <w:b/>
        </w:rPr>
        <w:t>西安市雁塔区鱼化街道办事处</w:t>
      </w:r>
    </w:p>
    <w:p>
      <w:pPr>
        <w:pStyle w:val="null3"/>
        <w:jc w:val="center"/>
        <w:outlineLvl w:val="2"/>
      </w:pPr>
      <w:r>
        <w:rPr>
          <w:rFonts w:ascii="仿宋_GB2312" w:hAnsi="仿宋_GB2312" w:cs="仿宋_GB2312" w:eastAsia="仿宋_GB2312"/>
          <w:sz w:val="28"/>
          <w:b/>
        </w:rPr>
        <w:t>龙寰项目管理咨询有限公司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龙寰项目管理咨询有限公司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西安市雁塔区鱼化街道办事处</w:t>
      </w:r>
      <w:r>
        <w:rPr>
          <w:rFonts w:ascii="仿宋_GB2312" w:hAnsi="仿宋_GB2312" w:cs="仿宋_GB2312" w:eastAsia="仿宋_GB2312"/>
        </w:rPr>
        <w:t>委托，拟对</w:t>
      </w:r>
      <w:r>
        <w:rPr>
          <w:rFonts w:ascii="仿宋_GB2312" w:hAnsi="仿宋_GB2312" w:cs="仿宋_GB2312" w:eastAsia="仿宋_GB2312"/>
        </w:rPr>
        <w:t>科技路与西三环西南角储备用地配合文勘工程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LZBD2025-772（XDZ2025-171-J-62）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科技路与西三环西南角储备用地配合文勘工程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拟定采用挖掘机配合推土机、渣土车对场内影响文勘作业的渣土(垃圾)进行开挖清理， 使场地达到文勘要求，完成文勘工程后，在进行原土方回填;包含不限于绿网覆盖、治污减霾等措施要求。</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采购包1（科技路与西三环西南角储备用地配合文勘工程）：属于专门面向中小企业采购。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1、资质证书：供应商须具备建筑工程施工总承包叁级及以上资质，具有合格有效的安全生产许可证。注：供应商需在项目电子化交易系统中按要求上传相应证明文件并进行电子签章。</w:t>
      </w:r>
    </w:p>
    <w:p>
      <w:pPr>
        <w:pStyle w:val="null3"/>
      </w:pPr>
      <w:r>
        <w:rPr>
          <w:rFonts w:ascii="仿宋_GB2312" w:hAnsi="仿宋_GB2312" w:cs="仿宋_GB2312" w:eastAsia="仿宋_GB2312"/>
        </w:rPr>
        <w:t>2、供应商应是独立承担民事责任能力的法人、其他组织或自然人。：法人、其他组织须提供合法有效的营业执照（或事业单位法人证书）等证明资料，自然人须提供身份证明。注：供应商需在项目电子化交易系统中按要求上传相应证明文件并进行电子签章。</w:t>
      </w:r>
    </w:p>
    <w:p>
      <w:pPr>
        <w:pStyle w:val="null3"/>
      </w:pPr>
      <w:r>
        <w:rPr>
          <w:rFonts w:ascii="仿宋_GB2312" w:hAnsi="仿宋_GB2312" w:cs="仿宋_GB2312" w:eastAsia="仿宋_GB2312"/>
        </w:rPr>
        <w:t>3、项目经理：拟派本工程项目经理具有建筑工程专业贰级及以上注册建造师资格，具有有效的安全生产考核合格证（B证），在本单位注册无在建工程。注：供应商需在项目电子化交易系统中按要求上传相应证明文件并进行电子签章。</w:t>
      </w:r>
    </w:p>
    <w:p>
      <w:pPr>
        <w:pStyle w:val="null3"/>
      </w:pPr>
      <w:r>
        <w:rPr>
          <w:rFonts w:ascii="仿宋_GB2312" w:hAnsi="仿宋_GB2312" w:cs="仿宋_GB2312" w:eastAsia="仿宋_GB2312"/>
        </w:rPr>
        <w:t>4、企业信用：供应商不得为“中国执行信息公开网”网站中列入失信被执行人和“信用中国”网站中列入重大税 收违法失信主体的供应商，不得为“中国政府采购网”政府采购严重违法失信行为记录名单中被财政部门禁止参加政府采购活动的供应商。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西安市雁塔区鱼化街道办事处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西安市天谷六路软件公寓</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付工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029-88511174</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龙寰项目管理咨询有限公司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陕西省西安市高新区太白南路181号A座A区501</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 xml:space="preserve"> 葛元庆、徐小宁</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029-88228899-648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西安市高新技术开发区政府采购管理股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丁丽</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采购包1：1,995,050.00元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代理服务费收费标准：参考国家计委印发的《招标代理服务收费管理暂行办法的通知》（计价格[2002]1980号）计费标准收取。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西安市雁塔区鱼化街道办事处</w:t>
      </w:r>
      <w:r>
        <w:rPr>
          <w:rFonts w:ascii="仿宋_GB2312" w:hAnsi="仿宋_GB2312" w:cs="仿宋_GB2312" w:eastAsia="仿宋_GB2312"/>
        </w:rPr>
        <w:t>和</w:t>
      </w:r>
      <w:r>
        <w:rPr>
          <w:rFonts w:ascii="仿宋_GB2312" w:hAnsi="仿宋_GB2312" w:cs="仿宋_GB2312" w:eastAsia="仿宋_GB2312"/>
        </w:rPr>
        <w:t>龙寰项目管理咨询有限公司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西安市雁塔区鱼化街道办事处</w:t>
      </w:r>
      <w:r>
        <w:rPr>
          <w:rFonts w:ascii="仿宋_GB2312" w:hAnsi="仿宋_GB2312" w:cs="仿宋_GB2312" w:eastAsia="仿宋_GB2312"/>
        </w:rPr>
        <w:t>负责解释。除上述磋商文件内容，其他内容由</w:t>
      </w:r>
      <w:r>
        <w:rPr>
          <w:rFonts w:ascii="仿宋_GB2312" w:hAnsi="仿宋_GB2312" w:cs="仿宋_GB2312" w:eastAsia="仿宋_GB2312"/>
        </w:rPr>
        <w:t>龙寰项目管理咨询有限公司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西安市雁塔区鱼化街道办事处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龙寰项目管理咨询有限公司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详见磋商文件及合同条款。</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联系人：徐小宁、葛元庆</w:t>
      </w:r>
    </w:p>
    <w:p>
      <w:pPr>
        <w:pStyle w:val="null3"/>
      </w:pPr>
      <w:r>
        <w:rPr>
          <w:rFonts w:ascii="仿宋_GB2312" w:hAnsi="仿宋_GB2312" w:cs="仿宋_GB2312" w:eastAsia="仿宋_GB2312"/>
        </w:rPr>
        <w:t>联系电话：029-88228899-648</w:t>
      </w:r>
    </w:p>
    <w:p>
      <w:pPr>
        <w:pStyle w:val="null3"/>
      </w:pPr>
      <w:r>
        <w:rPr>
          <w:rFonts w:ascii="仿宋_GB2312" w:hAnsi="仿宋_GB2312" w:cs="仿宋_GB2312" w:eastAsia="仿宋_GB2312"/>
        </w:rPr>
        <w:t>地址：西安市太白南路181号西部电子社区A座A区501室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1,995,050.00</w:t>
      </w:r>
    </w:p>
    <w:p>
      <w:pPr>
        <w:pStyle w:val="null3"/>
      </w:pPr>
      <w:r>
        <w:rPr>
          <w:rFonts w:ascii="仿宋_GB2312" w:hAnsi="仿宋_GB2312" w:cs="仿宋_GB2312" w:eastAsia="仿宋_GB2312"/>
        </w:rPr>
        <w:t>采购包最高限价（元）: 1,995,050.00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科技路与西三环西南角储备用地配合文勘工程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1,995,050.00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标的名称：科技路与西三环西南角储备用地配合文勘工程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580"/>
              <w:jc w:val="both"/>
            </w:pPr>
            <w:r>
              <w:rPr>
                <w:rFonts w:ascii="仿宋_GB2312" w:hAnsi="仿宋_GB2312" w:cs="仿宋_GB2312" w:eastAsia="仿宋_GB2312"/>
                <w:sz w:val="21"/>
                <w:color w:val="0A0A0A"/>
              </w:rPr>
              <w:t>为了加强</w:t>
            </w:r>
            <w:r>
              <w:rPr>
                <w:rFonts w:ascii="仿宋_GB2312" w:hAnsi="仿宋_GB2312" w:cs="仿宋_GB2312" w:eastAsia="仿宋_GB2312"/>
                <w:sz w:val="21"/>
                <w:color w:val="0A0A0A"/>
              </w:rPr>
              <w:t>西安雁塔区</w:t>
            </w:r>
            <w:r>
              <w:rPr>
                <w:rFonts w:ascii="仿宋_GB2312" w:hAnsi="仿宋_GB2312" w:cs="仿宋_GB2312" w:eastAsia="仿宋_GB2312"/>
                <w:sz w:val="21"/>
                <w:color w:val="0A0A0A"/>
              </w:rPr>
              <w:t>鱼化寨街道办事处科技路与西三环西南角储备用地配合文勘工程施工的管理，使本项目施工能够安全有序、文明环保、顺利地按要求高质量的完成，特制定本要求：</w:t>
            </w:r>
          </w:p>
          <w:p>
            <w:pPr>
              <w:pStyle w:val="null3"/>
              <w:ind w:firstLine="580"/>
              <w:jc w:val="both"/>
            </w:pPr>
            <w:r>
              <w:rPr>
                <w:rFonts w:ascii="仿宋_GB2312" w:hAnsi="仿宋_GB2312" w:cs="仿宋_GB2312" w:eastAsia="仿宋_GB2312"/>
                <w:sz w:val="21"/>
                <w:color w:val="0A0A0A"/>
              </w:rPr>
              <w:t>一、工程概况：</w:t>
            </w:r>
          </w:p>
          <w:p>
            <w:pPr>
              <w:pStyle w:val="null3"/>
              <w:ind w:firstLine="580"/>
              <w:jc w:val="both"/>
            </w:pPr>
            <w:r>
              <w:rPr>
                <w:rFonts w:ascii="仿宋_GB2312" w:hAnsi="仿宋_GB2312" w:cs="仿宋_GB2312" w:eastAsia="仿宋_GB2312"/>
                <w:sz w:val="21"/>
                <w:color w:val="0A0A0A"/>
              </w:rPr>
              <w:t>工程名称：</w:t>
            </w:r>
            <w:r>
              <w:rPr>
                <w:rFonts w:ascii="仿宋_GB2312" w:hAnsi="仿宋_GB2312" w:cs="仿宋_GB2312" w:eastAsia="仿宋_GB2312"/>
                <w:sz w:val="21"/>
                <w:color w:val="0A0A0A"/>
              </w:rPr>
              <w:t>科技路与西三环西南角储备用地配合文勘工程；</w:t>
            </w:r>
          </w:p>
          <w:p>
            <w:pPr>
              <w:pStyle w:val="null3"/>
              <w:ind w:firstLine="580"/>
              <w:jc w:val="both"/>
            </w:pPr>
            <w:r>
              <w:rPr>
                <w:rFonts w:ascii="仿宋_GB2312" w:hAnsi="仿宋_GB2312" w:cs="仿宋_GB2312" w:eastAsia="仿宋_GB2312"/>
                <w:sz w:val="21"/>
                <w:color w:val="0A0A0A"/>
              </w:rPr>
              <w:t>工程地点：</w:t>
            </w:r>
            <w:r>
              <w:rPr>
                <w:rFonts w:ascii="仿宋_GB2312" w:hAnsi="仿宋_GB2312" w:cs="仿宋_GB2312" w:eastAsia="仿宋_GB2312"/>
                <w:sz w:val="21"/>
                <w:color w:val="0A0A0A"/>
              </w:rPr>
              <w:t>科技路与西三环西</w:t>
            </w:r>
            <w:r>
              <w:rPr>
                <w:rFonts w:ascii="仿宋_GB2312" w:hAnsi="仿宋_GB2312" w:cs="仿宋_GB2312" w:eastAsia="仿宋_GB2312"/>
                <w:sz w:val="21"/>
                <w:color w:val="0A0A0A"/>
              </w:rPr>
              <w:t>南角：</w:t>
            </w:r>
          </w:p>
          <w:p>
            <w:pPr>
              <w:pStyle w:val="null3"/>
              <w:ind w:firstLine="580"/>
              <w:jc w:val="both"/>
            </w:pPr>
            <w:r>
              <w:rPr>
                <w:rFonts w:ascii="仿宋_GB2312" w:hAnsi="仿宋_GB2312" w:cs="仿宋_GB2312" w:eastAsia="仿宋_GB2312"/>
                <w:sz w:val="21"/>
                <w:color w:val="0A0A0A"/>
              </w:rPr>
              <w:t>工程范围及内容：</w:t>
            </w:r>
            <w:r>
              <w:rPr>
                <w:rFonts w:ascii="仿宋_GB2312" w:hAnsi="仿宋_GB2312" w:cs="仿宋_GB2312" w:eastAsia="仿宋_GB2312"/>
                <w:sz w:val="21"/>
                <w:color w:val="0A0A0A"/>
              </w:rPr>
              <w:t>西安雁塔区</w:t>
            </w:r>
            <w:r>
              <w:rPr>
                <w:rFonts w:ascii="仿宋_GB2312" w:hAnsi="仿宋_GB2312" w:cs="仿宋_GB2312" w:eastAsia="仿宋_GB2312"/>
                <w:sz w:val="21"/>
                <w:color w:val="0A0A0A"/>
              </w:rPr>
              <w:t>鱼化寨街道办事处科技路与西三环</w:t>
            </w:r>
            <w:r>
              <w:rPr>
                <w:rFonts w:ascii="仿宋_GB2312" w:hAnsi="仿宋_GB2312" w:cs="仿宋_GB2312" w:eastAsia="仿宋_GB2312"/>
                <w:sz w:val="21"/>
                <w:color w:val="0A0A0A"/>
              </w:rPr>
              <w:t>西南角储备用地配合文勘工程（位于科技西路以南，</w:t>
            </w:r>
            <w:r>
              <w:rPr>
                <w:rFonts w:ascii="仿宋_GB2312" w:hAnsi="仿宋_GB2312" w:cs="仿宋_GB2312" w:eastAsia="仿宋_GB2312"/>
                <w:sz w:val="21"/>
                <w:color w:val="0A0A0A"/>
              </w:rPr>
              <w:t>西三环以西，招商臻观府以北，云水一路以东）范围</w:t>
            </w:r>
            <w:r>
              <w:rPr>
                <w:rFonts w:ascii="仿宋_GB2312" w:hAnsi="仿宋_GB2312" w:cs="仿宋_GB2312" w:eastAsia="仿宋_GB2312"/>
                <w:sz w:val="21"/>
                <w:color w:val="0A0A0A"/>
              </w:rPr>
              <w:t>内垃圾内倒；</w:t>
            </w:r>
          </w:p>
          <w:p>
            <w:pPr>
              <w:pStyle w:val="null3"/>
              <w:ind w:firstLine="580"/>
              <w:jc w:val="both"/>
            </w:pPr>
            <w:r>
              <w:rPr>
                <w:rFonts w:ascii="仿宋_GB2312" w:hAnsi="仿宋_GB2312" w:cs="仿宋_GB2312" w:eastAsia="仿宋_GB2312"/>
                <w:sz w:val="21"/>
                <w:color w:val="0A0A0A"/>
              </w:rPr>
              <w:t>工程规模：</w:t>
            </w:r>
          </w:p>
          <w:p>
            <w:pPr>
              <w:pStyle w:val="null3"/>
              <w:ind w:firstLine="580"/>
              <w:jc w:val="both"/>
            </w:pPr>
            <w:r>
              <w:rPr>
                <w:rFonts w:ascii="仿宋_GB2312" w:hAnsi="仿宋_GB2312" w:cs="仿宋_GB2312" w:eastAsia="仿宋_GB2312"/>
                <w:sz w:val="21"/>
                <w:color w:val="0A0A0A"/>
              </w:rPr>
              <w:t>垃圾内倒回填方量：</w:t>
            </w:r>
            <w:r>
              <w:rPr>
                <w:rFonts w:ascii="仿宋_GB2312" w:hAnsi="仿宋_GB2312" w:cs="仿宋_GB2312" w:eastAsia="仿宋_GB2312"/>
                <w:sz w:val="21"/>
                <w:color w:val="0A0A0A"/>
              </w:rPr>
              <w:t>69919.5立方米</w:t>
            </w:r>
          </w:p>
          <w:p>
            <w:pPr>
              <w:pStyle w:val="null3"/>
              <w:ind w:firstLine="580"/>
              <w:jc w:val="both"/>
            </w:pPr>
            <w:r>
              <w:rPr>
                <w:rFonts w:ascii="仿宋_GB2312" w:hAnsi="仿宋_GB2312" w:cs="仿宋_GB2312" w:eastAsia="仿宋_GB2312"/>
                <w:sz w:val="21"/>
                <w:color w:val="0A0A0A"/>
              </w:rPr>
              <w:t>内倒运距：</w:t>
            </w:r>
            <w:r>
              <w:rPr>
                <w:rFonts w:ascii="仿宋_GB2312" w:hAnsi="仿宋_GB2312" w:cs="仿宋_GB2312" w:eastAsia="仿宋_GB2312"/>
                <w:sz w:val="21"/>
                <w:color w:val="0A0A0A"/>
              </w:rPr>
              <w:t>2公里内</w:t>
            </w:r>
          </w:p>
          <w:p>
            <w:pPr>
              <w:pStyle w:val="null3"/>
              <w:ind w:firstLine="580"/>
              <w:jc w:val="both"/>
            </w:pPr>
            <w:r>
              <w:rPr>
                <w:rFonts w:ascii="仿宋_GB2312" w:hAnsi="仿宋_GB2312" w:cs="仿宋_GB2312" w:eastAsia="仿宋_GB2312"/>
                <w:sz w:val="21"/>
                <w:color w:val="0A0A0A"/>
              </w:rPr>
              <w:t>二、技术要求</w:t>
            </w:r>
          </w:p>
          <w:p>
            <w:pPr>
              <w:pStyle w:val="null3"/>
              <w:ind w:firstLine="580"/>
              <w:jc w:val="both"/>
            </w:pPr>
            <w:r>
              <w:rPr>
                <w:rFonts w:ascii="仿宋_GB2312" w:hAnsi="仿宋_GB2312" w:cs="仿宋_GB2312" w:eastAsia="仿宋_GB2312"/>
                <w:sz w:val="21"/>
                <w:color w:val="0A0A0A"/>
              </w:rPr>
              <w:t>（一）施工准备要求</w:t>
            </w:r>
          </w:p>
          <w:p>
            <w:pPr>
              <w:pStyle w:val="null3"/>
              <w:ind w:firstLine="580"/>
              <w:jc w:val="both"/>
            </w:pPr>
            <w:r>
              <w:rPr>
                <w:rFonts w:ascii="仿宋_GB2312" w:hAnsi="仿宋_GB2312" w:cs="仿宋_GB2312" w:eastAsia="仿宋_GB2312"/>
                <w:sz w:val="21"/>
                <w:color w:val="0A0A0A"/>
              </w:rPr>
              <w:t>1、施工机械设备施工前必须进行安全检查，符合《施工现场机械设备检查技术规程》的有关规定。</w:t>
            </w:r>
          </w:p>
          <w:p>
            <w:pPr>
              <w:pStyle w:val="null3"/>
              <w:ind w:firstLine="580"/>
              <w:jc w:val="both"/>
            </w:pPr>
            <w:r>
              <w:rPr>
                <w:rFonts w:ascii="仿宋_GB2312" w:hAnsi="仿宋_GB2312" w:cs="仿宋_GB2312" w:eastAsia="仿宋_GB2312"/>
                <w:sz w:val="21"/>
                <w:color w:val="0A0A0A"/>
              </w:rPr>
              <w:t>2、</w:t>
            </w:r>
            <w:r>
              <w:rPr>
                <w:rFonts w:ascii="仿宋_GB2312" w:hAnsi="仿宋_GB2312" w:cs="仿宋_GB2312" w:eastAsia="仿宋_GB2312"/>
                <w:sz w:val="21"/>
                <w:color w:val="0A0A0A"/>
              </w:rPr>
              <w:t>施工机械操作手和运输车辆司机应持证上岗，并严格遵守相关</w:t>
            </w:r>
            <w:r>
              <w:rPr>
                <w:rFonts w:ascii="仿宋_GB2312" w:hAnsi="仿宋_GB2312" w:cs="仿宋_GB2312" w:eastAsia="仿宋_GB2312"/>
                <w:sz w:val="21"/>
                <w:color w:val="0A0A0A"/>
              </w:rPr>
              <w:t>安全操作规程。</w:t>
            </w:r>
          </w:p>
          <w:p>
            <w:pPr>
              <w:pStyle w:val="null3"/>
              <w:ind w:firstLine="580"/>
              <w:jc w:val="both"/>
            </w:pPr>
            <w:r>
              <w:rPr>
                <w:rFonts w:ascii="仿宋_GB2312" w:hAnsi="仿宋_GB2312" w:cs="仿宋_GB2312" w:eastAsia="仿宋_GB2312"/>
                <w:sz w:val="21"/>
                <w:color w:val="0A0A0A"/>
              </w:rPr>
              <w:t>3、施工前安全员、管理人员必须要对施工人员进行安全教育培训。</w:t>
            </w:r>
          </w:p>
          <w:p>
            <w:pPr>
              <w:pStyle w:val="null3"/>
              <w:ind w:firstLine="580"/>
              <w:jc w:val="both"/>
            </w:pPr>
            <w:r>
              <w:rPr>
                <w:rFonts w:ascii="仿宋_GB2312" w:hAnsi="仿宋_GB2312" w:cs="仿宋_GB2312" w:eastAsia="仿宋_GB2312"/>
                <w:sz w:val="21"/>
                <w:color w:val="0A0A0A"/>
              </w:rPr>
              <w:t>4、施工前按设计图纸进行用地放样，确定施工界线</w:t>
            </w:r>
          </w:p>
          <w:p>
            <w:pPr>
              <w:pStyle w:val="null3"/>
              <w:ind w:firstLine="580"/>
              <w:jc w:val="both"/>
            </w:pPr>
            <w:r>
              <w:rPr>
                <w:rFonts w:ascii="仿宋_GB2312" w:hAnsi="仿宋_GB2312" w:cs="仿宋_GB2312" w:eastAsia="仿宋_GB2312"/>
                <w:sz w:val="21"/>
                <w:color w:val="0A0A0A"/>
              </w:rPr>
              <w:t>5、道路用地范围内的既有房屋、道路、河沟、通讯、电力设施、</w:t>
            </w:r>
          </w:p>
          <w:p>
            <w:pPr>
              <w:pStyle w:val="null3"/>
              <w:jc w:val="both"/>
            </w:pPr>
            <w:r>
              <w:rPr>
                <w:rFonts w:ascii="仿宋_GB2312" w:hAnsi="仿宋_GB2312" w:cs="仿宋_GB2312" w:eastAsia="仿宋_GB2312"/>
                <w:sz w:val="21"/>
                <w:color w:val="0A0A0A"/>
              </w:rPr>
              <w:t>上下水道、坟墓及其它地上和地下建筑物，均应协助有关部门事先拆迁</w:t>
            </w:r>
            <w:r>
              <w:rPr>
                <w:rFonts w:ascii="仿宋_GB2312" w:hAnsi="仿宋_GB2312" w:cs="仿宋_GB2312" w:eastAsia="仿宋_GB2312"/>
                <w:sz w:val="21"/>
                <w:color w:val="0A0A0A"/>
              </w:rPr>
              <w:t>;对施工前发现有文物古迹应妥善保护，及时通知文物管理部门进行保护或拆迁（迁移）。</w:t>
            </w:r>
          </w:p>
          <w:p>
            <w:pPr>
              <w:pStyle w:val="null3"/>
              <w:ind w:firstLine="580"/>
              <w:jc w:val="both"/>
            </w:pPr>
            <w:r>
              <w:rPr>
                <w:rFonts w:ascii="仿宋_GB2312" w:hAnsi="仿宋_GB2312" w:cs="仿宋_GB2312" w:eastAsia="仿宋_GB2312"/>
                <w:sz w:val="21"/>
                <w:color w:val="0A0A0A"/>
              </w:rPr>
              <w:t>（二）安全施工技术要求</w:t>
            </w:r>
          </w:p>
          <w:p>
            <w:pPr>
              <w:pStyle w:val="null3"/>
              <w:ind w:firstLine="580"/>
              <w:jc w:val="both"/>
            </w:pPr>
            <w:r>
              <w:rPr>
                <w:rFonts w:ascii="仿宋_GB2312" w:hAnsi="仿宋_GB2312" w:cs="仿宋_GB2312" w:eastAsia="仿宋_GB2312"/>
                <w:sz w:val="21"/>
                <w:color w:val="0A0A0A"/>
              </w:rPr>
              <w:t>1、施工前所有参建人员必须参加项目部组织的安全技术交底，</w:t>
            </w:r>
            <w:r>
              <w:rPr>
                <w:rFonts w:ascii="仿宋_GB2312" w:hAnsi="仿宋_GB2312" w:cs="仿宋_GB2312" w:eastAsia="仿宋_GB2312"/>
                <w:sz w:val="21"/>
                <w:color w:val="0A0A0A"/>
              </w:rPr>
              <w:t>施工现场必须安全帽，施工人员和机械设备操作工必须听从现场负责人及安全员指挥。</w:t>
            </w:r>
          </w:p>
          <w:p>
            <w:pPr>
              <w:pStyle w:val="null3"/>
              <w:ind w:firstLine="580"/>
              <w:jc w:val="both"/>
            </w:pPr>
            <w:r>
              <w:rPr>
                <w:rFonts w:ascii="仿宋_GB2312" w:hAnsi="仿宋_GB2312" w:cs="仿宋_GB2312" w:eastAsia="仿宋_GB2312"/>
                <w:sz w:val="21"/>
                <w:color w:val="0A0A0A"/>
              </w:rPr>
              <w:t>2、施工现场设安全员，施工作业区设安全标志，防止无关人员</w:t>
            </w:r>
            <w:r>
              <w:rPr>
                <w:rFonts w:ascii="仿宋_GB2312" w:hAnsi="仿宋_GB2312" w:cs="仿宋_GB2312" w:eastAsia="仿宋_GB2312"/>
                <w:sz w:val="21"/>
                <w:color w:val="0A0A0A"/>
              </w:rPr>
              <w:t>进入施工现场。</w:t>
            </w:r>
          </w:p>
          <w:p>
            <w:pPr>
              <w:pStyle w:val="null3"/>
              <w:ind w:firstLine="580"/>
              <w:jc w:val="both"/>
            </w:pPr>
            <w:r>
              <w:rPr>
                <w:rFonts w:ascii="仿宋_GB2312" w:hAnsi="仿宋_GB2312" w:cs="仿宋_GB2312" w:eastAsia="仿宋_GB2312"/>
                <w:sz w:val="21"/>
                <w:color w:val="0A0A0A"/>
              </w:rPr>
              <w:t>3、工程施工时，现场专职安全员或技术主管要做好现场监督，</w:t>
            </w:r>
            <w:r>
              <w:rPr>
                <w:rFonts w:ascii="仿宋_GB2312" w:hAnsi="仿宋_GB2312" w:cs="仿宋_GB2312" w:eastAsia="仿宋_GB2312"/>
                <w:sz w:val="21"/>
                <w:color w:val="0A0A0A"/>
              </w:rPr>
              <w:t>坚持管生产必须管安全的</w:t>
            </w:r>
            <w:r>
              <w:rPr>
                <w:rFonts w:ascii="仿宋_GB2312" w:hAnsi="仿宋_GB2312" w:cs="仿宋_GB2312" w:eastAsia="仿宋_GB2312"/>
                <w:sz w:val="21"/>
                <w:color w:val="0A0A0A"/>
              </w:rPr>
              <w:t>“一岗双责”责任制。</w:t>
            </w:r>
          </w:p>
          <w:p>
            <w:pPr>
              <w:pStyle w:val="null3"/>
              <w:ind w:firstLine="580"/>
              <w:jc w:val="both"/>
            </w:pPr>
            <w:r>
              <w:rPr>
                <w:rFonts w:ascii="仿宋_GB2312" w:hAnsi="仿宋_GB2312" w:cs="仿宋_GB2312" w:eastAsia="仿宋_GB2312"/>
                <w:sz w:val="21"/>
                <w:color w:val="0A0A0A"/>
              </w:rPr>
              <w:t>4、施工机械车辆必须有专人指挥，以防伤人伤物，以致引起伤亡和损失。</w:t>
            </w:r>
          </w:p>
          <w:p>
            <w:pPr>
              <w:pStyle w:val="null3"/>
              <w:ind w:firstLine="580"/>
              <w:jc w:val="both"/>
            </w:pPr>
            <w:r>
              <w:rPr>
                <w:rFonts w:ascii="仿宋_GB2312" w:hAnsi="仿宋_GB2312" w:cs="仿宋_GB2312" w:eastAsia="仿宋_GB2312"/>
                <w:sz w:val="21"/>
                <w:color w:val="0A0A0A"/>
              </w:rPr>
              <w:t>5、项目必须确保安全生产。</w:t>
            </w:r>
          </w:p>
          <w:p>
            <w:pPr>
              <w:pStyle w:val="null3"/>
              <w:ind w:firstLine="580"/>
              <w:jc w:val="both"/>
            </w:pPr>
            <w:r>
              <w:rPr>
                <w:rFonts w:ascii="仿宋_GB2312" w:hAnsi="仿宋_GB2312" w:cs="仿宋_GB2312" w:eastAsia="仿宋_GB2312"/>
                <w:sz w:val="21"/>
                <w:color w:val="0A0A0A"/>
              </w:rPr>
              <w:t>（三）垃圾内倒回填技术要求</w:t>
            </w:r>
          </w:p>
          <w:p>
            <w:pPr>
              <w:pStyle w:val="null3"/>
              <w:ind w:firstLine="580"/>
              <w:jc w:val="both"/>
            </w:pPr>
            <w:r>
              <w:rPr>
                <w:rFonts w:ascii="仿宋_GB2312" w:hAnsi="仿宋_GB2312" w:cs="仿宋_GB2312" w:eastAsia="仿宋_GB2312"/>
                <w:sz w:val="21"/>
                <w:color w:val="0A0A0A"/>
              </w:rPr>
              <w:t>1、施工技术要求根据施工图纸由测量员准确测量施工红线位置，</w:t>
            </w:r>
            <w:r>
              <w:rPr>
                <w:rFonts w:ascii="仿宋_GB2312" w:hAnsi="仿宋_GB2312" w:cs="仿宋_GB2312" w:eastAsia="仿宋_GB2312"/>
                <w:sz w:val="21"/>
                <w:color w:val="0A0A0A"/>
              </w:rPr>
              <w:t>并用白灰明显标记清楚。用装载机或挖掘机对原地面垃圾等进行清理。</w:t>
            </w:r>
          </w:p>
          <w:p>
            <w:pPr>
              <w:pStyle w:val="null3"/>
              <w:ind w:firstLine="580"/>
              <w:jc w:val="both"/>
            </w:pPr>
            <w:r>
              <w:rPr>
                <w:rFonts w:ascii="仿宋_GB2312" w:hAnsi="仿宋_GB2312" w:cs="仿宋_GB2312" w:eastAsia="仿宋_GB2312"/>
                <w:sz w:val="21"/>
                <w:color w:val="0A0A0A"/>
              </w:rPr>
              <w:t>2、用挖掘机、装载机、及自卸车配合，并下挖150CM，待文勘完</w:t>
            </w:r>
            <w:r>
              <w:rPr>
                <w:rFonts w:ascii="仿宋_GB2312" w:hAnsi="仿宋_GB2312" w:cs="仿宋_GB2312" w:eastAsia="仿宋_GB2312"/>
                <w:sz w:val="21"/>
                <w:color w:val="0A0A0A"/>
              </w:rPr>
              <w:t>成后，再对</w:t>
            </w:r>
            <w:r>
              <w:rPr>
                <w:rFonts w:ascii="仿宋_GB2312" w:hAnsi="仿宋_GB2312" w:cs="仿宋_GB2312" w:eastAsia="仿宋_GB2312"/>
                <w:sz w:val="21"/>
                <w:color w:val="0A0A0A"/>
              </w:rPr>
              <w:t>土方</w:t>
            </w:r>
            <w:r>
              <w:rPr>
                <w:rFonts w:ascii="仿宋_GB2312" w:hAnsi="仿宋_GB2312" w:cs="仿宋_GB2312" w:eastAsia="仿宋_GB2312"/>
                <w:sz w:val="21"/>
                <w:color w:val="0A0A0A"/>
              </w:rPr>
              <w:t>等进行回填，并且达到规范要求。</w:t>
            </w:r>
          </w:p>
          <w:p>
            <w:pPr>
              <w:pStyle w:val="null3"/>
              <w:ind w:firstLine="580"/>
              <w:jc w:val="both"/>
            </w:pPr>
            <w:r>
              <w:rPr>
                <w:rFonts w:ascii="仿宋_GB2312" w:hAnsi="仿宋_GB2312" w:cs="仿宋_GB2312" w:eastAsia="仿宋_GB2312"/>
                <w:sz w:val="21"/>
                <w:color w:val="0A0A0A"/>
              </w:rPr>
              <w:t>（四）文明施工和治污减霾要求</w:t>
            </w:r>
          </w:p>
          <w:p>
            <w:pPr>
              <w:pStyle w:val="null3"/>
              <w:ind w:firstLine="580"/>
              <w:jc w:val="both"/>
            </w:pPr>
            <w:r>
              <w:rPr>
                <w:rFonts w:ascii="仿宋_GB2312" w:hAnsi="仿宋_GB2312" w:cs="仿宋_GB2312" w:eastAsia="仿宋_GB2312"/>
                <w:sz w:val="21"/>
                <w:color w:val="0A0A0A"/>
              </w:rPr>
              <w:t>1、严格执行《西安市出土（拆迁）工地及建筑垃圾清运扬尘防</w:t>
            </w:r>
            <w:r>
              <w:rPr>
                <w:rFonts w:ascii="仿宋_GB2312" w:hAnsi="仿宋_GB2312" w:cs="仿宋_GB2312" w:eastAsia="仿宋_GB2312"/>
                <w:sz w:val="21"/>
                <w:color w:val="0A0A0A"/>
              </w:rPr>
              <w:t>治工作标准》、西安市城市管理局关于加强出土（拆迁）工地及建筑</w:t>
            </w:r>
            <w:r>
              <w:rPr>
                <w:rFonts w:ascii="仿宋_GB2312" w:hAnsi="仿宋_GB2312" w:cs="仿宋_GB2312" w:eastAsia="仿宋_GB2312"/>
                <w:sz w:val="21"/>
                <w:color w:val="0A0A0A"/>
              </w:rPr>
              <w:t>垃圾清运扬尘管控紧急通知及进一步加强建筑垃圾清运企业和车辆</w:t>
            </w:r>
            <w:r>
              <w:rPr>
                <w:rFonts w:ascii="仿宋_GB2312" w:hAnsi="仿宋_GB2312" w:cs="仿宋_GB2312" w:eastAsia="仿宋_GB2312"/>
                <w:sz w:val="21"/>
                <w:color w:val="0A0A0A"/>
              </w:rPr>
              <w:t>管理等通知要求，严格按标准、按要求进行施工。</w:t>
            </w:r>
          </w:p>
          <w:p>
            <w:pPr>
              <w:pStyle w:val="null3"/>
              <w:ind w:firstLine="580"/>
              <w:jc w:val="both"/>
            </w:pPr>
            <w:r>
              <w:rPr>
                <w:rFonts w:ascii="仿宋_GB2312" w:hAnsi="仿宋_GB2312" w:cs="仿宋_GB2312" w:eastAsia="仿宋_GB2312"/>
                <w:sz w:val="21"/>
                <w:color w:val="0A0A0A"/>
              </w:rPr>
              <w:t>2、工地出入口按要求安装空气质量自动检测设备和全自动冲洗</w:t>
            </w:r>
            <w:r>
              <w:rPr>
                <w:rFonts w:ascii="仿宋_GB2312" w:hAnsi="仿宋_GB2312" w:cs="仿宋_GB2312" w:eastAsia="仿宋_GB2312"/>
                <w:sz w:val="21"/>
                <w:color w:val="0A0A0A"/>
              </w:rPr>
              <w:t>设备及其附属设备、并确保设备全部能够正常保用；并配专职人员进</w:t>
            </w:r>
            <w:r>
              <w:rPr>
                <w:rFonts w:ascii="仿宋_GB2312" w:hAnsi="仿宋_GB2312" w:cs="仿宋_GB2312" w:eastAsia="仿宋_GB2312"/>
                <w:sz w:val="21"/>
                <w:color w:val="0A0A0A"/>
              </w:rPr>
              <w:t>行检查，严禁车辆带泥上路；施工现场全程配备酒水车，雾炮机进行</w:t>
            </w:r>
            <w:r>
              <w:rPr>
                <w:rFonts w:ascii="仿宋_GB2312" w:hAnsi="仿宋_GB2312" w:cs="仿宋_GB2312" w:eastAsia="仿宋_GB2312"/>
                <w:sz w:val="21"/>
                <w:color w:val="0A0A0A"/>
              </w:rPr>
              <w:t>降尘防尘，防止污染。对已清运达到施工要求标准的区域及时采用绿</w:t>
            </w:r>
            <w:r>
              <w:rPr>
                <w:rFonts w:ascii="仿宋_GB2312" w:hAnsi="仿宋_GB2312" w:cs="仿宋_GB2312" w:eastAsia="仿宋_GB2312"/>
                <w:sz w:val="21"/>
                <w:color w:val="0A0A0A"/>
              </w:rPr>
              <w:t>色高密度密目网进行覆盖。</w:t>
            </w:r>
          </w:p>
          <w:p>
            <w:pPr>
              <w:pStyle w:val="null3"/>
              <w:ind w:firstLine="580"/>
              <w:jc w:val="both"/>
            </w:pPr>
            <w:r>
              <w:rPr>
                <w:rFonts w:ascii="仿宋_GB2312" w:hAnsi="仿宋_GB2312" w:cs="仿宋_GB2312" w:eastAsia="仿宋_GB2312"/>
                <w:sz w:val="21"/>
                <w:color w:val="0A0A0A"/>
              </w:rPr>
              <w:t>3、内倒车辆在清运作业时完全密闭，冲洗彻底，车身四周清扫</w:t>
            </w:r>
            <w:r>
              <w:rPr>
                <w:rFonts w:ascii="仿宋_GB2312" w:hAnsi="仿宋_GB2312" w:cs="仿宋_GB2312" w:eastAsia="仿宋_GB2312"/>
                <w:sz w:val="21"/>
                <w:color w:val="0A0A0A"/>
              </w:rPr>
              <w:t>并冲洗干净，车牌号建运号等清晰可见，车轮不带泥，车容整洁。</w:t>
            </w:r>
          </w:p>
          <w:p>
            <w:pPr>
              <w:pStyle w:val="null3"/>
              <w:ind w:firstLine="580"/>
              <w:jc w:val="both"/>
            </w:pPr>
            <w:r>
              <w:rPr>
                <w:rFonts w:ascii="仿宋_GB2312" w:hAnsi="仿宋_GB2312" w:cs="仿宋_GB2312" w:eastAsia="仿宋_GB2312"/>
                <w:sz w:val="21"/>
                <w:color w:val="0A0A0A"/>
              </w:rPr>
              <w:t>4、加强对“黑车、黑工地”的查处力度，一经发现，坚决严肃</w:t>
            </w:r>
            <w:r>
              <w:rPr>
                <w:rFonts w:ascii="仿宋_GB2312" w:hAnsi="仿宋_GB2312" w:cs="仿宋_GB2312" w:eastAsia="仿宋_GB2312"/>
                <w:sz w:val="21"/>
                <w:color w:val="0A0A0A"/>
              </w:rPr>
              <w:t>查处。</w:t>
            </w:r>
          </w:p>
          <w:p>
            <w:pPr>
              <w:pStyle w:val="null3"/>
              <w:ind w:firstLine="580"/>
              <w:jc w:val="both"/>
            </w:pPr>
            <w:r>
              <w:rPr>
                <w:rFonts w:ascii="仿宋_GB2312" w:hAnsi="仿宋_GB2312" w:cs="仿宋_GB2312" w:eastAsia="仿宋_GB2312"/>
                <w:sz w:val="21"/>
                <w:color w:val="0A0A0A"/>
              </w:rPr>
              <w:t>5、工地出入口及施工区域按要求张贴安全文明施工铭牌及宣传</w:t>
            </w:r>
            <w:r>
              <w:rPr>
                <w:rFonts w:ascii="仿宋_GB2312" w:hAnsi="仿宋_GB2312" w:cs="仿宋_GB2312" w:eastAsia="仿宋_GB2312"/>
                <w:sz w:val="21"/>
                <w:color w:val="0A0A0A"/>
              </w:rPr>
              <w:t>画。</w:t>
            </w:r>
          </w:p>
          <w:p>
            <w:pPr>
              <w:pStyle w:val="null3"/>
              <w:ind w:firstLine="580"/>
              <w:jc w:val="both"/>
            </w:pPr>
            <w:r>
              <w:rPr>
                <w:rFonts w:ascii="仿宋_GB2312" w:hAnsi="仿宋_GB2312" w:cs="仿宋_GB2312" w:eastAsia="仿宋_GB2312"/>
                <w:sz w:val="21"/>
                <w:color w:val="0A0A0A"/>
              </w:rPr>
              <w:t>6、按要求做好防噪降噪工作，做到不扰民，不与附近居民起纠</w:t>
            </w:r>
            <w:r>
              <w:rPr>
                <w:rFonts w:ascii="仿宋_GB2312" w:hAnsi="仿宋_GB2312" w:cs="仿宋_GB2312" w:eastAsia="仿宋_GB2312"/>
                <w:sz w:val="21"/>
                <w:color w:val="0A0A0A"/>
              </w:rPr>
              <w:t>纷。</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质量要求：符合国家现行有关施工质量验收规范“合格”要求。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工期：自合同签订之日起60日历天。</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 xml:space="preserve"> （1）、供应商务必在开标截止时间30分钟前，通过项目电子化交易系统进行签到，如未进行签到，产生的一切后果由供应商自行承担。（2）、采购标的对应的中小企业划分标准所属行业为建筑业。建筑业的划型标准 为：营业收入80000万元以下或资产总额80000万元以下的为中小微型企业。其中，营业收入6000万元及以上，且资产总额 5000万元及以上的为中型企业；营业收入300万元及以上，且资产总额300万元及以上的为小型企业；营业收入300万元以 下或资产总额300万元以下的为微型企业。（3）、需要落实的政府采购政策：1、《国务院办公厅关于建立政府强制采购节能产品制度的通知》（国办发〔2007〕51号）； 2、《财政部 司法部关于政府采购支持监狱企业发展有关问题的通知》（财库〔2014〕68号）； 3、《三部门联合发布关于促进残疾人就业政府采购政策的通知》（财库〔2017〕141号）； 4、《财政部 发展改革委 生态环境部 市场监管总局关于调整优化节能产品、环境标志产品政府采购执行机制的通知》（财库〔2019〕9号）； 5、《关于运用政府采购政策支持乡村产业振兴的通知》（财库〔2021〕19号）； 6、《政府采购促进中小企业发展管理办法》（财库〔2020〕46号）； 7、陕西省财政厅关于印发《陕西省中小企业政府采购信用融资办法》（陕财办采〔2018〕23号）； 8、《关于进一步加大政府采购支持中小企业力度的通知》（财库〔2022〕19号）； 9、《关于扩大政府采购支持绿色建材促进建筑品质提升政策实施范围的通知》（财库〔2022〕35号）。（4）、为顺利推进政府采购电子化交易平台应用工作，供应商需要在线提交所有通过电子化交易平台实施的政府采购项目的响应文件，同时，线下提交纸质响应文件正本一份、递交地址：龙寰项目管理咨询有限公司招标四部，递交截止时间同在线递交电子响应文件截止时间一致。若电子响应文件与纸质响应文件不一致的，以纸质响应文件为准。响应文件封口处加盖供应商公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1.财务状况报告：提供具有财务审计资质单位出具的2024年度财务报告或开标前六个月内其基本账户银行出具的资信证明或信用担保机构出具的担保函或提供《基本资格条件承诺函》； 2.税收缴纳证明：提供截止至开标时间前六个月内任意一个月的缴纳凭据；（依法免税的供应商应提供相关文件证明）或提供《基本资格条件承诺函》； 3.社会保障资金缴纳证明：提供截止至开标时间前六个月内任意一个月的社保缴纳凭据或社保机构开具的社会保险参保缴纳情况证明；（依法不需要缴纳社会保障资金的供应商应提供相关证明）或提供《基本资格条件承诺函》； 4.提供具有履行本合同所必需的设备和专业技术能力的承诺函（加盖供应商公章）或提供《基本资格条件承诺函》； 5.提供参加政府采购活动前三年内在经营活动中没有重大违法记录的书面声明（加盖供应商公章）或提供《基本资格条件承诺函》。 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残疾人福利性单位声明函 中小企业声明函 响应函 资格证明文件.docx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1.财务状况报告：提供具有财务审计资质单位出具的2024年度财务报告或开标前六个月内其基本账户银行出具的资信证明或政府采购信用担保机构出具的担保函或提供《基本资格条件承诺函》；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报价函 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资格证明文件.docx</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供应商须具备建筑工程施工总承包叁级及以上资质，具有合格有效的安全生产许可证。注：供应商需在项目电子化交易系统中按要求上传相应证明文件并进行电子签章。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供应商应是独立承担民事责任能力的法人、其他组织或自然人。</w:t>
            </w:r>
          </w:p>
        </w:tc>
        <w:tc>
          <w:tcPr>
            <w:tcW w:type="dxa" w:w="3322"/>
          </w:tcPr>
          <w:p>
            <w:pPr>
              <w:pStyle w:val="null3"/>
            </w:pPr>
            <w:r>
              <w:rPr>
                <w:rFonts w:ascii="仿宋_GB2312" w:hAnsi="仿宋_GB2312" w:cs="仿宋_GB2312" w:eastAsia="仿宋_GB2312"/>
              </w:rPr>
              <w:t>法人、其他组织须提供合法有效的营业执照（或事业单位法人证书）等证明资料，自然人须提供身份证明。注：供应商需在项目电子化交易系统中按要求上传相应证明文件并进行电子签章。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拟派本工程项目经理具有建筑工程专业贰级及以上注册建造师资格，具有有效的安全生产考核合格证（B证），在本单位注册无在建工程。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企业信用</w:t>
            </w:r>
          </w:p>
        </w:tc>
        <w:tc>
          <w:tcPr>
            <w:tcW w:type="dxa" w:w="3322"/>
          </w:tcPr>
          <w:p>
            <w:pPr>
              <w:pStyle w:val="null3"/>
            </w:pPr>
            <w:r>
              <w:rPr>
                <w:rFonts w:ascii="仿宋_GB2312" w:hAnsi="仿宋_GB2312" w:cs="仿宋_GB2312" w:eastAsia="仿宋_GB2312"/>
              </w:rPr>
              <w:t>供应商不得为“中国执行信息公开网”网站中列入失信被执行人和“信用中国”网站中列入重大税 收违法失信主体的供应商，不得为“中国政府采购网”政府采购严重违法失信行为记录名单中被财政部门禁止参加政府采购活动的供应商。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分项报价表.docx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响应文件报价</w:t>
            </w:r>
          </w:p>
        </w:tc>
        <w:tc>
          <w:tcPr>
            <w:tcW w:type="dxa" w:w="3322"/>
          </w:tcPr>
          <w:p>
            <w:pPr>
              <w:pStyle w:val="null3"/>
            </w:pPr>
            <w:r>
              <w:rPr>
                <w:rFonts w:ascii="仿宋_GB2312" w:hAnsi="仿宋_GB2312" w:cs="仿宋_GB2312" w:eastAsia="仿宋_GB2312"/>
              </w:rPr>
              <w:t>内容无重大缺漏项，报价唯一，且没有超过采 购预算或限价</w:t>
            </w:r>
          </w:p>
        </w:tc>
        <w:tc>
          <w:tcPr>
            <w:tcW w:type="dxa" w:w="1661"/>
          </w:tcPr>
          <w:p>
            <w:pPr>
              <w:pStyle w:val="null3"/>
            </w:pPr>
            <w:r>
              <w:rPr>
                <w:rFonts w:ascii="仿宋_GB2312" w:hAnsi="仿宋_GB2312" w:cs="仿宋_GB2312" w:eastAsia="仿宋_GB2312"/>
              </w:rPr>
              <w:t>分项报价表.docx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质量标准</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响应文件的签字、盖章</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技术响应部分.docx 中小企业声明函 授权委托书.docx 技术商务偏离表.docx 资格证明文件.docx 响应文件封面 分项报价表.docx 项目管理机构组成表 法定代表人（单位负责人自然人）身份证明.docx 残疾人福利性单位声明函 供应商类似项目业绩一览表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法定代表人直接参加投标的，须出具法定代表人身份证明书及身份证；授权代表参加投标的，须出具法定代表人授权书及授权代表身份证。（被授权人需提供文件递交截止时间前六个月内任意一个月的社会保障资金的缴纳证明）</w:t>
            </w:r>
          </w:p>
        </w:tc>
        <w:tc>
          <w:tcPr>
            <w:tcW w:type="dxa" w:w="1661"/>
          </w:tcPr>
          <w:p>
            <w:pPr>
              <w:pStyle w:val="null3"/>
            </w:pPr>
            <w:r>
              <w:rPr>
                <w:rFonts w:ascii="仿宋_GB2312" w:hAnsi="仿宋_GB2312" w:cs="仿宋_GB2312" w:eastAsia="仿宋_GB2312"/>
              </w:rPr>
              <w:t>法定代表人（单位负责人自然人）身份证明.docx 授权委托书.docx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施工方案全面、合理，施工方法先进，可行性强，完全满足工程施工要求的得5分； 施工方案全面、合理，施工方法较先进，有一定的可行性，能满足工程施工要求的得4分；施工方案较完整、合理，施工方案有针对性，基本可行，满足工程施工要求的得3分； 施工方案存在部分不完整，施工方法针对本项目基本可行的得2分；方案简单笼统或存在较大不合理的得1分；未提供或明显不合理的不得分。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技术响应部分.docx</w:t>
            </w:r>
          </w:p>
        </w:tc>
      </w:tr>
      <w:tr>
        <w:tc>
          <w:tcPr>
            <w:tcW w:type="dxa" w:w="831"/>
            <w:vMerge/>
          </w:tcPr>
          <w:p/>
        </w:tc>
        <w:tc>
          <w:tcPr>
            <w:tcW w:type="dxa" w:w="1661"/>
          </w:tcPr>
          <w:p>
            <w:pPr>
              <w:pStyle w:val="null3"/>
            </w:pPr>
            <w:r>
              <w:rPr>
                <w:rFonts w:ascii="仿宋_GB2312" w:hAnsi="仿宋_GB2312" w:cs="仿宋_GB2312" w:eastAsia="仿宋_GB2312"/>
              </w:rPr>
              <w:t>施工组织和项目管理机构</w:t>
            </w:r>
          </w:p>
        </w:tc>
        <w:tc>
          <w:tcPr>
            <w:tcW w:type="dxa" w:w="2492"/>
          </w:tcPr>
          <w:p>
            <w:pPr>
              <w:pStyle w:val="null3"/>
            </w:pPr>
            <w:r>
              <w:rPr>
                <w:rFonts w:ascii="仿宋_GB2312" w:hAnsi="仿宋_GB2312" w:cs="仿宋_GB2312" w:eastAsia="仿宋_GB2312"/>
              </w:rPr>
              <w:t>施工组织及项目管理设置合理、全面。对工程项目的实施具有有效地计划、组织、协调、控制，针对性强、可行性强，能完全确保实现项目的管理目标的得5分；施工组织及项目管理设置合理、全面。对工程项目的实施具有一定的计划、组织、协调、控制效果，有一定的合理性和可行性的得4分； 施工组织及项目管理设置基本全面、合理，基本能确保实现项目管理目标的得3分； 施工组织或项目管理机构设置部分存在不合理，但总体基本能达到项目管理目标的得2分；施工组织和项目管理机构设置简单，存在较大不合理性的得1分； 未提供或安排不合理，达不到管理目标的不得分。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技术响应部分.docx</w:t>
            </w:r>
          </w:p>
          <w:p>
            <w:pPr>
              <w:pStyle w:val="null3"/>
            </w:pPr>
            <w:r>
              <w:rPr>
                <w:rFonts w:ascii="仿宋_GB2312" w:hAnsi="仿宋_GB2312" w:cs="仿宋_GB2312" w:eastAsia="仿宋_GB2312"/>
              </w:rPr>
              <w:t>项目管理机构组成表</w:t>
            </w:r>
          </w:p>
        </w:tc>
      </w:tr>
      <w:tr>
        <w:tc>
          <w:tcPr>
            <w:tcW w:type="dxa" w:w="831"/>
            <w:vMerge/>
          </w:tcPr>
          <w:p/>
        </w:tc>
        <w:tc>
          <w:tcPr>
            <w:tcW w:type="dxa" w:w="1661"/>
          </w:tcPr>
          <w:p>
            <w:pPr>
              <w:pStyle w:val="null3"/>
            </w:pPr>
            <w:r>
              <w:rPr>
                <w:rFonts w:ascii="仿宋_GB2312" w:hAnsi="仿宋_GB2312" w:cs="仿宋_GB2312" w:eastAsia="仿宋_GB2312"/>
              </w:rPr>
              <w:t>疑难问题处理预案</w:t>
            </w:r>
          </w:p>
        </w:tc>
        <w:tc>
          <w:tcPr>
            <w:tcW w:type="dxa" w:w="2492"/>
          </w:tcPr>
          <w:p>
            <w:pPr>
              <w:pStyle w:val="null3"/>
            </w:pPr>
            <w:r>
              <w:rPr>
                <w:rFonts w:ascii="仿宋_GB2312" w:hAnsi="仿宋_GB2312" w:cs="仿宋_GB2312" w:eastAsia="仿宋_GB2312"/>
              </w:rPr>
              <w:t>针对本项目实施过程中可能出现的问题分析全面，且有相对应的解决方案和措施，方案和措施合理、可行性强的得5分； 针对本项目实施过程中可能出现的问题分析全面，有相对应的解决方案和措施，方案和措施有一定合理性、可行性的得4分； 针对本项目实施过程中可能出现的问题分析基本全面，相对应的解决方案和措施，基本合理、可行的得3分；针对本项目实施过程中可能出现的问题有一定的分析但分析不全面，相对应的解决方案和措施部分可行的得2分； 针对本项目实施过程中可能出现的问题分析简单不全面，相对应的解决方案和措施有较大的不合理性的得1分；未提供或明显不合理的不得分。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技术响应部分.docx</w:t>
            </w:r>
          </w:p>
        </w:tc>
      </w:tr>
      <w:tr>
        <w:tc>
          <w:tcPr>
            <w:tcW w:type="dxa" w:w="831"/>
            <w:vMerge/>
          </w:tcPr>
          <w:p/>
        </w:tc>
        <w:tc>
          <w:tcPr>
            <w:tcW w:type="dxa" w:w="1661"/>
          </w:tcPr>
          <w:p>
            <w:pPr>
              <w:pStyle w:val="null3"/>
            </w:pPr>
            <w:r>
              <w:rPr>
                <w:rFonts w:ascii="仿宋_GB2312" w:hAnsi="仿宋_GB2312" w:cs="仿宋_GB2312" w:eastAsia="仿宋_GB2312"/>
              </w:rPr>
              <w:t>进度计划安排方案， 施工进度表或施工网络图</w:t>
            </w:r>
          </w:p>
        </w:tc>
        <w:tc>
          <w:tcPr>
            <w:tcW w:type="dxa" w:w="2492"/>
          </w:tcPr>
          <w:p>
            <w:pPr>
              <w:pStyle w:val="null3"/>
            </w:pPr>
            <w:r>
              <w:rPr>
                <w:rFonts w:ascii="仿宋_GB2312" w:hAnsi="仿宋_GB2312" w:cs="仿宋_GB2312" w:eastAsia="仿宋_GB2312"/>
              </w:rPr>
              <w:t>进度安排合理、可行、科学、符合项目实施需求，施工进度表或网络图表达清晰、合理，可行性强的得5分；进度安排有一定合理性、可行性、科学性，能符合项目实施需求，施工进度表或网络图表达有一定合理性和可行性的得4分； 进度安排合理、可行、较符合项目实施需求，施进度表或网络图表达基本明确、清晰的得3分；进度安排较合理、较可行、较符合项目实施需求，施进度表或网络图表达不明确、不清晰的得2分；进度安排合理和可行一般的，施进度表或网络图表达不明确、不清晰、较混乱的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技术响应部分.docx</w:t>
            </w:r>
          </w:p>
        </w:tc>
      </w:tr>
      <w:tr>
        <w:tc>
          <w:tcPr>
            <w:tcW w:type="dxa" w:w="831"/>
            <w:vMerge/>
          </w:tcPr>
          <w:p/>
        </w:tc>
        <w:tc>
          <w:tcPr>
            <w:tcW w:type="dxa" w:w="1661"/>
          </w:tcPr>
          <w:p>
            <w:pPr>
              <w:pStyle w:val="null3"/>
            </w:pPr>
            <w:r>
              <w:rPr>
                <w:rFonts w:ascii="仿宋_GB2312" w:hAnsi="仿宋_GB2312" w:cs="仿宋_GB2312" w:eastAsia="仿宋_GB2312"/>
              </w:rPr>
              <w:t>投入本项目机械设备及劳动力安排</w:t>
            </w:r>
          </w:p>
        </w:tc>
        <w:tc>
          <w:tcPr>
            <w:tcW w:type="dxa" w:w="2492"/>
          </w:tcPr>
          <w:p>
            <w:pPr>
              <w:pStyle w:val="null3"/>
            </w:pPr>
            <w:r>
              <w:rPr>
                <w:rFonts w:ascii="仿宋_GB2312" w:hAnsi="仿宋_GB2312" w:cs="仿宋_GB2312" w:eastAsia="仿宋_GB2312"/>
              </w:rPr>
              <w:t>机械配备投入合理且数量充足、投入计划紧贴项目进度，劳动力安排合理，可操作性强，能够确保项目如期保质完成的得5分； 机械配备投入合且数量充足、投入计划紧贴项目进度，劳动力安排合理有一定的合理性和可行性的得4分；机械配备投入合理且数量充足、投入计划基本与项目进度匹配，劳动力安排基本合理可行的得3分；机械配备投入计划基本合理，基本与项目进度匹配，劳动力数量基本合理的得2分； 机械配备投入数量存在部分不合理，与项目建设进度匹配度一般，劳动力数量存在部分不合理，计划表不清晰、可行性一般的得1分；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技术响应部分.docx</w:t>
            </w:r>
          </w:p>
        </w:tc>
      </w:tr>
      <w:tr>
        <w:tc>
          <w:tcPr>
            <w:tcW w:type="dxa" w:w="831"/>
            <w:vMerge/>
          </w:tcPr>
          <w:p/>
        </w:tc>
        <w:tc>
          <w:tcPr>
            <w:tcW w:type="dxa" w:w="1661"/>
          </w:tcPr>
          <w:p>
            <w:pPr>
              <w:pStyle w:val="null3"/>
            </w:pPr>
            <w:r>
              <w:rPr>
                <w:rFonts w:ascii="仿宋_GB2312" w:hAnsi="仿宋_GB2312" w:cs="仿宋_GB2312" w:eastAsia="仿宋_GB2312"/>
              </w:rPr>
              <w:t>治污减霾专项方案</w:t>
            </w:r>
          </w:p>
        </w:tc>
        <w:tc>
          <w:tcPr>
            <w:tcW w:type="dxa" w:w="2492"/>
          </w:tcPr>
          <w:p>
            <w:pPr>
              <w:pStyle w:val="null3"/>
            </w:pPr>
            <w:r>
              <w:rPr>
                <w:rFonts w:ascii="仿宋_GB2312" w:hAnsi="仿宋_GB2312" w:cs="仿宋_GB2312" w:eastAsia="仿宋_GB2312"/>
              </w:rPr>
              <w:t>方案内容有针对性，符合本项目实际情况及实施要求，方案详尽，合理性和可行性强，能够有效保证环境卫生的得5分； 方案内容有针对性，符合本项目实际情况及实施要求，方案详尽，有一定合理性和可行性的得4分；方案内容基本符合本项目实际情况及实施要求且内容基本全面，基本合理、可行的得3分；方案内容基本符合本项目实际情况及实施要求且基本全面，但合理性、可行性一般的得2分；方案内容基本符合本项目实际情况及实施要求且不全面，不合理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技术响应部分.docx</w:t>
            </w:r>
          </w:p>
        </w:tc>
      </w:tr>
      <w:tr>
        <w:tc>
          <w:tcPr>
            <w:tcW w:type="dxa" w:w="831"/>
            <w:vMerge/>
          </w:tcPr>
          <w:p/>
        </w:tc>
        <w:tc>
          <w:tcPr>
            <w:tcW w:type="dxa" w:w="1661"/>
          </w:tcPr>
          <w:p>
            <w:pPr>
              <w:pStyle w:val="null3"/>
            </w:pPr>
            <w:r>
              <w:rPr>
                <w:rFonts w:ascii="仿宋_GB2312" w:hAnsi="仿宋_GB2312" w:cs="仿宋_GB2312" w:eastAsia="仿宋_GB2312"/>
              </w:rPr>
              <w:t>安全专项方案</w:t>
            </w:r>
          </w:p>
        </w:tc>
        <w:tc>
          <w:tcPr>
            <w:tcW w:type="dxa" w:w="2492"/>
          </w:tcPr>
          <w:p>
            <w:pPr>
              <w:pStyle w:val="null3"/>
            </w:pPr>
            <w:r>
              <w:rPr>
                <w:rFonts w:ascii="仿宋_GB2312" w:hAnsi="仿宋_GB2312" w:cs="仿宋_GB2312" w:eastAsia="仿宋_GB2312"/>
              </w:rPr>
              <w:t>方案内容专门针对本项目编制，符合本项目实际情况及实施要求，方案详尽，合理性和可行性强的得5分；方案内容专门针对本项目编制，符合本项目实际情况及实施要求，方案详尽，有一定合理性和可行性的得4分；方案内容基本符合本项目实际情况及实施要求且内容基本全面，基本合理、可行的得3分；方案内容基本符合本项目实际情况及实施要求且基本全面，但合理性、可行性一般的得2分；方案内容较少且不合理性、不可行性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技术响应部分.docx</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针对本项目的工程提出合理、科学、完整的确保质量技术组织措施，可行性强的得5分；针对本项目的工程提出合理、科学、完整的确保质量技术组织措施，有一定可行性的得4分；确保工程质量的技术组织措施基本合理、科学、完整，能满足项目的整体需求的得3分；组织措施部分存在不合理性，但基本能满足项目整体要求的得2分；措施简单笼统或存在较大不合理性的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技术响应部分.docx</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w:t>
            </w:r>
          </w:p>
        </w:tc>
        <w:tc>
          <w:tcPr>
            <w:tcW w:type="dxa" w:w="2492"/>
          </w:tcPr>
          <w:p>
            <w:pPr>
              <w:pStyle w:val="null3"/>
            </w:pPr>
            <w:r>
              <w:rPr>
                <w:rFonts w:ascii="仿宋_GB2312" w:hAnsi="仿宋_GB2312" w:cs="仿宋_GB2312" w:eastAsia="仿宋_GB2312"/>
              </w:rPr>
              <w:t>措施完整、能够全面保证文明施工，从多个方面确保文明施工，且合理性、可行性强的得5分；措施完整、全面能够保证文明施工，从多个方面确保文明施工，有一定的合理性和可行性的得4分；措施基本完整全面，能从多个方面确保文明施工，基本合理、可行的得3分； 措施不完整、全面，但有一定的可行性的得2分；措施简单笼统或存在明显的不合理性的，不能满足文明施工的得1分；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技术响应部分.docx</w:t>
            </w:r>
          </w:p>
        </w:tc>
      </w:tr>
      <w:tr>
        <w:tc>
          <w:tcPr>
            <w:tcW w:type="dxa" w:w="831"/>
            <w:vMerge/>
          </w:tcPr>
          <w:p/>
        </w:tc>
        <w:tc>
          <w:tcPr>
            <w:tcW w:type="dxa" w:w="1661"/>
          </w:tcPr>
          <w:p>
            <w:pPr>
              <w:pStyle w:val="null3"/>
            </w:pPr>
            <w:r>
              <w:rPr>
                <w:rFonts w:ascii="仿宋_GB2312" w:hAnsi="仿宋_GB2312" w:cs="仿宋_GB2312" w:eastAsia="仿宋_GB2312"/>
              </w:rPr>
              <w:t>确保环境保护的组织措施</w:t>
            </w:r>
          </w:p>
        </w:tc>
        <w:tc>
          <w:tcPr>
            <w:tcW w:type="dxa" w:w="2492"/>
          </w:tcPr>
          <w:p>
            <w:pPr>
              <w:pStyle w:val="null3"/>
            </w:pPr>
            <w:r>
              <w:rPr>
                <w:rFonts w:ascii="仿宋_GB2312" w:hAnsi="仿宋_GB2312" w:cs="仿宋_GB2312" w:eastAsia="仿宋_GB2312"/>
              </w:rPr>
              <w:t>措施全面、完整，能从多方面考虑影响环境的因素，并提出相关解决和防治措施，实施度高、可落地性强，可确保达到环境保护的要求得5分；措施全面、完整，能从多方面考虑影响环境的因素，有一定的可行性和可操作性，能满足环境保护要求的得4分； 措施基本全面、完整，基本有一定的可行性，能基本满足环境保护要求的得3分； 该措施不全面，但有一定的可行性，基本能达到环境保护要求的得2分； 措施存在较大不合理性、内容简单的得1分；未提供不得分。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技术响应部分.docx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有清晰合理的工期计划措施，实施进度安排合理，可行性强，具有详细明确的实施进度计划表，能够确保工程如期保质完成的得5分； 有工期计划措施，实施进度安排合理，有一定的可行性，具有明确的实施进度计划表，能够确保工程完工的得4分； 进度安排合理，有一定的可行性，实施进度计划基本明确的能够基本保证项目如期完成的得3分； 进度安排基本合理，实施进度计划表不清晰、可行性一般的得2分； 进度安排合理性一般，实施进度计划表不清晰的得1分；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技术响应部分.docx</w:t>
            </w:r>
          </w:p>
        </w:tc>
      </w:tr>
      <w:tr>
        <w:tc>
          <w:tcPr>
            <w:tcW w:type="dxa" w:w="831"/>
            <w:vMerge/>
          </w:tcPr>
          <w:p/>
        </w:tc>
        <w:tc>
          <w:tcPr>
            <w:tcW w:type="dxa" w:w="1661"/>
          </w:tcPr>
          <w:p>
            <w:pPr>
              <w:pStyle w:val="null3"/>
            </w:pPr>
            <w:r>
              <w:rPr>
                <w:rFonts w:ascii="仿宋_GB2312" w:hAnsi="仿宋_GB2312" w:cs="仿宋_GB2312" w:eastAsia="仿宋_GB2312"/>
              </w:rPr>
              <w:t>承诺</w:t>
            </w:r>
          </w:p>
        </w:tc>
        <w:tc>
          <w:tcPr>
            <w:tcW w:type="dxa" w:w="2492"/>
          </w:tcPr>
          <w:p>
            <w:pPr>
              <w:pStyle w:val="null3"/>
            </w:pPr>
            <w:r>
              <w:rPr>
                <w:rFonts w:ascii="仿宋_GB2312" w:hAnsi="仿宋_GB2312" w:cs="仿宋_GB2312" w:eastAsia="仿宋_GB2312"/>
              </w:rPr>
              <w:t>供应商对工期时限、工程质量及进度以及施工过程中产生的垃圾按规定倾倒、不随意抛洒，环境卫生等方面做出承诺； 承诺涵盖全面且承诺可行的得5分；承诺涵盖较全面有一定可行性的得4分；承诺内容涵盖不全面但所承诺内容可行的得3分；承诺不全面，可行性一般的得2分；承诺内容简单、不符合项目实际需求、存在较大不合理性的得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技术响应部分.docx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近年（2022年1月1日至今），每承担过1个类似项目得2分，最高得10分（类似业绩提供合同复印件，时间以签订日期为准）。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技术响应部分.docx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满足磋商文件要求且最后报价最低的供应商的价格为磋商基准价。各供应商的价格分统一按照下列公式计算： 磋商报价得分=（磋商基准价/最后磋商报价）×30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报价函</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详见附件：法定代表人（单位负责人自然人）身份证明.docx</w:t>
      </w:r>
    </w:p>
    <w:p>
      <w:pPr>
        <w:pStyle w:val="null3"/>
        <w:ind w:firstLine="960"/>
      </w:pPr>
      <w:r>
        <w:rPr>
          <w:rFonts w:ascii="仿宋_GB2312" w:hAnsi="仿宋_GB2312" w:cs="仿宋_GB2312" w:eastAsia="仿宋_GB2312"/>
        </w:rPr>
        <w:t>详见附件：授权委托书.docx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详见附件：技术商务偏离表.docx</w:t>
      </w:r>
    </w:p>
    <w:p>
      <w:pPr>
        <w:pStyle w:val="null3"/>
        <w:ind w:firstLine="960"/>
      </w:pPr>
      <w:r>
        <w:rPr>
          <w:rFonts w:ascii="仿宋_GB2312" w:hAnsi="仿宋_GB2312" w:cs="仿宋_GB2312" w:eastAsia="仿宋_GB2312"/>
        </w:rPr>
        <w:t>详见附件：技术响应部分.docx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详见附件：拟签订合同条款(1)(1).docx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