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6FAA6">
      <w:pPr>
        <w:pStyle w:val="2"/>
        <w:numPr>
          <w:ilvl w:val="0"/>
          <w:numId w:val="1"/>
        </w:numPr>
        <w:ind w:firstLine="0" w:firstLineChars="0"/>
        <w:rPr>
          <w:rFonts w:hint="eastAsia"/>
          <w:sz w:val="32"/>
          <w:szCs w:val="32"/>
          <w:lang w:val="en-US" w:eastAsia="zh-CN"/>
        </w:rPr>
      </w:pPr>
      <w:bookmarkStart w:id="0" w:name="_Toc18332563"/>
      <w:r>
        <w:rPr>
          <w:rFonts w:hint="eastAsia"/>
          <w:sz w:val="32"/>
          <w:szCs w:val="32"/>
        </w:rPr>
        <w:t xml:space="preserve"> </w:t>
      </w:r>
      <w:r>
        <w:rPr>
          <w:rFonts w:hint="eastAsia"/>
          <w:sz w:val="32"/>
          <w:szCs w:val="32"/>
          <w:lang w:eastAsia="zh-CN"/>
        </w:rPr>
        <w:t>拟签订</w:t>
      </w:r>
      <w:r>
        <w:rPr>
          <w:rFonts w:hint="eastAsia"/>
          <w:sz w:val="32"/>
          <w:szCs w:val="32"/>
        </w:rPr>
        <w:t>合同</w:t>
      </w:r>
      <w:bookmarkEnd w:id="0"/>
      <w:r>
        <w:rPr>
          <w:rFonts w:hint="eastAsia"/>
          <w:sz w:val="32"/>
          <w:szCs w:val="32"/>
          <w:lang w:val="en-US" w:eastAsia="zh-CN"/>
        </w:rPr>
        <w:t>条款</w:t>
      </w:r>
    </w:p>
    <w:p w14:paraId="774F1957">
      <w:pPr>
        <w:spacing w:before="78" w:line="219" w:lineRule="auto"/>
        <w:ind w:left="510"/>
        <w:jc w:val="center"/>
        <w:rPr>
          <w:rFonts w:hint="eastAsia" w:ascii="宋体" w:hAnsi="宋体" w:eastAsia="宋体" w:cs="宋体"/>
          <w:b/>
          <w:bCs/>
          <w:color w:val="000000"/>
          <w:spacing w:val="-4"/>
          <w:sz w:val="21"/>
          <w:szCs w:val="21"/>
          <w:highlight w:val="none"/>
          <w:lang w:eastAsia="zh-CN"/>
        </w:rPr>
      </w:pPr>
      <w:bookmarkStart w:id="1" w:name="_Toc172831758"/>
      <w:r>
        <w:rPr>
          <w:rFonts w:hint="eastAsia" w:ascii="宋体" w:hAnsi="宋体" w:eastAsia="宋体" w:cs="宋体"/>
          <w:b/>
          <w:bCs/>
          <w:color w:val="000000"/>
          <w:spacing w:val="-4"/>
          <w:sz w:val="21"/>
          <w:szCs w:val="21"/>
          <w:highlight w:val="none"/>
          <w:lang w:eastAsia="zh-CN"/>
        </w:rPr>
        <w:t>（注：</w:t>
      </w:r>
      <w:r>
        <w:rPr>
          <w:rFonts w:hint="eastAsia" w:ascii="宋体" w:hAnsi="宋体" w:eastAsia="宋体" w:cs="宋体"/>
          <w:b/>
          <w:bCs/>
          <w:color w:val="000000"/>
          <w:spacing w:val="-4"/>
          <w:sz w:val="21"/>
          <w:szCs w:val="21"/>
          <w:highlight w:val="none"/>
          <w:lang w:val="en-US" w:eastAsia="zh-CN"/>
        </w:rPr>
        <w:t>本合同样式仅供参考</w:t>
      </w:r>
      <w:r>
        <w:rPr>
          <w:rFonts w:hint="eastAsia" w:ascii="宋体" w:hAnsi="宋体" w:eastAsia="宋体" w:cs="宋体"/>
          <w:b/>
          <w:bCs/>
          <w:color w:val="000000"/>
          <w:spacing w:val="-4"/>
          <w:sz w:val="21"/>
          <w:szCs w:val="21"/>
          <w:highlight w:val="none"/>
          <w:lang w:eastAsia="zh-CN"/>
        </w:rPr>
        <w:t>，具体合同格式及条款</w:t>
      </w:r>
      <w:r>
        <w:rPr>
          <w:rFonts w:hint="eastAsia" w:ascii="宋体" w:hAnsi="宋体" w:eastAsia="宋体" w:cs="宋体"/>
          <w:b/>
          <w:bCs/>
          <w:color w:val="000000"/>
          <w:spacing w:val="-4"/>
          <w:sz w:val="21"/>
          <w:szCs w:val="21"/>
          <w:highlight w:val="none"/>
          <w:lang w:val="en-US" w:eastAsia="zh-CN"/>
        </w:rPr>
        <w:t>以双方实际签订为准</w:t>
      </w:r>
      <w:r>
        <w:rPr>
          <w:rFonts w:hint="eastAsia" w:ascii="宋体" w:hAnsi="宋体" w:eastAsia="宋体" w:cs="宋体"/>
          <w:b/>
          <w:bCs/>
          <w:color w:val="000000"/>
          <w:spacing w:val="-4"/>
          <w:sz w:val="21"/>
          <w:szCs w:val="21"/>
          <w:highlight w:val="none"/>
          <w:lang w:eastAsia="zh-CN"/>
        </w:rPr>
        <w:t>。）</w:t>
      </w:r>
    </w:p>
    <w:bookmarkEnd w:id="1"/>
    <w:p w14:paraId="12DFD22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发包人(全称，以下简称甲方)：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6CD67BE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承包人(全称，以下简称乙方)：</w:t>
      </w:r>
      <w:r>
        <w:rPr>
          <w:rFonts w:hint="eastAsia" w:ascii="宋体" w:hAnsi="宋体" w:cs="宋体"/>
          <w:color w:val="000000"/>
          <w:sz w:val="21"/>
          <w:szCs w:val="21"/>
          <w:u w:val="single"/>
        </w:rPr>
        <w:t xml:space="preserve">                              </w:t>
      </w:r>
    </w:p>
    <w:p w14:paraId="109693D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依照《中华人民共和国民法典》第三篇、《中华人民共和国建筑法》等法律、行政法规，遵循平等、自愿、公平和诚实信用的原则，双方就本项目的事项订立本合同，乙方愿按本合同约定的</w:t>
      </w:r>
      <w:r>
        <w:rPr>
          <w:rFonts w:hint="eastAsia" w:ascii="宋体" w:hAnsi="宋体" w:cs="宋体"/>
          <w:color w:val="000000"/>
          <w:sz w:val="21"/>
          <w:szCs w:val="21"/>
          <w:lang w:val="en-US" w:eastAsia="zh-CN"/>
        </w:rPr>
        <w:t>条款</w:t>
      </w:r>
      <w:r>
        <w:rPr>
          <w:rFonts w:hint="eastAsia" w:ascii="宋体" w:hAnsi="宋体" w:cs="宋体"/>
          <w:color w:val="000000"/>
          <w:sz w:val="21"/>
          <w:szCs w:val="21"/>
        </w:rPr>
        <w:t>承担本项目任务，双方达成如下协议：</w:t>
      </w:r>
    </w:p>
    <w:p w14:paraId="3B104175">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一、工程概况：</w:t>
      </w:r>
    </w:p>
    <w:p w14:paraId="6D7230B9">
      <w:pPr>
        <w:spacing w:line="360" w:lineRule="auto"/>
        <w:ind w:firstLine="420" w:firstLineChars="200"/>
        <w:rPr>
          <w:rFonts w:hint="eastAsia" w:ascii="宋体" w:hAnsi="宋体" w:cs="宋体"/>
          <w:color w:val="000000"/>
          <w:sz w:val="21"/>
          <w:szCs w:val="21"/>
          <w:u w:val="single"/>
        </w:rPr>
      </w:pPr>
      <w:r>
        <w:rPr>
          <w:rFonts w:hint="eastAsia" w:ascii="宋体" w:hAnsi="宋体" w:cs="宋体"/>
          <w:color w:val="000000"/>
          <w:sz w:val="21"/>
          <w:szCs w:val="21"/>
        </w:rPr>
        <w:t>1、工程范围及规模：</w:t>
      </w:r>
      <w:r>
        <w:rPr>
          <w:rFonts w:hint="eastAsia" w:ascii="宋体" w:hAnsi="宋体" w:cs="宋体"/>
          <w:color w:val="000000"/>
          <w:sz w:val="21"/>
          <w:szCs w:val="21"/>
          <w:u w:val="single"/>
        </w:rPr>
        <w:t xml:space="preserve">                              </w:t>
      </w:r>
    </w:p>
    <w:p w14:paraId="10477EB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2、工程日期：</w:t>
      </w:r>
      <w:r>
        <w:rPr>
          <w:rFonts w:hint="eastAsia" w:ascii="宋体" w:hAnsi="宋体" w:cs="宋体"/>
          <w:color w:val="000000"/>
          <w:sz w:val="21"/>
          <w:szCs w:val="21"/>
          <w:u w:val="single"/>
        </w:rPr>
        <w:t xml:space="preserve">                              </w:t>
      </w:r>
    </w:p>
    <w:p w14:paraId="3E68504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3、施工标准：</w:t>
      </w:r>
      <w:r>
        <w:rPr>
          <w:rFonts w:hint="eastAsia" w:ascii="宋体" w:hAnsi="宋体" w:cs="宋体"/>
          <w:color w:val="000000"/>
          <w:sz w:val="21"/>
          <w:szCs w:val="21"/>
          <w:u w:val="single"/>
        </w:rPr>
        <w:t xml:space="preserve">                              </w:t>
      </w:r>
    </w:p>
    <w:p w14:paraId="05EDDF60">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二、合同的组成部分：</w:t>
      </w:r>
    </w:p>
    <w:p w14:paraId="5CD8C8A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1、乙方成交的</w:t>
      </w:r>
      <w:r>
        <w:rPr>
          <w:rFonts w:hint="eastAsia" w:ascii="宋体" w:hAnsi="宋体" w:cs="宋体"/>
          <w:color w:val="000000"/>
          <w:sz w:val="21"/>
          <w:szCs w:val="21"/>
          <w:lang w:val="en-US" w:eastAsia="zh-CN"/>
        </w:rPr>
        <w:t>报价</w:t>
      </w:r>
      <w:r>
        <w:rPr>
          <w:rFonts w:hint="eastAsia" w:ascii="宋体" w:hAnsi="宋体" w:cs="宋体"/>
          <w:color w:val="000000"/>
          <w:sz w:val="21"/>
          <w:szCs w:val="21"/>
        </w:rPr>
        <w:t>文件；</w:t>
      </w:r>
    </w:p>
    <w:p w14:paraId="774C2B7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w:t>
      </w:r>
      <w:r>
        <w:rPr>
          <w:rFonts w:hint="eastAsia" w:ascii="宋体" w:hAnsi="宋体" w:cs="宋体"/>
          <w:color w:val="000000"/>
          <w:sz w:val="21"/>
          <w:szCs w:val="21"/>
          <w:lang w:val="en-US" w:eastAsia="zh-CN"/>
        </w:rPr>
        <w:t>磋商</w:t>
      </w:r>
      <w:bookmarkStart w:id="2" w:name="_GoBack"/>
      <w:bookmarkEnd w:id="2"/>
      <w:r>
        <w:rPr>
          <w:rFonts w:hint="eastAsia" w:ascii="宋体" w:hAnsi="宋体" w:cs="宋体"/>
          <w:color w:val="000000"/>
          <w:sz w:val="21"/>
          <w:szCs w:val="21"/>
        </w:rPr>
        <w:t>文件及补充文件；</w:t>
      </w:r>
    </w:p>
    <w:p w14:paraId="1783343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3、标准、规范和有关技术资料；</w:t>
      </w:r>
    </w:p>
    <w:p w14:paraId="4BDA734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4、其他有关文件。</w:t>
      </w:r>
    </w:p>
    <w:p w14:paraId="63345905">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三、双方的权利及义务</w:t>
      </w:r>
    </w:p>
    <w:p w14:paraId="7ABD8F3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1、甲方的权利和义务</w:t>
      </w:r>
    </w:p>
    <w:p w14:paraId="4CD8066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1.1有权随时检查、监督现场及工程进度、质量和安全；</w:t>
      </w:r>
    </w:p>
    <w:p w14:paraId="610BC25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1.2有对现场工作的认定权；</w:t>
      </w:r>
    </w:p>
    <w:p w14:paraId="6F4C755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2、乙方的权利和义务：</w:t>
      </w:r>
    </w:p>
    <w:p w14:paraId="0D34808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2.1乙方有权按投标书中的承诺获得约定的工程费；</w:t>
      </w:r>
    </w:p>
    <w:p w14:paraId="3EC699F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2.2乙方不得将工程转包，渣土外运所发生的一切费用由乙方负责，乙方严格按照高新区建筑垃圾内倒相关规定做好清运工作及治污减霾措施，并自行承担相关费用；</w:t>
      </w:r>
    </w:p>
    <w:p w14:paraId="516CBEA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2.3接受发包人和各级建设主管部门的监督和管理；</w:t>
      </w:r>
    </w:p>
    <w:p w14:paraId="111E02C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2.4乙方按照合同的规定承担认定范围内的相关任务；</w:t>
      </w:r>
    </w:p>
    <w:p w14:paraId="7DAC593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2.5乙方要按合同约定制定施工方案，确保按规定实施；</w:t>
      </w:r>
    </w:p>
    <w:p w14:paraId="098D1B5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2.6乙方按有关部门的规定装载，严禁超载，要做好</w:t>
      </w:r>
      <w:r>
        <w:rPr>
          <w:rFonts w:hint="eastAsia" w:ascii="宋体" w:hAnsi="宋体" w:cs="宋体"/>
          <w:color w:val="000000"/>
          <w:sz w:val="21"/>
          <w:szCs w:val="21"/>
          <w:lang w:eastAsia="zh-CN"/>
        </w:rPr>
        <w:t>篷</w:t>
      </w:r>
      <w:r>
        <w:rPr>
          <w:rFonts w:hint="eastAsia" w:ascii="宋体" w:hAnsi="宋体" w:cs="宋体"/>
          <w:color w:val="000000"/>
          <w:sz w:val="21"/>
          <w:szCs w:val="21"/>
        </w:rPr>
        <w:t>盖；</w:t>
      </w:r>
    </w:p>
    <w:p w14:paraId="3449DAD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2.7</w:t>
      </w:r>
      <w:r>
        <w:rPr>
          <w:rFonts w:hint="eastAsia" w:ascii="宋体" w:hAnsi="宋体" w:cs="宋体"/>
          <w:color w:val="000000"/>
          <w:sz w:val="21"/>
          <w:szCs w:val="21"/>
          <w:lang w:val="en-US" w:eastAsia="zh-CN"/>
        </w:rPr>
        <w:t>乙方</w:t>
      </w:r>
      <w:r>
        <w:rPr>
          <w:rFonts w:hint="eastAsia" w:ascii="宋体" w:hAnsi="宋体" w:cs="宋体"/>
          <w:color w:val="000000"/>
          <w:sz w:val="21"/>
          <w:szCs w:val="21"/>
        </w:rPr>
        <w:t>必须按规定</w:t>
      </w:r>
      <w:r>
        <w:rPr>
          <w:rFonts w:hint="eastAsia" w:ascii="宋体" w:hAnsi="宋体" w:cs="宋体"/>
          <w:color w:val="000000"/>
          <w:sz w:val="21"/>
          <w:szCs w:val="21"/>
          <w:lang w:val="en-US" w:eastAsia="zh-CN"/>
        </w:rPr>
        <w:t>及时清理垃圾并严格按照施工技术要求运送到指定位置</w:t>
      </w:r>
      <w:r>
        <w:rPr>
          <w:rFonts w:hint="eastAsia" w:ascii="宋体" w:hAnsi="宋体" w:cs="宋体"/>
          <w:color w:val="000000"/>
          <w:sz w:val="21"/>
          <w:szCs w:val="21"/>
        </w:rPr>
        <w:t>，不得随意堆放和处理；</w:t>
      </w:r>
    </w:p>
    <w:p w14:paraId="3E3A659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2.8加强易燃、易爆物品的管理；</w:t>
      </w:r>
    </w:p>
    <w:p w14:paraId="771BCEA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2.9工程完成后，须及时向有关部门提出工程验收申请，如验收不合格，则必须在限期内整改完毕并达到合格标准；</w:t>
      </w:r>
    </w:p>
    <w:p w14:paraId="1B0007A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0</w:t>
      </w:r>
      <w:r>
        <w:rPr>
          <w:rFonts w:hint="eastAsia" w:ascii="宋体" w:hAnsi="宋体" w:cs="宋体"/>
          <w:color w:val="000000"/>
          <w:sz w:val="21"/>
          <w:szCs w:val="21"/>
        </w:rPr>
        <w:t>要切实做好安全与文明施工，乙方要制定安全生产责任制，责任落实到人，乙方要与有关部门签订安全责任书，如发生安全问题完全由乙方负责；</w:t>
      </w:r>
    </w:p>
    <w:p w14:paraId="4BCA325B">
      <w:pPr>
        <w:spacing w:line="360" w:lineRule="auto"/>
        <w:ind w:firstLine="420" w:firstLineChars="200"/>
        <w:rPr>
          <w:rFonts w:hint="eastAsia" w:ascii="宋体" w:hAnsi="宋体" w:cs="宋体"/>
          <w:smallCaps/>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1</w:t>
      </w:r>
      <w:r>
        <w:rPr>
          <w:rFonts w:hint="eastAsia" w:ascii="宋体" w:hAnsi="宋体" w:cs="宋体"/>
          <w:color w:val="000000"/>
          <w:sz w:val="21"/>
          <w:szCs w:val="21"/>
        </w:rPr>
        <w:t>要切实加强各类管线的防护工作，按甲方和管线单位的要求做好防护措施（各项防护措施费已包括在投标单价内，结算时不再另行计算）；</w:t>
      </w:r>
    </w:p>
    <w:p w14:paraId="178C705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2</w:t>
      </w:r>
      <w:r>
        <w:rPr>
          <w:rFonts w:hint="eastAsia" w:ascii="宋体" w:hAnsi="宋体" w:cs="宋体"/>
          <w:color w:val="000000"/>
          <w:sz w:val="21"/>
          <w:szCs w:val="21"/>
        </w:rPr>
        <w:t xml:space="preserve"> 乙方应在现场设置项目经理部，项目经理部常驻人员名单应在开工前向甲方提交；项目经理应具有二级及以上注册建造师资格；本工程项目经理为</w:t>
      </w:r>
      <w:r>
        <w:rPr>
          <w:rFonts w:hint="eastAsia" w:ascii="宋体" w:hAnsi="宋体" w:cs="宋体"/>
          <w:color w:val="000000"/>
          <w:sz w:val="21"/>
          <w:szCs w:val="21"/>
          <w:u w:val="single"/>
        </w:rPr>
        <w:t xml:space="preserve">    </w:t>
      </w:r>
      <w:r>
        <w:rPr>
          <w:rFonts w:hint="eastAsia" w:ascii="宋体" w:hAnsi="宋体" w:cs="宋体"/>
          <w:color w:val="000000"/>
          <w:sz w:val="21"/>
          <w:szCs w:val="21"/>
        </w:rPr>
        <w:t>，注册证号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，安全考核合格证号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14:paraId="69BC6B6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3</w:t>
      </w:r>
      <w:r>
        <w:rPr>
          <w:rFonts w:hint="eastAsia" w:ascii="宋体" w:hAnsi="宋体" w:cs="宋体"/>
          <w:color w:val="000000"/>
          <w:sz w:val="21"/>
          <w:szCs w:val="21"/>
        </w:rPr>
        <w:t xml:space="preserve"> 乙方未经甲方同意，不得擅自更换甲方认定的本工程施工负责人（项目经理）及管理机构人员；</w:t>
      </w:r>
    </w:p>
    <w:p w14:paraId="2AE0B33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4</w:t>
      </w:r>
      <w:r>
        <w:rPr>
          <w:rFonts w:hint="eastAsia" w:ascii="宋体" w:hAnsi="宋体" w:cs="宋体"/>
          <w:color w:val="000000"/>
          <w:sz w:val="21"/>
          <w:szCs w:val="21"/>
        </w:rPr>
        <w:t>乙方必须自行施工，不得转包，确需分包个别子项时，须征得甲方同意；</w:t>
      </w:r>
    </w:p>
    <w:p w14:paraId="41DB49B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5</w:t>
      </w:r>
      <w:r>
        <w:rPr>
          <w:rFonts w:hint="eastAsia" w:ascii="宋体" w:hAnsi="宋体" w:cs="宋体"/>
          <w:color w:val="000000"/>
          <w:sz w:val="21"/>
          <w:szCs w:val="21"/>
        </w:rPr>
        <w:t xml:space="preserve"> 乙方在施工过程中所发生的由自身原因造成的损失和后果自负；</w:t>
      </w:r>
    </w:p>
    <w:p w14:paraId="0E58BC0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6</w:t>
      </w:r>
      <w:r>
        <w:rPr>
          <w:rFonts w:hint="eastAsia" w:ascii="宋体" w:hAnsi="宋体" w:cs="宋体"/>
          <w:color w:val="000000"/>
          <w:sz w:val="21"/>
          <w:szCs w:val="21"/>
        </w:rPr>
        <w:t>工程结算时，乙方须按高新区财政结算评审相关规定提供结算所需资料； 乙方负责确保工程结算、评审、审计的资料齐全，因资料不全无法进行工程结算、评审、审计的，乙方自行承担责任。</w:t>
      </w:r>
    </w:p>
    <w:p w14:paraId="0DABAEA1">
      <w:pPr>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2.17</w:t>
      </w:r>
      <w:r>
        <w:rPr>
          <w:rFonts w:hint="eastAsia" w:ascii="宋体" w:hAnsi="宋体" w:cs="宋体"/>
          <w:color w:val="000000"/>
          <w:sz w:val="22"/>
          <w:szCs w:val="18"/>
          <w:lang w:val="en-US" w:eastAsia="zh-CN"/>
        </w:rPr>
        <w:t>在项目用地正式交付前，看护责任全部由乙方承担，如用地范围内出现垃圾等废弃物，乙方应及时进行清理，相关费用由乙方自行承担。</w:t>
      </w:r>
    </w:p>
    <w:p w14:paraId="57677B61">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四、合同价款和付款方式：</w:t>
      </w:r>
    </w:p>
    <w:p w14:paraId="42092CB2">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（一）合同价款</w:t>
      </w:r>
    </w:p>
    <w:p w14:paraId="65319BBA">
      <w:pPr>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1、本工程采用固定综合单价合同方式，单价：</w:t>
      </w:r>
    </w:p>
    <w:tbl>
      <w:tblPr>
        <w:tblStyle w:val="5"/>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81"/>
        <w:gridCol w:w="836"/>
        <w:gridCol w:w="1299"/>
        <w:gridCol w:w="2017"/>
        <w:gridCol w:w="818"/>
        <w:gridCol w:w="1358"/>
      </w:tblGrid>
      <w:tr w14:paraId="483AE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817" w:type="dxa"/>
            <w:vAlign w:val="center"/>
          </w:tcPr>
          <w:p w14:paraId="33181571">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序号</w:t>
            </w:r>
          </w:p>
        </w:tc>
        <w:tc>
          <w:tcPr>
            <w:tcW w:w="2081" w:type="dxa"/>
            <w:vAlign w:val="center"/>
          </w:tcPr>
          <w:p w14:paraId="58FB9871">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文勘机械</w:t>
            </w:r>
          </w:p>
        </w:tc>
        <w:tc>
          <w:tcPr>
            <w:tcW w:w="836" w:type="dxa"/>
            <w:vAlign w:val="center"/>
          </w:tcPr>
          <w:p w14:paraId="40CBA193">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单位</w:t>
            </w:r>
          </w:p>
        </w:tc>
        <w:tc>
          <w:tcPr>
            <w:tcW w:w="1299" w:type="dxa"/>
            <w:vAlign w:val="center"/>
          </w:tcPr>
          <w:p w14:paraId="3799CAFC">
            <w:pPr>
              <w:snapToGrid w:val="0"/>
              <w:spacing w:line="240" w:lineRule="auto"/>
              <w:ind w:left="0" w:leftChars="0" w:right="0" w:rightChars="0" w:firstLine="0" w:firstLineChars="0"/>
              <w:jc w:val="center"/>
              <w:rPr>
                <w:rFonts w:hint="eastAsia" w:ascii="宋体" w:hAnsi="宋体"/>
                <w:b/>
                <w:sz w:val="22"/>
                <w:szCs w:val="20"/>
              </w:rPr>
            </w:pPr>
            <w:r>
              <w:rPr>
                <w:rFonts w:hint="eastAsia" w:ascii="宋体" w:hAnsi="宋体"/>
                <w:b/>
                <w:sz w:val="22"/>
                <w:szCs w:val="20"/>
              </w:rPr>
              <w:t>台班数量</w:t>
            </w:r>
          </w:p>
          <w:p w14:paraId="752F0C85">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(预估)</w:t>
            </w:r>
          </w:p>
        </w:tc>
        <w:tc>
          <w:tcPr>
            <w:tcW w:w="2017" w:type="dxa"/>
            <w:vAlign w:val="center"/>
          </w:tcPr>
          <w:p w14:paraId="1306498C">
            <w:pPr>
              <w:snapToGrid w:val="0"/>
              <w:spacing w:before="255" w:line="240" w:lineRule="auto"/>
              <w:ind w:left="0" w:leftChars="0" w:right="0" w:rightChars="0" w:firstLine="0" w:firstLineChars="0"/>
              <w:jc w:val="center"/>
              <w:rPr>
                <w:rFonts w:hint="eastAsia" w:ascii="宋体" w:hAnsi="宋体"/>
                <w:b/>
                <w:sz w:val="22"/>
                <w:szCs w:val="20"/>
              </w:rPr>
            </w:pPr>
            <w:r>
              <w:rPr>
                <w:rFonts w:hint="eastAsia" w:ascii="宋体" w:hAnsi="宋体"/>
                <w:b/>
                <w:sz w:val="22"/>
                <w:szCs w:val="20"/>
              </w:rPr>
              <w:t>全费用含税单价</w:t>
            </w:r>
          </w:p>
          <w:p w14:paraId="5E813BF7">
            <w:pPr>
              <w:snapToGrid w:val="0"/>
              <w:spacing w:before="255" w:line="240" w:lineRule="auto"/>
              <w:ind w:left="0" w:leftChars="0" w:right="0" w:rightChars="0" w:firstLine="0" w:firstLineChars="0"/>
              <w:jc w:val="center"/>
              <w:rPr>
                <w:rFonts w:ascii="宋体" w:hAnsi="宋体"/>
                <w:b/>
                <w:sz w:val="22"/>
                <w:szCs w:val="20"/>
              </w:rPr>
            </w:pPr>
            <w:r>
              <w:rPr>
                <w:rFonts w:hint="eastAsia" w:ascii="宋体" w:hAnsi="宋体"/>
                <w:b/>
                <w:sz w:val="22"/>
                <w:szCs w:val="20"/>
              </w:rPr>
              <w:t>(元)</w:t>
            </w:r>
          </w:p>
        </w:tc>
        <w:tc>
          <w:tcPr>
            <w:tcW w:w="818" w:type="dxa"/>
            <w:vAlign w:val="center"/>
          </w:tcPr>
          <w:p w14:paraId="130E5778">
            <w:pPr>
              <w:snapToGrid w:val="0"/>
              <w:spacing w:line="240" w:lineRule="auto"/>
              <w:ind w:left="0" w:leftChars="0" w:right="0" w:rightChars="0" w:firstLine="0" w:firstLineChars="0"/>
              <w:jc w:val="center"/>
              <w:rPr>
                <w:rFonts w:hint="eastAsia" w:ascii="宋体" w:hAnsi="宋体"/>
                <w:b/>
                <w:sz w:val="22"/>
                <w:szCs w:val="20"/>
              </w:rPr>
            </w:pPr>
            <w:r>
              <w:rPr>
                <w:rFonts w:hint="eastAsia" w:ascii="宋体" w:hAnsi="宋体"/>
                <w:b/>
                <w:sz w:val="22"/>
                <w:szCs w:val="20"/>
              </w:rPr>
              <w:t>合价</w:t>
            </w:r>
          </w:p>
          <w:p w14:paraId="3803EC35">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(元)</w:t>
            </w:r>
          </w:p>
        </w:tc>
        <w:tc>
          <w:tcPr>
            <w:tcW w:w="1358" w:type="dxa"/>
            <w:vAlign w:val="center"/>
          </w:tcPr>
          <w:p w14:paraId="0D26F56E">
            <w:pPr>
              <w:snapToGrid w:val="0"/>
              <w:spacing w:line="240" w:lineRule="auto"/>
              <w:ind w:left="0" w:leftChars="0" w:right="0" w:rightChars="0" w:firstLine="0" w:firstLineChars="0"/>
              <w:jc w:val="center"/>
              <w:rPr>
                <w:rFonts w:ascii="宋体" w:hAnsi="宋体"/>
                <w:b/>
                <w:sz w:val="22"/>
                <w:szCs w:val="20"/>
              </w:rPr>
            </w:pPr>
            <w:r>
              <w:rPr>
                <w:rFonts w:hint="eastAsia" w:ascii="宋体" w:hAnsi="宋体"/>
                <w:b/>
                <w:sz w:val="22"/>
                <w:szCs w:val="20"/>
              </w:rPr>
              <w:t>备注</w:t>
            </w:r>
          </w:p>
        </w:tc>
      </w:tr>
      <w:tr w14:paraId="5B242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27D5A687">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1</w:t>
            </w:r>
          </w:p>
        </w:tc>
        <w:tc>
          <w:tcPr>
            <w:tcW w:w="2081" w:type="dxa"/>
            <w:vAlign w:val="center"/>
          </w:tcPr>
          <w:p w14:paraId="2D470C83">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挖掘机(350型)</w:t>
            </w:r>
          </w:p>
        </w:tc>
        <w:tc>
          <w:tcPr>
            <w:tcW w:w="836" w:type="dxa"/>
            <w:vAlign w:val="center"/>
          </w:tcPr>
          <w:p w14:paraId="7CA13F99">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5BEFBA39">
            <w:pPr>
              <w:snapToGrid w:val="0"/>
              <w:spacing w:line="240" w:lineRule="auto"/>
              <w:ind w:left="0" w:leftChars="0" w:right="0" w:rightChars="0" w:firstLine="0" w:firstLineChars="0"/>
              <w:jc w:val="right"/>
              <w:rPr>
                <w:rFonts w:hint="default" w:ascii="宋体" w:hAnsi="宋体" w:eastAsia="宋体"/>
                <w:sz w:val="22"/>
                <w:szCs w:val="20"/>
                <w:lang w:val="en-US" w:eastAsia="zh-CN"/>
              </w:rPr>
            </w:pPr>
            <w:r>
              <w:rPr>
                <w:rFonts w:hint="eastAsia" w:ascii="宋体" w:hAnsi="宋体" w:eastAsia="宋体"/>
                <w:spacing w:val="-2"/>
                <w:sz w:val="22"/>
                <w:szCs w:val="20"/>
                <w:lang w:val="en-US" w:eastAsia="zh-CN"/>
              </w:rPr>
              <w:t>144</w:t>
            </w:r>
          </w:p>
        </w:tc>
        <w:tc>
          <w:tcPr>
            <w:tcW w:w="2017" w:type="dxa"/>
            <w:vAlign w:val="center"/>
          </w:tcPr>
          <w:p w14:paraId="41B99333">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559767D2">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584F01BD">
            <w:pPr>
              <w:snapToGrid w:val="0"/>
              <w:spacing w:line="240" w:lineRule="auto"/>
              <w:ind w:left="0" w:leftChars="0" w:right="0" w:rightChars="0" w:firstLine="0" w:firstLineChars="0"/>
              <w:jc w:val="center"/>
              <w:rPr>
                <w:rFonts w:ascii="宋体" w:hAnsi="宋体" w:eastAsia="宋体"/>
                <w:sz w:val="22"/>
                <w:szCs w:val="20"/>
              </w:rPr>
            </w:pPr>
          </w:p>
        </w:tc>
      </w:tr>
      <w:tr w14:paraId="35D9B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449E577A">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2</w:t>
            </w:r>
          </w:p>
        </w:tc>
        <w:tc>
          <w:tcPr>
            <w:tcW w:w="2081" w:type="dxa"/>
            <w:vAlign w:val="center"/>
          </w:tcPr>
          <w:p w14:paraId="71A277E5">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挖掘机(225型)</w:t>
            </w:r>
          </w:p>
        </w:tc>
        <w:tc>
          <w:tcPr>
            <w:tcW w:w="836" w:type="dxa"/>
            <w:vAlign w:val="center"/>
          </w:tcPr>
          <w:p w14:paraId="1565D79A">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3592916E">
            <w:pPr>
              <w:snapToGrid w:val="0"/>
              <w:spacing w:line="240" w:lineRule="auto"/>
              <w:ind w:left="0" w:leftChars="0" w:right="0" w:rightChars="0" w:firstLine="0" w:firstLineChars="0"/>
              <w:jc w:val="right"/>
              <w:rPr>
                <w:rFonts w:hint="default" w:ascii="宋体" w:hAnsi="宋体" w:eastAsia="宋体"/>
                <w:sz w:val="22"/>
                <w:szCs w:val="20"/>
                <w:lang w:val="en-US" w:eastAsia="zh-CN"/>
              </w:rPr>
            </w:pPr>
            <w:r>
              <w:rPr>
                <w:rFonts w:hint="eastAsia" w:ascii="宋体" w:hAnsi="宋体" w:eastAsia="宋体"/>
                <w:sz w:val="22"/>
                <w:szCs w:val="20"/>
                <w:lang w:val="en-US" w:eastAsia="zh-CN"/>
              </w:rPr>
              <w:t>144</w:t>
            </w:r>
          </w:p>
        </w:tc>
        <w:tc>
          <w:tcPr>
            <w:tcW w:w="2017" w:type="dxa"/>
            <w:vAlign w:val="center"/>
          </w:tcPr>
          <w:p w14:paraId="02595372">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304813F0">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019B3E63">
            <w:pPr>
              <w:snapToGrid w:val="0"/>
              <w:spacing w:line="240" w:lineRule="auto"/>
              <w:ind w:left="0" w:leftChars="0" w:right="0" w:rightChars="0" w:firstLine="0" w:firstLineChars="0"/>
              <w:jc w:val="center"/>
              <w:rPr>
                <w:rFonts w:ascii="宋体" w:hAnsi="宋体" w:eastAsia="宋体"/>
                <w:sz w:val="22"/>
                <w:szCs w:val="20"/>
              </w:rPr>
            </w:pPr>
          </w:p>
        </w:tc>
      </w:tr>
      <w:tr w14:paraId="2965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4FF8436C">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3</w:t>
            </w:r>
          </w:p>
        </w:tc>
        <w:tc>
          <w:tcPr>
            <w:tcW w:w="2081" w:type="dxa"/>
            <w:vAlign w:val="center"/>
          </w:tcPr>
          <w:p w14:paraId="3099E9F5">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推土机(综合)</w:t>
            </w:r>
          </w:p>
        </w:tc>
        <w:tc>
          <w:tcPr>
            <w:tcW w:w="836" w:type="dxa"/>
            <w:vAlign w:val="center"/>
          </w:tcPr>
          <w:p w14:paraId="0DD8D767">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00647F8B">
            <w:pPr>
              <w:snapToGrid w:val="0"/>
              <w:spacing w:line="240" w:lineRule="auto"/>
              <w:ind w:left="0" w:leftChars="0" w:right="0" w:rightChars="0" w:firstLine="0" w:firstLineChars="0"/>
              <w:jc w:val="right"/>
              <w:rPr>
                <w:rFonts w:hint="default" w:ascii="宋体" w:hAnsi="宋体" w:eastAsia="宋体"/>
                <w:sz w:val="22"/>
                <w:szCs w:val="20"/>
                <w:lang w:val="en-US" w:eastAsia="zh-CN"/>
              </w:rPr>
            </w:pPr>
            <w:r>
              <w:rPr>
                <w:rFonts w:hint="eastAsia" w:ascii="宋体" w:hAnsi="宋体" w:eastAsia="宋体"/>
                <w:sz w:val="22"/>
                <w:szCs w:val="20"/>
                <w:lang w:val="en-US" w:eastAsia="zh-CN"/>
              </w:rPr>
              <w:t>401</w:t>
            </w:r>
          </w:p>
        </w:tc>
        <w:tc>
          <w:tcPr>
            <w:tcW w:w="2017" w:type="dxa"/>
            <w:vAlign w:val="center"/>
          </w:tcPr>
          <w:p w14:paraId="1AE300FA">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4B353ED9">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79385982">
            <w:pPr>
              <w:snapToGrid w:val="0"/>
              <w:spacing w:line="240" w:lineRule="auto"/>
              <w:ind w:left="0" w:leftChars="0" w:right="0" w:rightChars="0" w:firstLine="0" w:firstLineChars="0"/>
              <w:jc w:val="center"/>
              <w:rPr>
                <w:rFonts w:ascii="宋体" w:hAnsi="宋体" w:eastAsia="宋体"/>
                <w:sz w:val="22"/>
                <w:szCs w:val="20"/>
              </w:rPr>
            </w:pPr>
          </w:p>
        </w:tc>
      </w:tr>
      <w:tr w14:paraId="0884F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59C26317">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4</w:t>
            </w:r>
          </w:p>
        </w:tc>
        <w:tc>
          <w:tcPr>
            <w:tcW w:w="2081" w:type="dxa"/>
            <w:vAlign w:val="center"/>
          </w:tcPr>
          <w:p w14:paraId="22440547">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渣土车(满载)</w:t>
            </w:r>
          </w:p>
        </w:tc>
        <w:tc>
          <w:tcPr>
            <w:tcW w:w="836" w:type="dxa"/>
            <w:vAlign w:val="center"/>
          </w:tcPr>
          <w:p w14:paraId="1C783622">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65CBC74D">
            <w:pPr>
              <w:snapToGrid w:val="0"/>
              <w:spacing w:line="240" w:lineRule="auto"/>
              <w:ind w:left="0" w:leftChars="0" w:right="0" w:rightChars="0" w:firstLine="0" w:firstLineChars="0"/>
              <w:jc w:val="right"/>
              <w:rPr>
                <w:rFonts w:hint="default" w:ascii="宋体" w:hAnsi="宋体" w:eastAsia="宋体"/>
                <w:sz w:val="22"/>
                <w:szCs w:val="20"/>
                <w:lang w:val="en-US" w:eastAsia="zh-CN"/>
              </w:rPr>
            </w:pPr>
            <w:r>
              <w:rPr>
                <w:rFonts w:hint="eastAsia" w:ascii="宋体" w:hAnsi="宋体" w:eastAsia="宋体"/>
                <w:spacing w:val="-7"/>
                <w:sz w:val="22"/>
                <w:szCs w:val="20"/>
                <w:lang w:val="en-US" w:eastAsia="zh-CN"/>
              </w:rPr>
              <w:t>179</w:t>
            </w:r>
          </w:p>
        </w:tc>
        <w:tc>
          <w:tcPr>
            <w:tcW w:w="2017" w:type="dxa"/>
            <w:vAlign w:val="center"/>
          </w:tcPr>
          <w:p w14:paraId="4F3611CD">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2D3FA36A">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2C244969">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容量：15m³</w:t>
            </w:r>
          </w:p>
        </w:tc>
      </w:tr>
      <w:tr w14:paraId="541B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21227FC6">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5</w:t>
            </w:r>
          </w:p>
        </w:tc>
        <w:tc>
          <w:tcPr>
            <w:tcW w:w="2081" w:type="dxa"/>
            <w:vAlign w:val="center"/>
          </w:tcPr>
          <w:p w14:paraId="42DAB93F">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渣土车(满载)</w:t>
            </w:r>
          </w:p>
        </w:tc>
        <w:tc>
          <w:tcPr>
            <w:tcW w:w="836" w:type="dxa"/>
            <w:vAlign w:val="center"/>
          </w:tcPr>
          <w:p w14:paraId="52936EFA">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420AA8BD">
            <w:pPr>
              <w:snapToGrid w:val="0"/>
              <w:spacing w:line="240" w:lineRule="auto"/>
              <w:ind w:left="0" w:leftChars="0" w:right="0" w:rightChars="0" w:firstLine="0" w:firstLineChars="0"/>
              <w:jc w:val="right"/>
              <w:rPr>
                <w:rFonts w:hint="default" w:ascii="宋体" w:hAnsi="宋体" w:eastAsia="宋体"/>
                <w:sz w:val="22"/>
                <w:szCs w:val="20"/>
                <w:lang w:val="en-US" w:eastAsia="zh-CN"/>
              </w:rPr>
            </w:pPr>
            <w:r>
              <w:rPr>
                <w:rFonts w:hint="eastAsia" w:ascii="宋体" w:hAnsi="宋体" w:eastAsia="宋体"/>
                <w:spacing w:val="-7"/>
                <w:sz w:val="22"/>
                <w:szCs w:val="20"/>
                <w:lang w:val="en-US" w:eastAsia="zh-CN"/>
              </w:rPr>
              <w:t>179</w:t>
            </w:r>
          </w:p>
        </w:tc>
        <w:tc>
          <w:tcPr>
            <w:tcW w:w="2017" w:type="dxa"/>
            <w:vAlign w:val="center"/>
          </w:tcPr>
          <w:p w14:paraId="3D31F256">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0A03D3C4">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066ADB87">
            <w:pPr>
              <w:snapToGrid w:val="0"/>
              <w:spacing w:line="240" w:lineRule="auto"/>
              <w:ind w:left="0" w:leftChars="0" w:right="0" w:rightChars="0" w:firstLine="0" w:firstLineChars="0"/>
              <w:jc w:val="center"/>
              <w:rPr>
                <w:rFonts w:ascii="宋体" w:hAnsi="宋体" w:eastAsia="宋体"/>
                <w:sz w:val="22"/>
                <w:szCs w:val="20"/>
              </w:rPr>
            </w:pPr>
            <w:r>
              <w:rPr>
                <w:rFonts w:hint="eastAsia" w:ascii="宋体" w:hAnsi="宋体" w:eastAsia="宋体"/>
                <w:sz w:val="22"/>
                <w:szCs w:val="20"/>
              </w:rPr>
              <w:t>容量：10m³以内</w:t>
            </w:r>
          </w:p>
        </w:tc>
      </w:tr>
      <w:tr w14:paraId="6DC61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2AF2064C">
            <w:pPr>
              <w:snapToGrid w:val="0"/>
              <w:spacing w:line="240" w:lineRule="auto"/>
              <w:ind w:left="0" w:leftChars="0" w:right="0" w:rightChars="0" w:firstLine="0" w:firstLineChars="0"/>
              <w:jc w:val="center"/>
              <w:rPr>
                <w:rFonts w:ascii="宋体" w:hAnsi="Arial" w:eastAsia="宋体"/>
                <w:sz w:val="22"/>
                <w:szCs w:val="20"/>
              </w:rPr>
            </w:pPr>
            <w:r>
              <w:rPr>
                <w:rFonts w:hint="eastAsia" w:ascii="宋体" w:hAnsi="Arial" w:eastAsia="宋体"/>
                <w:sz w:val="22"/>
                <w:szCs w:val="20"/>
              </w:rPr>
              <w:t>6</w:t>
            </w:r>
          </w:p>
        </w:tc>
        <w:tc>
          <w:tcPr>
            <w:tcW w:w="2081" w:type="dxa"/>
            <w:vAlign w:val="center"/>
          </w:tcPr>
          <w:p w14:paraId="7D0F9C9E">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光轮压路机(内燃)机械双筒</w:t>
            </w:r>
          </w:p>
        </w:tc>
        <w:tc>
          <w:tcPr>
            <w:tcW w:w="836" w:type="dxa"/>
            <w:vAlign w:val="center"/>
          </w:tcPr>
          <w:p w14:paraId="65552203">
            <w:pPr>
              <w:snapToGrid w:val="0"/>
              <w:spacing w:line="240" w:lineRule="auto"/>
              <w:ind w:left="0" w:leftChars="0" w:right="0" w:rightChars="0" w:firstLine="0" w:firstLineChars="0"/>
              <w:jc w:val="center"/>
              <w:rPr>
                <w:rFonts w:ascii="宋体" w:hAnsi="宋体" w:eastAsia="宋体"/>
                <w:spacing w:val="5"/>
                <w:sz w:val="22"/>
                <w:szCs w:val="20"/>
              </w:rPr>
            </w:pPr>
            <w:r>
              <w:rPr>
                <w:rFonts w:hint="eastAsia" w:ascii="宋体" w:hAnsi="宋体" w:eastAsia="宋体"/>
                <w:spacing w:val="5"/>
                <w:sz w:val="22"/>
                <w:szCs w:val="20"/>
              </w:rPr>
              <w:t>台班</w:t>
            </w:r>
          </w:p>
        </w:tc>
        <w:tc>
          <w:tcPr>
            <w:tcW w:w="1299" w:type="dxa"/>
            <w:vAlign w:val="center"/>
          </w:tcPr>
          <w:p w14:paraId="4731CD58">
            <w:pPr>
              <w:snapToGrid w:val="0"/>
              <w:spacing w:line="240" w:lineRule="auto"/>
              <w:ind w:left="0" w:leftChars="0" w:right="0" w:rightChars="0" w:firstLine="0" w:firstLineChars="0"/>
              <w:jc w:val="right"/>
              <w:rPr>
                <w:rFonts w:hint="default" w:ascii="宋体" w:hAnsi="Arial" w:eastAsia="宋体"/>
                <w:sz w:val="22"/>
                <w:szCs w:val="20"/>
                <w:lang w:val="en-US" w:eastAsia="zh-CN"/>
              </w:rPr>
            </w:pPr>
            <w:r>
              <w:rPr>
                <w:rFonts w:hint="eastAsia" w:ascii="宋体" w:hAnsi="宋体" w:eastAsia="宋体"/>
                <w:spacing w:val="-7"/>
                <w:sz w:val="22"/>
                <w:szCs w:val="20"/>
                <w:lang w:val="en-US" w:eastAsia="zh-CN"/>
              </w:rPr>
              <w:t>349</w:t>
            </w:r>
          </w:p>
        </w:tc>
        <w:tc>
          <w:tcPr>
            <w:tcW w:w="2017" w:type="dxa"/>
            <w:vAlign w:val="center"/>
          </w:tcPr>
          <w:p w14:paraId="47985F51">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142412F0">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1F4FD3A1">
            <w:pPr>
              <w:snapToGrid w:val="0"/>
              <w:spacing w:line="240" w:lineRule="auto"/>
              <w:ind w:left="0" w:leftChars="0" w:right="0" w:rightChars="0" w:firstLine="0" w:firstLineChars="0"/>
              <w:jc w:val="center"/>
              <w:rPr>
                <w:rFonts w:ascii="宋体" w:hAnsi="宋体" w:eastAsia="宋体"/>
                <w:sz w:val="22"/>
                <w:szCs w:val="20"/>
              </w:rPr>
            </w:pPr>
          </w:p>
        </w:tc>
      </w:tr>
      <w:tr w14:paraId="4B83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59621A4F">
            <w:pPr>
              <w:snapToGrid w:val="0"/>
              <w:spacing w:line="240" w:lineRule="auto"/>
              <w:ind w:left="0" w:leftChars="0" w:right="0" w:rightChars="0" w:firstLine="0" w:firstLineChars="0"/>
              <w:jc w:val="center"/>
              <w:rPr>
                <w:rFonts w:ascii="宋体" w:hAnsi="Arial" w:eastAsia="宋体"/>
                <w:sz w:val="22"/>
                <w:szCs w:val="20"/>
              </w:rPr>
            </w:pPr>
            <w:r>
              <w:rPr>
                <w:rFonts w:hint="eastAsia" w:ascii="宋体" w:hAnsi="Arial" w:eastAsia="宋体"/>
                <w:sz w:val="22"/>
                <w:szCs w:val="20"/>
              </w:rPr>
              <w:t>7</w:t>
            </w:r>
          </w:p>
        </w:tc>
        <w:tc>
          <w:tcPr>
            <w:tcW w:w="2081" w:type="dxa"/>
            <w:vAlign w:val="center"/>
          </w:tcPr>
          <w:p w14:paraId="66F8C774">
            <w:pPr>
              <w:snapToGrid w:val="0"/>
              <w:spacing w:line="240" w:lineRule="auto"/>
              <w:ind w:left="0" w:leftChars="0" w:right="0" w:rightChars="0" w:firstLine="0" w:firstLineChars="0"/>
              <w:jc w:val="left"/>
              <w:rPr>
                <w:rFonts w:ascii="宋体" w:hAnsi="宋体" w:eastAsia="宋体"/>
                <w:spacing w:val="5"/>
                <w:sz w:val="22"/>
                <w:szCs w:val="20"/>
              </w:rPr>
            </w:pPr>
            <w:r>
              <w:rPr>
                <w:rFonts w:hint="eastAsia" w:ascii="宋体" w:hAnsi="宋体" w:eastAsia="宋体"/>
                <w:spacing w:val="5"/>
                <w:sz w:val="22"/>
                <w:szCs w:val="20"/>
              </w:rPr>
              <w:t>合计</w:t>
            </w:r>
          </w:p>
        </w:tc>
        <w:tc>
          <w:tcPr>
            <w:tcW w:w="836" w:type="dxa"/>
            <w:vAlign w:val="center"/>
          </w:tcPr>
          <w:p w14:paraId="02033FCD">
            <w:pPr>
              <w:snapToGrid w:val="0"/>
              <w:spacing w:line="240" w:lineRule="auto"/>
              <w:ind w:left="0" w:leftChars="0" w:right="0" w:rightChars="0" w:firstLine="0" w:firstLineChars="0"/>
              <w:jc w:val="center"/>
              <w:rPr>
                <w:rFonts w:ascii="宋体" w:hAnsi="宋体" w:eastAsia="宋体"/>
                <w:spacing w:val="5"/>
                <w:sz w:val="22"/>
                <w:szCs w:val="20"/>
              </w:rPr>
            </w:pPr>
          </w:p>
        </w:tc>
        <w:tc>
          <w:tcPr>
            <w:tcW w:w="1299" w:type="dxa"/>
            <w:vAlign w:val="center"/>
          </w:tcPr>
          <w:p w14:paraId="224B6C14">
            <w:pPr>
              <w:snapToGrid w:val="0"/>
              <w:spacing w:line="240" w:lineRule="auto"/>
              <w:ind w:left="0" w:leftChars="0" w:right="0" w:rightChars="0" w:firstLine="0" w:firstLineChars="0"/>
              <w:jc w:val="right"/>
              <w:rPr>
                <w:rFonts w:ascii="宋体" w:hAnsi="宋体" w:eastAsia="宋体"/>
                <w:spacing w:val="-2"/>
                <w:sz w:val="22"/>
                <w:szCs w:val="20"/>
              </w:rPr>
            </w:pPr>
          </w:p>
        </w:tc>
        <w:tc>
          <w:tcPr>
            <w:tcW w:w="2017" w:type="dxa"/>
            <w:vAlign w:val="center"/>
          </w:tcPr>
          <w:p w14:paraId="2519EEB6">
            <w:pPr>
              <w:snapToGrid w:val="0"/>
              <w:spacing w:line="240" w:lineRule="auto"/>
              <w:ind w:left="0" w:leftChars="0" w:right="0" w:rightChars="0" w:firstLine="0" w:firstLineChars="0"/>
              <w:jc w:val="center"/>
              <w:rPr>
                <w:rFonts w:ascii="宋体" w:hAnsi="宋体" w:eastAsia="宋体"/>
                <w:sz w:val="22"/>
                <w:szCs w:val="20"/>
              </w:rPr>
            </w:pPr>
          </w:p>
        </w:tc>
        <w:tc>
          <w:tcPr>
            <w:tcW w:w="818" w:type="dxa"/>
            <w:vAlign w:val="center"/>
          </w:tcPr>
          <w:p w14:paraId="49E8DF04">
            <w:pPr>
              <w:snapToGrid w:val="0"/>
              <w:spacing w:line="240" w:lineRule="auto"/>
              <w:ind w:left="0" w:leftChars="0" w:right="0" w:rightChars="0" w:firstLine="0" w:firstLineChars="0"/>
              <w:jc w:val="center"/>
              <w:rPr>
                <w:rFonts w:ascii="宋体" w:hAnsi="宋体" w:eastAsia="宋体"/>
                <w:sz w:val="22"/>
                <w:szCs w:val="20"/>
              </w:rPr>
            </w:pPr>
          </w:p>
        </w:tc>
        <w:tc>
          <w:tcPr>
            <w:tcW w:w="1358" w:type="dxa"/>
            <w:vAlign w:val="center"/>
          </w:tcPr>
          <w:p w14:paraId="18098CCE">
            <w:pPr>
              <w:snapToGrid w:val="0"/>
              <w:spacing w:line="240" w:lineRule="auto"/>
              <w:ind w:left="0" w:leftChars="0" w:right="0" w:rightChars="0" w:firstLine="0" w:firstLineChars="0"/>
              <w:jc w:val="center"/>
              <w:rPr>
                <w:rFonts w:ascii="宋体" w:hAnsi="宋体" w:eastAsia="宋体"/>
                <w:sz w:val="22"/>
                <w:szCs w:val="20"/>
              </w:rPr>
            </w:pPr>
          </w:p>
        </w:tc>
      </w:tr>
    </w:tbl>
    <w:p w14:paraId="4126BEDF">
      <w:pPr>
        <w:numPr>
          <w:ilvl w:val="0"/>
          <w:numId w:val="2"/>
        </w:num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付款方式：</w:t>
      </w:r>
    </w:p>
    <w:p w14:paraId="06140BF7">
      <w:pPr>
        <w:pStyle w:val="7"/>
        <w:spacing w:line="360" w:lineRule="auto"/>
        <w:ind w:firstLine="495" w:firstLineChars="236"/>
        <w:rPr>
          <w:rFonts w:hint="eastAsia" w:ascii="宋体" w:hAnsi="宋体" w:cs="宋体"/>
          <w:color w:val="000000"/>
          <w:sz w:val="21"/>
          <w:szCs w:val="21"/>
        </w:rPr>
      </w:pPr>
      <w:r>
        <w:rPr>
          <w:rFonts w:hint="eastAsia" w:ascii="宋体" w:hAnsi="宋体" w:cs="宋体"/>
          <w:color w:val="000000"/>
          <w:sz w:val="21"/>
          <w:szCs w:val="21"/>
        </w:rPr>
        <w:t>当结算金额高于本合同金额时以本合同金额作为结算金额，当结算金额低于本合同金额时据实结算。</w:t>
      </w:r>
    </w:p>
    <w:p w14:paraId="61BCBBB5">
      <w:pPr>
        <w:spacing w:line="360" w:lineRule="auto"/>
        <w:ind w:firstLine="440" w:firstLineChars="200"/>
        <w:rPr>
          <w:rFonts w:hint="eastAsia" w:ascii="宋体" w:hAnsi="宋体" w:cs="宋体"/>
          <w:color w:val="000000"/>
          <w:sz w:val="22"/>
          <w:szCs w:val="18"/>
          <w:highlight w:val="none"/>
        </w:rPr>
      </w:pPr>
      <w:r>
        <w:rPr>
          <w:rFonts w:hint="eastAsia" w:ascii="宋体" w:hAnsi="宋体" w:cs="宋体"/>
          <w:color w:val="000000"/>
          <w:sz w:val="22"/>
          <w:szCs w:val="18"/>
          <w:highlight w:val="none"/>
        </w:rPr>
        <w:t>本合同订立后，</w:t>
      </w:r>
      <w:r>
        <w:rPr>
          <w:rFonts w:hint="eastAsia" w:ascii="宋体" w:hAnsi="宋体" w:cs="宋体"/>
          <w:color w:val="000000"/>
          <w:sz w:val="22"/>
          <w:szCs w:val="18"/>
          <w:highlight w:val="none"/>
          <w:lang w:val="en-US" w:eastAsia="zh-CN"/>
        </w:rPr>
        <w:t>待</w:t>
      </w:r>
      <w:r>
        <w:rPr>
          <w:rFonts w:hint="eastAsia" w:ascii="宋体" w:hAnsi="宋体" w:cs="宋体"/>
          <w:color w:val="000000"/>
          <w:sz w:val="22"/>
          <w:szCs w:val="18"/>
          <w:highlight w:val="none"/>
        </w:rPr>
        <w:t>乙方</w:t>
      </w:r>
      <w:r>
        <w:rPr>
          <w:rFonts w:hint="eastAsia" w:ascii="宋体" w:hAnsi="宋体" w:cs="宋体"/>
          <w:color w:val="000000"/>
          <w:sz w:val="22"/>
          <w:szCs w:val="18"/>
          <w:highlight w:val="none"/>
          <w:lang w:val="en-US" w:eastAsia="zh-CN"/>
        </w:rPr>
        <w:t>进场后甲方向乙方支付20%的预付款，</w:t>
      </w:r>
      <w:r>
        <w:rPr>
          <w:rFonts w:hint="eastAsia" w:ascii="宋体" w:hAnsi="宋体" w:cs="宋体"/>
          <w:color w:val="000000"/>
          <w:sz w:val="22"/>
          <w:szCs w:val="18"/>
          <w:highlight w:val="none"/>
        </w:rPr>
        <w:t>按本合同约定</w:t>
      </w:r>
      <w:r>
        <w:rPr>
          <w:rFonts w:hint="eastAsia" w:ascii="宋体" w:hAnsi="宋体" w:cs="宋体"/>
          <w:color w:val="000000"/>
          <w:sz w:val="22"/>
          <w:szCs w:val="18"/>
          <w:highlight w:val="none"/>
          <w:lang w:val="en-US" w:eastAsia="zh-CN"/>
        </w:rPr>
        <w:t>完成本</w:t>
      </w:r>
      <w:r>
        <w:rPr>
          <w:rFonts w:hint="eastAsia" w:ascii="宋体" w:hAnsi="宋体" w:cs="宋体"/>
          <w:color w:val="000000"/>
          <w:sz w:val="22"/>
          <w:szCs w:val="18"/>
          <w:highlight w:val="none"/>
        </w:rPr>
        <w:t>工程项目</w:t>
      </w:r>
      <w:r>
        <w:rPr>
          <w:rFonts w:hint="eastAsia" w:ascii="宋体" w:hAnsi="宋体" w:cs="宋体"/>
          <w:color w:val="000000"/>
          <w:sz w:val="22"/>
          <w:szCs w:val="18"/>
          <w:highlight w:val="none"/>
          <w:lang w:val="en-US" w:eastAsia="zh-CN"/>
        </w:rPr>
        <w:t>所有内容并验收合格后，</w:t>
      </w:r>
      <w:r>
        <w:rPr>
          <w:rFonts w:hint="eastAsia" w:ascii="宋体" w:hAnsi="宋体" w:cs="宋体"/>
          <w:color w:val="000000"/>
          <w:sz w:val="22"/>
          <w:szCs w:val="18"/>
          <w:highlight w:val="none"/>
        </w:rPr>
        <w:t>报送本工程的结算评审资料，由高新区财政局进行结算评审并出具结算报告和结算结果通知单后，乙方出具正式发票，甲方</w:t>
      </w:r>
      <w:r>
        <w:rPr>
          <w:rFonts w:hint="eastAsia" w:ascii="宋体" w:hAnsi="宋体" w:cs="宋体"/>
          <w:color w:val="000000"/>
          <w:sz w:val="22"/>
          <w:szCs w:val="18"/>
          <w:highlight w:val="none"/>
          <w:lang w:val="en-US" w:eastAsia="zh-CN"/>
        </w:rPr>
        <w:t>支付合同金额的</w:t>
      </w:r>
      <w:r>
        <w:rPr>
          <w:rFonts w:hint="eastAsia" w:ascii="宋体" w:hAnsi="宋体" w:cs="宋体"/>
          <w:color w:val="000000"/>
          <w:sz w:val="22"/>
          <w:szCs w:val="18"/>
          <w:highlight w:val="none"/>
        </w:rPr>
        <w:t>的</w:t>
      </w:r>
      <w:r>
        <w:rPr>
          <w:rFonts w:hint="eastAsia" w:ascii="宋体" w:hAnsi="宋体" w:cs="宋体"/>
          <w:color w:val="000000"/>
          <w:sz w:val="22"/>
          <w:szCs w:val="18"/>
          <w:highlight w:val="none"/>
          <w:lang w:val="en-US" w:eastAsia="zh-CN"/>
        </w:rPr>
        <w:t>70</w:t>
      </w:r>
      <w:r>
        <w:rPr>
          <w:rFonts w:hint="eastAsia" w:ascii="宋体" w:hAnsi="宋体" w:cs="宋体"/>
          <w:color w:val="000000"/>
          <w:sz w:val="22"/>
          <w:szCs w:val="18"/>
          <w:highlight w:val="none"/>
        </w:rPr>
        <w:t>%</w:t>
      </w:r>
      <w:r>
        <w:rPr>
          <w:rFonts w:hint="eastAsia" w:ascii="宋体" w:hAnsi="宋体" w:cs="宋体"/>
          <w:color w:val="000000"/>
          <w:sz w:val="22"/>
          <w:szCs w:val="18"/>
          <w:highlight w:val="none"/>
          <w:lang w:eastAsia="zh-CN"/>
        </w:rPr>
        <w:t>，</w:t>
      </w:r>
      <w:r>
        <w:rPr>
          <w:rFonts w:hint="eastAsia" w:ascii="宋体" w:hAnsi="宋体" w:cs="宋体"/>
          <w:color w:val="000000"/>
          <w:sz w:val="22"/>
          <w:szCs w:val="18"/>
          <w:highlight w:val="none"/>
          <w:lang w:val="en-US" w:eastAsia="zh-CN"/>
        </w:rPr>
        <w:t>剩余10%待项目用地正式交付后，甲方进行支付</w:t>
      </w:r>
      <w:r>
        <w:rPr>
          <w:rFonts w:hint="eastAsia" w:ascii="宋体" w:hAnsi="宋体" w:cs="宋体"/>
          <w:color w:val="000000"/>
          <w:sz w:val="22"/>
          <w:szCs w:val="18"/>
          <w:highlight w:val="none"/>
        </w:rPr>
        <w:t>。</w:t>
      </w:r>
    </w:p>
    <w:p w14:paraId="70B68133">
      <w:pPr>
        <w:spacing w:line="360" w:lineRule="auto"/>
        <w:ind w:firstLine="440" w:firstLineChars="200"/>
        <w:rPr>
          <w:rFonts w:hint="eastAsia" w:ascii="宋体" w:hAnsi="宋体" w:cs="宋体"/>
          <w:color w:val="000000"/>
          <w:sz w:val="22"/>
          <w:szCs w:val="18"/>
        </w:rPr>
      </w:pPr>
      <w:r>
        <w:rPr>
          <w:rFonts w:hint="eastAsia" w:ascii="宋体" w:hAnsi="宋体" w:cs="宋体"/>
          <w:color w:val="000000"/>
          <w:sz w:val="22"/>
          <w:szCs w:val="18"/>
        </w:rPr>
        <w:t>如施工过程中因</w:t>
      </w:r>
      <w:r>
        <w:rPr>
          <w:rFonts w:hint="eastAsia" w:ascii="宋体" w:hAnsi="宋体" w:cs="宋体"/>
          <w:color w:val="000000"/>
          <w:sz w:val="22"/>
          <w:szCs w:val="18"/>
          <w:lang w:val="en-US" w:eastAsia="zh-CN"/>
        </w:rPr>
        <w:t>不可抗力等因素</w:t>
      </w:r>
      <w:r>
        <w:rPr>
          <w:rFonts w:hint="eastAsia" w:ascii="宋体" w:hAnsi="宋体" w:cs="宋体"/>
          <w:color w:val="000000"/>
          <w:sz w:val="22"/>
          <w:szCs w:val="18"/>
        </w:rPr>
        <w:t>，需暂停或延期施工，导致工程量未达到前款约定的付款工程进度条件，双方可根据实际情况，另行协商付款方式并签订补充协议。</w:t>
      </w:r>
    </w:p>
    <w:p w14:paraId="5DACBF1F">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五、其它：</w:t>
      </w:r>
    </w:p>
    <w:p w14:paraId="51EF8273">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1、罚则</w:t>
      </w:r>
    </w:p>
    <w:p w14:paraId="25F1B87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如果因非发包方原因，而导致承包方未能按要求的工期完工(不可抗力除外）或工程质量不合格的均为承包方违约，承包方应支付发包方合同总金额2‰/天的违约金至违约期限结束，违约金在最后一次付款时进行扣除。</w:t>
      </w:r>
    </w:p>
    <w:p w14:paraId="13C204E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2、争议</w:t>
      </w:r>
    </w:p>
    <w:p w14:paraId="5F3637A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2.1双方约定，在履行合同过程中产生争议时，由以下第2.1.2种方式解决：</w:t>
      </w:r>
    </w:p>
    <w:p w14:paraId="367CF57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2.1.1由西安仲裁委员会仲裁解决；</w:t>
      </w:r>
    </w:p>
    <w:p w14:paraId="5BAA216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2.1.2向工程所在地人民法院</w:t>
      </w:r>
      <w:r>
        <w:rPr>
          <w:rFonts w:hint="eastAsia" w:ascii="宋体" w:hAnsi="宋体" w:cs="宋体"/>
          <w:color w:val="000000"/>
          <w:sz w:val="21"/>
          <w:szCs w:val="21"/>
          <w:lang w:eastAsia="zh-CN"/>
        </w:rPr>
        <w:t>提起</w:t>
      </w:r>
      <w:r>
        <w:rPr>
          <w:rFonts w:hint="eastAsia" w:ascii="宋体" w:hAnsi="宋体" w:cs="宋体"/>
          <w:color w:val="000000"/>
          <w:sz w:val="21"/>
          <w:szCs w:val="21"/>
        </w:rPr>
        <w:t>诉讼。</w:t>
      </w:r>
    </w:p>
    <w:p w14:paraId="1645D04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合同争议处理期间，除正在处理的争议部分外，合同其余部分应继续执行。</w:t>
      </w:r>
    </w:p>
    <w:p w14:paraId="52D6BC5B">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3、本合同一式肆份，具有同等法律效力，双方各执贰份；本合同由双方签字盖章后生效，待合同履行完毕，工程价款结清后本合同自然终止。</w:t>
      </w:r>
    </w:p>
    <w:p w14:paraId="4EE7F5D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4、本合同中未尽事宜双方协商解决。</w:t>
      </w:r>
    </w:p>
    <w:p w14:paraId="0347659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甲方：(盖章)                  乙方(盖章)</w:t>
      </w:r>
    </w:p>
    <w:p w14:paraId="5010327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甲方代表签字：                乙方代表签字：</w:t>
      </w:r>
    </w:p>
    <w:p w14:paraId="4CA31A00">
      <w:pPr>
        <w:autoSpaceDE w:val="0"/>
        <w:autoSpaceDN w:val="0"/>
        <w:adjustRightInd w:val="0"/>
        <w:spacing w:line="360" w:lineRule="auto"/>
        <w:ind w:firstLine="420" w:firstLineChars="200"/>
        <w:rPr>
          <w:rFonts w:hint="eastAsia" w:ascii="宋体" w:hAnsi="宋体" w:cs="宋体"/>
          <w:color w:val="000000"/>
          <w:sz w:val="21"/>
          <w:szCs w:val="21"/>
          <w:lang w:val="zh-CN"/>
        </w:rPr>
      </w:pPr>
      <w:r>
        <w:rPr>
          <w:rFonts w:hint="eastAsia" w:ascii="宋体" w:hAnsi="宋体" w:cs="宋体"/>
          <w:color w:val="000000"/>
          <w:sz w:val="21"/>
          <w:szCs w:val="21"/>
        </w:rPr>
        <w:t>年   月    日                 年   月  日</w:t>
      </w:r>
    </w:p>
    <w:p w14:paraId="7910F06B">
      <w:pPr>
        <w:jc w:val="center"/>
        <w:rPr>
          <w:rFonts w:hint="eastAsia" w:ascii="宋体" w:hAnsi="宋体" w:cs="宋体"/>
          <w:b/>
          <w:bCs/>
          <w:color w:val="000000"/>
          <w:sz w:val="21"/>
          <w:szCs w:val="21"/>
        </w:rPr>
      </w:pPr>
      <w:r>
        <w:rPr>
          <w:rFonts w:hint="eastAsia" w:ascii="宋体" w:hAnsi="宋体" w:cs="宋体"/>
          <w:b/>
          <w:bCs/>
          <w:color w:val="000000"/>
          <w:sz w:val="21"/>
          <w:szCs w:val="21"/>
        </w:rPr>
        <w:t>安全生产、文明施工责任书</w:t>
      </w:r>
    </w:p>
    <w:p w14:paraId="3AC9F31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736E62D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乙方：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2DA2EDA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根据《中华人民共和国安全生产法》、《建设工程安全生产管理条例》等相关法规政策，甲乙双方就本项目签署安全生产、文明施工责任书，主要内容如下：</w:t>
      </w:r>
    </w:p>
    <w:p w14:paraId="20EE35A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一、甲方责任：</w:t>
      </w:r>
    </w:p>
    <w:p w14:paraId="3F0AF02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1、定期组织安全会议,随时组织安全检查和现场监督管理。</w:t>
      </w:r>
    </w:p>
    <w:p w14:paraId="062B2BC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2、及时协调解决工程实施过程中各类管线的迁移和改造等问题。</w:t>
      </w:r>
    </w:p>
    <w:p w14:paraId="09BEC10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3、及时处理施工过程中妨碍安全生产和文明施工的问题。</w:t>
      </w:r>
    </w:p>
    <w:p w14:paraId="3F1D248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4、及时传达和通报相关职能部门关于安全生产工作的重要指示和要求，督促乙方安全施工工作的落实。</w:t>
      </w:r>
    </w:p>
    <w:p w14:paraId="6DBE741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二、乙方责任：</w:t>
      </w:r>
    </w:p>
    <w:p w14:paraId="799D909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14:paraId="163C6E8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14:paraId="5106B4A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3、建立严格的对易燃、易爆等危险品管理制度和使用规范，配备充足的安全防护物品和器具。</w:t>
      </w:r>
    </w:p>
    <w:p w14:paraId="695E566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14:paraId="0C54537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5、机械设备、脚手架等设施，在搭设、安装完毕并按规定验收后方可使用，严禁在未检验或检验不合格情况下投入使用。</w:t>
      </w:r>
    </w:p>
    <w:p w14:paraId="7C3A1C9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11C79DF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6601B9F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8、在施工中，应注意地下管线及高低压架空线路保护，甲方应详细交底，乙方应贯彻交底要求，如遇有情况，应及时和甲方联系，采取保护措施。</w:t>
      </w:r>
    </w:p>
    <w:p w14:paraId="51D754B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9、配备充足的安全防护物品和器具，监督施工人员自觉穿戴好安全防护用品。</w:t>
      </w:r>
    </w:p>
    <w:p w14:paraId="380E16C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10、施工人员应当按规定佩戴安全帽、挂设保险绳，应有效的控制施工过程中的扬尘、噪声和震动，按有关规定运输建筑材料、处置建筑渣土和各种废物。 </w:t>
      </w:r>
    </w:p>
    <w:p w14:paraId="38DD000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在建筑物施工时不得有下列行为：抛撒废料；将有毒有害废物作土方回填；泥浆水未经处理直接排入城市排水设施或河道；无符合规定装置而在施工现场熔融沥青或者焚烧油毡、油漆以及其它产生有毒有害烟尘和气体的物质；其它应当禁止的行为。</w:t>
      </w:r>
    </w:p>
    <w:p w14:paraId="42BEE50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12、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25C9912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13、加强施工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2A73D7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14、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0384E85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15、承担施工过程中发生安全事故的全部责任和处罚。</w:t>
      </w:r>
    </w:p>
    <w:p w14:paraId="6632AB9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16、未注明事项，必须符合招标文件及国家相关法律、法规以及各级建设行政主管部门的相关要求。</w:t>
      </w:r>
    </w:p>
    <w:p w14:paraId="2B9206C3">
      <w:pPr>
        <w:spacing w:line="360" w:lineRule="auto"/>
        <w:ind w:firstLine="420" w:firstLineChars="200"/>
        <w:rPr>
          <w:rFonts w:hint="eastAsia" w:ascii="宋体" w:hAnsi="宋体" w:cs="宋体"/>
          <w:b/>
          <w:bCs/>
          <w:color w:val="000000"/>
          <w:sz w:val="21"/>
          <w:szCs w:val="21"/>
        </w:rPr>
      </w:pPr>
      <w:r>
        <w:rPr>
          <w:rFonts w:hint="eastAsia" w:ascii="宋体" w:hAnsi="宋体" w:cs="宋体"/>
          <w:color w:val="000000"/>
          <w:sz w:val="21"/>
          <w:szCs w:val="21"/>
        </w:rPr>
        <w:t>三、本责任书一式陆份，甲方执肆份、乙方执贰份，双方签字盖章后生效，工作完成后自动失效。</w:t>
      </w:r>
    </w:p>
    <w:p w14:paraId="7C68BDAC">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 xml:space="preserve">甲方责任人：(签字)   公章      </w:t>
      </w:r>
    </w:p>
    <w:p w14:paraId="34644111">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乙方责任人：(签字)    公章</w:t>
      </w:r>
    </w:p>
    <w:p w14:paraId="0E9932A5">
      <w:pPr>
        <w:rPr>
          <w:sz w:val="21"/>
          <w:szCs w:val="21"/>
        </w:rPr>
      </w:pPr>
      <w:r>
        <w:rPr>
          <w:rFonts w:hint="eastAsia" w:ascii="宋体" w:hAnsi="宋体" w:cs="宋体"/>
          <w:color w:val="000000"/>
          <w:sz w:val="21"/>
          <w:szCs w:val="21"/>
        </w:rPr>
        <w:t>年   月   日                     年   月   日</w:t>
      </w:r>
    </w:p>
    <w:p w14:paraId="0357BEC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65DF7"/>
    <w:multiLevelType w:val="singleLevel"/>
    <w:tmpl w:val="BF065DF7"/>
    <w:lvl w:ilvl="0" w:tentative="0">
      <w:start w:val="4"/>
      <w:numFmt w:val="chineseCounting"/>
      <w:suff w:val="space"/>
      <w:lvlText w:val="第%1章"/>
      <w:lvlJc w:val="left"/>
      <w:rPr>
        <w:rFonts w:hint="eastAsia"/>
      </w:rPr>
    </w:lvl>
  </w:abstractNum>
  <w:abstractNum w:abstractNumId="1">
    <w:nsid w:val="133200DB"/>
    <w:multiLevelType w:val="singleLevel"/>
    <w:tmpl w:val="133200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5D36"/>
    <w:rsid w:val="359D38D1"/>
    <w:rsid w:val="3AB51DB5"/>
    <w:rsid w:val="4A3A7609"/>
    <w:rsid w:val="57ED4310"/>
    <w:rsid w:val="62602D69"/>
    <w:rsid w:val="740379FC"/>
    <w:rsid w:val="77841E0E"/>
    <w:rsid w:val="7C471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宋体"/>
      <w:color w:val="333333"/>
      <w:sz w:val="24"/>
      <w:szCs w:val="24"/>
      <w:lang w:val="en-US" w:eastAsia="zh-CN" w:bidi="ar-SA"/>
    </w:rPr>
  </w:style>
  <w:style w:type="paragraph" w:styleId="2">
    <w:name w:val="heading 1"/>
    <w:basedOn w:val="1"/>
    <w:next w:val="3"/>
    <w:link w:val="8"/>
    <w:qFormat/>
    <w:uiPriority w:val="0"/>
    <w:pPr>
      <w:keepNext/>
      <w:keepLines/>
      <w:spacing w:before="120" w:after="120" w:line="360" w:lineRule="auto"/>
      <w:jc w:val="center"/>
      <w:outlineLvl w:val="0"/>
    </w:pPr>
    <w:rPr>
      <w:b/>
      <w:bCs/>
      <w:kern w:val="44"/>
      <w:sz w:val="44"/>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4">
    <w:name w:val="Normal Indent"/>
    <w:basedOn w:val="1"/>
    <w:qFormat/>
    <w:uiPriority w:val="0"/>
    <w:pPr>
      <w:ind w:firstLine="420"/>
    </w:pPr>
    <w:rPr>
      <w:rFonts w:cs="Times New Roman"/>
      <w:color w:val="auto"/>
      <w:kern w:val="2"/>
      <w:sz w:val="21"/>
    </w:rPr>
  </w:style>
  <w:style w:type="paragraph" w:customStyle="1" w:styleId="7">
    <w:name w:val="列表段落1"/>
    <w:basedOn w:val="1"/>
    <w:qFormat/>
    <w:uiPriority w:val="34"/>
    <w:pPr>
      <w:ind w:firstLine="420" w:firstLineChars="200"/>
    </w:pPr>
    <w:rPr>
      <w:rFonts w:ascii="Calibri" w:hAnsi="Calibri"/>
      <w:szCs w:val="22"/>
    </w:rPr>
  </w:style>
  <w:style w:type="character" w:customStyle="1" w:styleId="8">
    <w:name w:val="标题 1 Char"/>
    <w:link w:val="2"/>
    <w:qFormat/>
    <w:uiPriority w:val="0"/>
    <w:rPr>
      <w:b/>
      <w:bCs/>
      <w:kern w:val="44"/>
      <w:sz w:val="4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1421</Words>
  <Characters>1497</Characters>
  <Lines>0</Lines>
  <Paragraphs>0</Paragraphs>
  <TotalTime>9</TotalTime>
  <ScaleCrop>false</ScaleCrop>
  <LinksUpToDate>false</LinksUpToDate>
  <CharactersWithSpaces>1674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2025-09-26T08:35:00Z</dcterms:created>
  <dc:creator>Administrator</dc:creator>
  <cp:lastModifiedBy>张启东</cp:lastModifiedBy>
  <dcterms:modified xsi:type="dcterms:W3CDTF">2025-11-20T02:24:00Z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eyJoZGlkIjoiZmU4MWFiMGYwZTBmNWZhZmJkZGJkNjhjYmM2ODJmZmIiLCJ1c2VySWQiOiIyNjg2NjU0NzAifQ==</vt:lpwstr>
  </property>
  <property fmtid="{D5CDD505-2E9C-101B-9397-08002B2CF9AE}" pid="4" name="ICV">
    <vt:lpwstr>B493E86B3D3246AC955BFFBB6C4AEE2F_13</vt:lpwstr>
  </property>
</Properties>
</file>